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0E8C9" w14:textId="77777777" w:rsidR="00A20F6F" w:rsidRDefault="003F4B19" w:rsidP="001619BA">
      <w:pPr>
        <w:rPr>
          <w:rStyle w:val="TitleChar"/>
        </w:rPr>
      </w:pPr>
      <w:r>
        <w:rPr>
          <w:rStyle w:val="TitleChar"/>
        </w:rPr>
        <w:t>Lake Tuggeranong College</w:t>
      </w:r>
    </w:p>
    <w:p w14:paraId="060BDC69" w14:textId="3E5849A7" w:rsidR="00662881" w:rsidRPr="00820E01" w:rsidRDefault="002636B7" w:rsidP="00E444C7">
      <w:pPr>
        <w:pStyle w:val="Title"/>
      </w:pPr>
      <w:r w:rsidRPr="00C35789">
        <w:rPr>
          <w:rStyle w:val="TitleChar"/>
        </w:rPr>
        <w:t xml:space="preserve">Annual </w:t>
      </w:r>
      <w:r w:rsidR="000443D7" w:rsidRPr="00C35789">
        <w:rPr>
          <w:rStyle w:val="TitleChar"/>
        </w:rPr>
        <w:t>Action Plan Report</w:t>
      </w:r>
      <w:r w:rsidR="001205F6">
        <w:rPr>
          <w:rStyle w:val="TitleChar"/>
        </w:rPr>
        <w:t xml:space="preserve"> </w:t>
      </w:r>
      <w:r w:rsidR="003F4B19">
        <w:rPr>
          <w:rStyle w:val="TitleChar"/>
        </w:rPr>
        <w:t>201</w:t>
      </w:r>
      <w:r w:rsidR="00CC7B93">
        <w:rPr>
          <w:rStyle w:val="TitleChar"/>
        </w:rPr>
        <w:t>8</w:t>
      </w:r>
    </w:p>
    <w:p w14:paraId="1013491E" w14:textId="05814883" w:rsidR="000443D7" w:rsidRPr="007D36B1" w:rsidRDefault="000443D7" w:rsidP="00A20F6F">
      <w:pPr>
        <w:pStyle w:val="Heading1"/>
        <w:rPr>
          <w:lang w:val="en-AU"/>
        </w:rPr>
      </w:pPr>
      <w:r w:rsidRPr="00A20F6F">
        <w:t>Contex</w:t>
      </w:r>
      <w:r w:rsidR="003E22DD" w:rsidRPr="00A20F6F">
        <w:t>t</w:t>
      </w:r>
      <w:r w:rsidR="007D36B1">
        <w:rPr>
          <w:lang w:val="en-AU"/>
        </w:rPr>
        <w:t xml:space="preserve"> </w:t>
      </w:r>
    </w:p>
    <w:p w14:paraId="505CB4B8" w14:textId="3D902B6A" w:rsidR="003F4B19" w:rsidRDefault="003F4B19" w:rsidP="003F4B19">
      <w:r>
        <w:t>201</w:t>
      </w:r>
      <w:r w:rsidR="00CC7B93">
        <w:t>8</w:t>
      </w:r>
      <w:r>
        <w:t xml:space="preserve"> is the </w:t>
      </w:r>
      <w:r w:rsidR="00CC7B93">
        <w:t>third</w:t>
      </w:r>
      <w:r>
        <w:t xml:space="preserve"> year of the current five-year school improvement cycle</w:t>
      </w:r>
      <w:r w:rsidR="00AA1A91">
        <w:t>. T</w:t>
      </w:r>
      <w:r>
        <w:t>he work of the school has been characterised by the</w:t>
      </w:r>
      <w:r w:rsidR="00AA1A91">
        <w:t xml:space="preserve"> continued exploration of </w:t>
      </w:r>
      <w:r w:rsidR="00594C35">
        <w:t>the three school priorities</w:t>
      </w:r>
      <w:r w:rsidR="0096285F">
        <w:t xml:space="preserve">, paying </w:t>
      </w:r>
      <w:proofErr w:type="gramStart"/>
      <w:r w:rsidR="0096285F">
        <w:t>particular attention</w:t>
      </w:r>
      <w:proofErr w:type="gramEnd"/>
      <w:r w:rsidR="0096285F">
        <w:t xml:space="preserve"> to those areas that our data suggests have flatlined or not shown the growth we would have expected. Together with changes in the school’s leadership ranks, and new eyes to look at the underlying assumptions in our School Plan, the college has had a year of refocussing on what might allow our improvement goals to be met.</w:t>
      </w:r>
    </w:p>
    <w:p w14:paraId="0F8DDBA0" w14:textId="77777777" w:rsidR="003F4B19" w:rsidRDefault="003F4B19" w:rsidP="003F4B19"/>
    <w:p w14:paraId="502F485D" w14:textId="2DFE5A90" w:rsidR="003F4B19" w:rsidRDefault="003F4B19" w:rsidP="003F4B19">
      <w:r>
        <w:t>The school’s operating context include</w:t>
      </w:r>
      <w:r w:rsidR="00540EFE">
        <w:t xml:space="preserve">s a declining overall enrolment:  since the start of this planning cycle, the </w:t>
      </w:r>
      <w:r w:rsidR="00720B16">
        <w:t xml:space="preserve">annual </w:t>
      </w:r>
      <w:r w:rsidR="00540EFE">
        <w:t>March census</w:t>
      </w:r>
      <w:r w:rsidR="00720B16">
        <w:t xml:space="preserve"> reflects a decrease of approximately 70 students over the three-year period. </w:t>
      </w:r>
      <w:r w:rsidR="00540EFE">
        <w:t xml:space="preserve">  </w:t>
      </w:r>
      <w:r w:rsidR="00720B16">
        <w:t xml:space="preserve">Parallel with this is an increasing number (and proportion) of students </w:t>
      </w:r>
      <w:r>
        <w:t xml:space="preserve">requiring moderate to substantial modification of either their curriculum package or their learning experiences. </w:t>
      </w:r>
      <w:r w:rsidR="0057497E">
        <w:t xml:space="preserve"> </w:t>
      </w:r>
      <w:r w:rsidR="00551484">
        <w:t>The proportion of the total student population graduating with an Australian Tertiary Admission Rank (ATAR) tertiary entrance rank has remained relatively stable over this time</w:t>
      </w:r>
      <w:r w:rsidR="001F5E7B">
        <w:t>:  in 2</w:t>
      </w:r>
      <w:r w:rsidR="00551484">
        <w:t xml:space="preserve">018, </w:t>
      </w:r>
      <w:r w:rsidR="001F5E7B">
        <w:t xml:space="preserve">this pathway included </w:t>
      </w:r>
      <w:r w:rsidR="00551484">
        <w:t>40 percent of all graduates</w:t>
      </w:r>
      <w:r w:rsidR="001F5E7B">
        <w:t xml:space="preserve">. </w:t>
      </w:r>
      <w:r w:rsidR="00551484">
        <w:t xml:space="preserve">   </w:t>
      </w:r>
    </w:p>
    <w:p w14:paraId="40F7FD50" w14:textId="77777777" w:rsidR="003F4B19" w:rsidRDefault="003F4B19" w:rsidP="003F4B19"/>
    <w:p w14:paraId="04BDC4A0" w14:textId="4B8DBDD7" w:rsidR="001205F6" w:rsidRDefault="001F5E7B" w:rsidP="003F4B19">
      <w:pPr>
        <w:pStyle w:val="BodyText"/>
      </w:pPr>
      <w:r>
        <w:t xml:space="preserve">The school’s improvement agenda continued to leverage the professional learning community model adopted at the </w:t>
      </w:r>
      <w:r w:rsidR="00193584">
        <w:t>start of 2017 and</w:t>
      </w:r>
      <w:r>
        <w:t xml:space="preserve"> was the main form of enacting the strategic priority of </w:t>
      </w:r>
      <w:r w:rsidR="00193584">
        <w:t>developing our expert teaching team</w:t>
      </w:r>
      <w:r>
        <w:t xml:space="preserve">.  The annual review of the ‘College Life’ model showed increased pressure on student wellbeing coordinators </w:t>
      </w:r>
      <w:r w:rsidR="00193584">
        <w:t xml:space="preserve">due to complex learner needs (predominantly in relation to challenged mental health and wellbeing), and an acknowledgement that academic accountabilities were not being sufficiently supported via the weekly LinC sessions. As a result, actions associated with the second strategic priority, increasing student connectedness with their college, remained in the responsive realm.  Partnerships with our community (the third strategic priority) continued to provide positive opportunities for students to gain authentic pathways through to the next phase of their lives. </w:t>
      </w:r>
    </w:p>
    <w:p w14:paraId="7F2CEA70" w14:textId="463FD71C" w:rsidR="0057497E" w:rsidRPr="00820E01" w:rsidRDefault="00481F3B" w:rsidP="003F4B19">
      <w:pPr>
        <w:pStyle w:val="BodyText"/>
      </w:pPr>
      <w:r>
        <w:t xml:space="preserve">The college operated during term 4 with a reduced senior leadership team, following the external promotion of the Deputy Principal Teaching and Learning.  </w:t>
      </w:r>
      <w:r w:rsidR="0057497E">
        <w:t xml:space="preserve">By the end of the year, </w:t>
      </w:r>
      <w:r>
        <w:t>that position was filled substantively by an experienced</w:t>
      </w:r>
      <w:r w:rsidR="0057497E">
        <w:t xml:space="preserve"> SLB</w:t>
      </w:r>
      <w:r>
        <w:t xml:space="preserve">.  A recruitment process also resolved a long-term vacancy of the School Leader C in the Technology faculty. </w:t>
      </w:r>
      <w:r w:rsidR="0057497E">
        <w:t xml:space="preserve"> </w:t>
      </w:r>
      <w:r>
        <w:t>The internal review of progress towards a fully implemented College Life model saw the creation of a new School Leader C position – Academic Progress</w:t>
      </w:r>
      <w:r w:rsidR="00B24E21">
        <w:t xml:space="preserve"> – for the 2019 school year</w:t>
      </w:r>
      <w:r>
        <w:t xml:space="preserve">.  This was filled on a temporary basis from </w:t>
      </w:r>
      <w:r w:rsidR="00B24E21">
        <w:t xml:space="preserve">within </w:t>
      </w:r>
      <w:r>
        <w:t xml:space="preserve">the college leadership </w:t>
      </w:r>
      <w:r w:rsidR="00B24E21">
        <w:t>team and</w:t>
      </w:r>
      <w:r>
        <w:t xml:space="preserve"> allowed a higher duties opportunity to backfill in Science/PE.</w:t>
      </w:r>
      <w:r w:rsidR="0057497E">
        <w:t xml:space="preserve">  </w:t>
      </w:r>
    </w:p>
    <w:p w14:paraId="792AD35B" w14:textId="4B0F130E" w:rsidR="000443D7" w:rsidRPr="007D36B1" w:rsidRDefault="003E22DD" w:rsidP="00A20F6F">
      <w:pPr>
        <w:pStyle w:val="Heading1"/>
        <w:rPr>
          <w:lang w:val="en-AU"/>
        </w:rPr>
      </w:pPr>
      <w:r w:rsidRPr="00EA5C81">
        <w:t>Methodology</w:t>
      </w:r>
      <w:r w:rsidR="007D36B1">
        <w:rPr>
          <w:lang w:val="en-AU"/>
        </w:rPr>
        <w:t xml:space="preserve"> </w:t>
      </w:r>
    </w:p>
    <w:p w14:paraId="1168EB9D" w14:textId="77777777" w:rsidR="00F0621A" w:rsidRDefault="00F0621A" w:rsidP="00F0621A">
      <w:pPr>
        <w:spacing w:before="240"/>
      </w:pPr>
      <w:r>
        <w:t xml:space="preserve">Self-evaluation has taken the form of iterative and formative investigations into how the improvement strategies have been impacting; and it has taken the form of summative evaluation using the systemic stakeholder satisfaction surveys.  Input has been provided by students (via surveys and focus groups), staff (via professional learning episodes and surveys) and parents (via </w:t>
      </w:r>
      <w:r>
        <w:lastRenderedPageBreak/>
        <w:t>participation rates and survey results).  The school’s leadership team also conducted internal reviews of progress against each of the three priority areas over the course of the year.</w:t>
      </w:r>
    </w:p>
    <w:p w14:paraId="012398EA" w14:textId="77777777" w:rsidR="00F0621A" w:rsidRDefault="00F0621A" w:rsidP="00F0621A">
      <w:pPr>
        <w:spacing w:before="240"/>
      </w:pPr>
      <w:r>
        <w:t>A summary of self-evaluative episodes and processes is contained in the following table:</w:t>
      </w:r>
    </w:p>
    <w:p w14:paraId="4DAE094C" w14:textId="77777777" w:rsidR="004F397F" w:rsidRDefault="004F397F" w:rsidP="00F0621A">
      <w:pPr>
        <w:spacing w:before="240"/>
      </w:pPr>
    </w:p>
    <w:p w14:paraId="28A77C9B" w14:textId="7EB7EE10" w:rsidR="00F0621A" w:rsidRDefault="00F0621A" w:rsidP="00F0621A">
      <w:pPr>
        <w:pStyle w:val="TableHeading0"/>
      </w:pPr>
      <w:r>
        <w:t>Table:  201</w:t>
      </w:r>
      <w:r w:rsidR="00955BC3">
        <w:t>8</w:t>
      </w:r>
      <w:r>
        <w:t xml:space="preserve"> Lake Tuggeranong College data sources and processes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017 Lake Tuggeranong College data sources and processes table"/>
        <w:tblDescription w:val="A table summarising for each Priority Area, the type, source and nature of data collection as part of reporting on progress of the school's improvement agenda."/>
      </w:tblPr>
      <w:tblGrid>
        <w:gridCol w:w="1426"/>
        <w:gridCol w:w="2538"/>
        <w:gridCol w:w="2526"/>
        <w:gridCol w:w="2526"/>
      </w:tblGrid>
      <w:tr w:rsidR="00F0621A" w14:paraId="485E8239" w14:textId="77777777" w:rsidTr="00F0621A">
        <w:tc>
          <w:tcPr>
            <w:tcW w:w="1456" w:type="dxa"/>
            <w:tcBorders>
              <w:top w:val="single" w:sz="4" w:space="0" w:color="auto"/>
              <w:left w:val="single" w:sz="4" w:space="0" w:color="auto"/>
              <w:bottom w:val="single" w:sz="4" w:space="0" w:color="auto"/>
              <w:right w:val="single" w:sz="4" w:space="0" w:color="auto"/>
            </w:tcBorders>
            <w:hideMark/>
          </w:tcPr>
          <w:p w14:paraId="3C641D00" w14:textId="77777777" w:rsidR="00F0621A" w:rsidRDefault="00F0621A">
            <w:pPr>
              <w:spacing w:before="240"/>
            </w:pPr>
            <w:r>
              <w:t>Priority Area</w:t>
            </w:r>
          </w:p>
        </w:tc>
        <w:tc>
          <w:tcPr>
            <w:tcW w:w="2602" w:type="dxa"/>
            <w:tcBorders>
              <w:top w:val="single" w:sz="4" w:space="0" w:color="auto"/>
              <w:left w:val="single" w:sz="4" w:space="0" w:color="auto"/>
              <w:bottom w:val="single" w:sz="4" w:space="0" w:color="auto"/>
              <w:right w:val="single" w:sz="4" w:space="0" w:color="auto"/>
            </w:tcBorders>
            <w:hideMark/>
          </w:tcPr>
          <w:p w14:paraId="67B968E8" w14:textId="77777777" w:rsidR="00F0621A" w:rsidRDefault="00F0621A">
            <w:pPr>
              <w:spacing w:before="240"/>
            </w:pPr>
            <w:r>
              <w:t>Data type</w:t>
            </w:r>
          </w:p>
        </w:tc>
        <w:tc>
          <w:tcPr>
            <w:tcW w:w="2600" w:type="dxa"/>
            <w:tcBorders>
              <w:top w:val="single" w:sz="4" w:space="0" w:color="auto"/>
              <w:left w:val="single" w:sz="4" w:space="0" w:color="auto"/>
              <w:bottom w:val="single" w:sz="4" w:space="0" w:color="auto"/>
              <w:right w:val="single" w:sz="4" w:space="0" w:color="auto"/>
            </w:tcBorders>
            <w:hideMark/>
          </w:tcPr>
          <w:p w14:paraId="4EFA794D" w14:textId="77777777" w:rsidR="00F0621A" w:rsidRDefault="00F0621A">
            <w:pPr>
              <w:spacing w:before="240"/>
            </w:pPr>
            <w:r>
              <w:t>Data contributors</w:t>
            </w:r>
          </w:p>
        </w:tc>
        <w:tc>
          <w:tcPr>
            <w:tcW w:w="2584" w:type="dxa"/>
            <w:tcBorders>
              <w:top w:val="single" w:sz="4" w:space="0" w:color="auto"/>
              <w:left w:val="single" w:sz="4" w:space="0" w:color="auto"/>
              <w:bottom w:val="single" w:sz="4" w:space="0" w:color="auto"/>
              <w:right w:val="single" w:sz="4" w:space="0" w:color="auto"/>
            </w:tcBorders>
            <w:hideMark/>
          </w:tcPr>
          <w:p w14:paraId="7A0C63D3" w14:textId="77777777" w:rsidR="00F0621A" w:rsidRDefault="00F0621A">
            <w:pPr>
              <w:spacing w:before="240"/>
            </w:pPr>
            <w:r>
              <w:t>Collection points</w:t>
            </w:r>
          </w:p>
        </w:tc>
      </w:tr>
      <w:tr w:rsidR="00F0621A" w14:paraId="379BD897" w14:textId="77777777" w:rsidTr="00F0621A">
        <w:tc>
          <w:tcPr>
            <w:tcW w:w="1456" w:type="dxa"/>
            <w:vMerge w:val="restart"/>
            <w:tcBorders>
              <w:top w:val="single" w:sz="4" w:space="0" w:color="auto"/>
              <w:left w:val="single" w:sz="4" w:space="0" w:color="auto"/>
              <w:bottom w:val="single" w:sz="4" w:space="0" w:color="auto"/>
              <w:right w:val="single" w:sz="4" w:space="0" w:color="auto"/>
            </w:tcBorders>
            <w:hideMark/>
          </w:tcPr>
          <w:p w14:paraId="6CB6A630" w14:textId="77777777" w:rsidR="00F0621A" w:rsidRDefault="00F0621A">
            <w:pPr>
              <w:spacing w:before="240"/>
            </w:pPr>
            <w:r>
              <w:t>LEARN</w:t>
            </w:r>
          </w:p>
        </w:tc>
        <w:tc>
          <w:tcPr>
            <w:tcW w:w="2602" w:type="dxa"/>
            <w:tcBorders>
              <w:top w:val="single" w:sz="4" w:space="0" w:color="auto"/>
              <w:left w:val="single" w:sz="4" w:space="0" w:color="auto"/>
              <w:bottom w:val="single" w:sz="4" w:space="0" w:color="auto"/>
              <w:right w:val="single" w:sz="4" w:space="0" w:color="auto"/>
            </w:tcBorders>
            <w:hideMark/>
          </w:tcPr>
          <w:p w14:paraId="36126557" w14:textId="77777777" w:rsidR="00F0621A" w:rsidRDefault="00F0621A">
            <w:pPr>
              <w:spacing w:line="240" w:lineRule="auto"/>
            </w:pPr>
            <w:r>
              <w:t>Teacher impact</w:t>
            </w:r>
          </w:p>
          <w:p w14:paraId="7AC695A4" w14:textId="77777777" w:rsidR="00F0621A" w:rsidRDefault="00F0621A" w:rsidP="00F0621A">
            <w:pPr>
              <w:numPr>
                <w:ilvl w:val="0"/>
                <w:numId w:val="14"/>
              </w:numPr>
              <w:spacing w:line="240" w:lineRule="auto"/>
              <w:ind w:left="318" w:hanging="284"/>
            </w:pPr>
            <w:r>
              <w:t>Feedback – anecdotal, presentations, feedback from observations</w:t>
            </w:r>
          </w:p>
        </w:tc>
        <w:tc>
          <w:tcPr>
            <w:tcW w:w="2600" w:type="dxa"/>
            <w:tcBorders>
              <w:top w:val="single" w:sz="4" w:space="0" w:color="auto"/>
              <w:left w:val="single" w:sz="4" w:space="0" w:color="auto"/>
              <w:bottom w:val="single" w:sz="4" w:space="0" w:color="auto"/>
              <w:right w:val="single" w:sz="4" w:space="0" w:color="auto"/>
            </w:tcBorders>
            <w:hideMark/>
          </w:tcPr>
          <w:p w14:paraId="2F67A905" w14:textId="77777777" w:rsidR="00F0621A" w:rsidRDefault="00F0621A" w:rsidP="00F0621A">
            <w:pPr>
              <w:numPr>
                <w:ilvl w:val="0"/>
                <w:numId w:val="14"/>
              </w:numPr>
              <w:spacing w:line="240" w:lineRule="auto"/>
              <w:ind w:left="318" w:hanging="284"/>
            </w:pPr>
            <w:r>
              <w:t>School Leader B Staff (curator)</w:t>
            </w:r>
          </w:p>
          <w:p w14:paraId="36CBE2C8" w14:textId="77777777" w:rsidR="00F0621A" w:rsidRDefault="00F0621A" w:rsidP="00F0621A">
            <w:pPr>
              <w:numPr>
                <w:ilvl w:val="0"/>
                <w:numId w:val="14"/>
              </w:numPr>
              <w:spacing w:line="240" w:lineRule="auto"/>
              <w:ind w:left="318" w:hanging="284"/>
            </w:pPr>
            <w:r>
              <w:t>Teaching staff</w:t>
            </w:r>
          </w:p>
          <w:p w14:paraId="46C7F4D0" w14:textId="77777777" w:rsidR="00F0621A" w:rsidRDefault="00F0621A" w:rsidP="00F0621A">
            <w:pPr>
              <w:spacing w:line="240" w:lineRule="auto"/>
              <w:ind w:left="318"/>
            </w:pPr>
          </w:p>
        </w:tc>
        <w:tc>
          <w:tcPr>
            <w:tcW w:w="2584" w:type="dxa"/>
            <w:tcBorders>
              <w:top w:val="single" w:sz="4" w:space="0" w:color="auto"/>
              <w:left w:val="single" w:sz="4" w:space="0" w:color="auto"/>
              <w:bottom w:val="single" w:sz="4" w:space="0" w:color="auto"/>
              <w:right w:val="single" w:sz="4" w:space="0" w:color="auto"/>
            </w:tcBorders>
            <w:hideMark/>
          </w:tcPr>
          <w:p w14:paraId="0007A775" w14:textId="77777777" w:rsidR="00F0621A" w:rsidRDefault="00F0621A" w:rsidP="00F0621A">
            <w:pPr>
              <w:numPr>
                <w:ilvl w:val="0"/>
                <w:numId w:val="14"/>
              </w:numPr>
              <w:spacing w:line="240" w:lineRule="auto"/>
              <w:ind w:left="318" w:hanging="284"/>
            </w:pPr>
            <w:r>
              <w:t>PL sessions every three weeks</w:t>
            </w:r>
          </w:p>
          <w:p w14:paraId="40AFE974" w14:textId="77777777" w:rsidR="00F0621A" w:rsidRDefault="00F0621A" w:rsidP="00F0621A">
            <w:pPr>
              <w:numPr>
                <w:ilvl w:val="0"/>
                <w:numId w:val="14"/>
              </w:numPr>
              <w:spacing w:line="240" w:lineRule="auto"/>
              <w:ind w:left="318" w:hanging="284"/>
            </w:pPr>
            <w:r>
              <w:t>Whole-staff sharing once each semester</w:t>
            </w:r>
          </w:p>
        </w:tc>
      </w:tr>
      <w:tr w:rsidR="00F0621A" w14:paraId="0610B3D7" w14:textId="77777777" w:rsidTr="00F0621A">
        <w:tc>
          <w:tcPr>
            <w:tcW w:w="0" w:type="auto"/>
            <w:vMerge/>
            <w:tcBorders>
              <w:top w:val="single" w:sz="4" w:space="0" w:color="auto"/>
              <w:left w:val="single" w:sz="4" w:space="0" w:color="auto"/>
              <w:bottom w:val="single" w:sz="4" w:space="0" w:color="auto"/>
              <w:right w:val="single" w:sz="4" w:space="0" w:color="auto"/>
            </w:tcBorders>
            <w:vAlign w:val="center"/>
            <w:hideMark/>
          </w:tcPr>
          <w:p w14:paraId="70D0EAF9" w14:textId="77777777" w:rsidR="00F0621A" w:rsidRDefault="00F0621A">
            <w:pPr>
              <w:spacing w:line="240" w:lineRule="auto"/>
            </w:pPr>
          </w:p>
        </w:tc>
        <w:tc>
          <w:tcPr>
            <w:tcW w:w="2602" w:type="dxa"/>
            <w:tcBorders>
              <w:top w:val="single" w:sz="4" w:space="0" w:color="auto"/>
              <w:left w:val="single" w:sz="4" w:space="0" w:color="auto"/>
              <w:bottom w:val="single" w:sz="4" w:space="0" w:color="auto"/>
              <w:right w:val="single" w:sz="4" w:space="0" w:color="auto"/>
            </w:tcBorders>
            <w:hideMark/>
          </w:tcPr>
          <w:p w14:paraId="19D355A9" w14:textId="7543F654" w:rsidR="00F0621A" w:rsidRDefault="00F0621A" w:rsidP="00F0621A">
            <w:pPr>
              <w:numPr>
                <w:ilvl w:val="0"/>
                <w:numId w:val="14"/>
              </w:numPr>
              <w:spacing w:line="240" w:lineRule="auto"/>
              <w:ind w:left="318" w:hanging="284"/>
            </w:pPr>
            <w:r>
              <w:t>Number of coaches</w:t>
            </w:r>
            <w:r w:rsidR="007B1EC7">
              <w:t xml:space="preserve"> / mentors</w:t>
            </w:r>
            <w:r>
              <w:t xml:space="preserve"> active</w:t>
            </w:r>
          </w:p>
          <w:p w14:paraId="5B89E9F8" w14:textId="32320F60" w:rsidR="00F0621A" w:rsidRDefault="00F0621A" w:rsidP="00F0621A">
            <w:pPr>
              <w:numPr>
                <w:ilvl w:val="0"/>
                <w:numId w:val="14"/>
              </w:numPr>
              <w:spacing w:line="240" w:lineRule="auto"/>
              <w:ind w:left="318" w:hanging="284"/>
            </w:pPr>
            <w:r>
              <w:t xml:space="preserve">Coaching </w:t>
            </w:r>
            <w:r w:rsidR="007B1EC7">
              <w:t xml:space="preserve">/ mentoring </w:t>
            </w:r>
            <w:r>
              <w:t>reflections</w:t>
            </w:r>
          </w:p>
        </w:tc>
        <w:tc>
          <w:tcPr>
            <w:tcW w:w="2600" w:type="dxa"/>
            <w:tcBorders>
              <w:top w:val="single" w:sz="4" w:space="0" w:color="auto"/>
              <w:left w:val="single" w:sz="4" w:space="0" w:color="auto"/>
              <w:bottom w:val="single" w:sz="4" w:space="0" w:color="auto"/>
              <w:right w:val="single" w:sz="4" w:space="0" w:color="auto"/>
            </w:tcBorders>
          </w:tcPr>
          <w:p w14:paraId="54E1A410" w14:textId="77777777" w:rsidR="00F0621A" w:rsidRDefault="00F0621A" w:rsidP="00F0621A">
            <w:pPr>
              <w:numPr>
                <w:ilvl w:val="0"/>
                <w:numId w:val="14"/>
              </w:numPr>
              <w:spacing w:line="240" w:lineRule="auto"/>
              <w:ind w:left="318" w:hanging="284"/>
            </w:pPr>
            <w:r>
              <w:t>School Leader B Staff (curator)</w:t>
            </w:r>
          </w:p>
          <w:p w14:paraId="6F5FD2E6" w14:textId="77777777" w:rsidR="00F0621A" w:rsidRDefault="00F0621A" w:rsidP="00F0621A">
            <w:pPr>
              <w:spacing w:line="240" w:lineRule="auto"/>
              <w:ind w:left="318"/>
            </w:pPr>
          </w:p>
        </w:tc>
        <w:tc>
          <w:tcPr>
            <w:tcW w:w="2584" w:type="dxa"/>
            <w:tcBorders>
              <w:top w:val="single" w:sz="4" w:space="0" w:color="auto"/>
              <w:left w:val="single" w:sz="4" w:space="0" w:color="auto"/>
              <w:bottom w:val="single" w:sz="4" w:space="0" w:color="auto"/>
              <w:right w:val="single" w:sz="4" w:space="0" w:color="auto"/>
            </w:tcBorders>
            <w:hideMark/>
          </w:tcPr>
          <w:p w14:paraId="4A2AC0A2" w14:textId="77777777" w:rsidR="00F0621A" w:rsidRDefault="00F0621A" w:rsidP="00F0621A">
            <w:pPr>
              <w:numPr>
                <w:ilvl w:val="0"/>
                <w:numId w:val="14"/>
              </w:numPr>
              <w:spacing w:line="240" w:lineRule="auto"/>
              <w:ind w:left="318" w:hanging="284"/>
            </w:pPr>
            <w:r>
              <w:t>Once a term</w:t>
            </w:r>
          </w:p>
          <w:p w14:paraId="652CE316" w14:textId="77777777" w:rsidR="00F0621A" w:rsidRDefault="00F0621A" w:rsidP="00F0621A">
            <w:pPr>
              <w:numPr>
                <w:ilvl w:val="0"/>
                <w:numId w:val="14"/>
              </w:numPr>
              <w:spacing w:line="240" w:lineRule="auto"/>
              <w:ind w:left="318" w:hanging="284"/>
            </w:pPr>
            <w:r>
              <w:t>Pathways meetings (three times a year)</w:t>
            </w:r>
          </w:p>
        </w:tc>
      </w:tr>
      <w:tr w:rsidR="00F0621A" w14:paraId="025D8A17" w14:textId="77777777" w:rsidTr="00F0621A">
        <w:tc>
          <w:tcPr>
            <w:tcW w:w="1456" w:type="dxa"/>
            <w:vMerge w:val="restart"/>
            <w:tcBorders>
              <w:top w:val="single" w:sz="4" w:space="0" w:color="auto"/>
              <w:left w:val="single" w:sz="4" w:space="0" w:color="auto"/>
              <w:bottom w:val="single" w:sz="4" w:space="0" w:color="auto"/>
              <w:right w:val="single" w:sz="4" w:space="0" w:color="auto"/>
            </w:tcBorders>
            <w:hideMark/>
          </w:tcPr>
          <w:p w14:paraId="49CFE159" w14:textId="77777777" w:rsidR="00F0621A" w:rsidRDefault="00F0621A">
            <w:pPr>
              <w:spacing w:before="240"/>
            </w:pPr>
            <w:r>
              <w:t>THRIVE</w:t>
            </w:r>
          </w:p>
          <w:p w14:paraId="4704ED8C" w14:textId="562AF13A" w:rsidR="00F0621A" w:rsidRDefault="00F0621A">
            <w:pPr>
              <w:spacing w:before="240"/>
            </w:pPr>
          </w:p>
        </w:tc>
        <w:tc>
          <w:tcPr>
            <w:tcW w:w="2602" w:type="dxa"/>
            <w:tcBorders>
              <w:top w:val="single" w:sz="4" w:space="0" w:color="auto"/>
              <w:left w:val="single" w:sz="4" w:space="0" w:color="auto"/>
              <w:bottom w:val="single" w:sz="4" w:space="0" w:color="auto"/>
              <w:right w:val="single" w:sz="4" w:space="0" w:color="auto"/>
            </w:tcBorders>
          </w:tcPr>
          <w:p w14:paraId="2319E203" w14:textId="77777777" w:rsidR="00F0621A" w:rsidRDefault="00F0621A">
            <w:pPr>
              <w:spacing w:line="240" w:lineRule="auto"/>
            </w:pPr>
            <w:r>
              <w:t>Student wellbeing</w:t>
            </w:r>
          </w:p>
          <w:p w14:paraId="330051E0" w14:textId="77777777" w:rsidR="00F0621A" w:rsidRDefault="00F0621A" w:rsidP="00F0621A">
            <w:pPr>
              <w:numPr>
                <w:ilvl w:val="0"/>
                <w:numId w:val="14"/>
              </w:numPr>
              <w:spacing w:line="240" w:lineRule="auto"/>
              <w:ind w:left="318" w:hanging="284"/>
            </w:pPr>
            <w:r>
              <w:t>College Life data – V-grades, class changes, presentations to student wellbeing coordinators, presentations to Careers</w:t>
            </w:r>
          </w:p>
        </w:tc>
        <w:tc>
          <w:tcPr>
            <w:tcW w:w="2600" w:type="dxa"/>
            <w:tcBorders>
              <w:top w:val="single" w:sz="4" w:space="0" w:color="auto"/>
              <w:left w:val="single" w:sz="4" w:space="0" w:color="auto"/>
              <w:bottom w:val="single" w:sz="4" w:space="0" w:color="auto"/>
              <w:right w:val="single" w:sz="4" w:space="0" w:color="auto"/>
            </w:tcBorders>
          </w:tcPr>
          <w:p w14:paraId="2E51CE7A" w14:textId="77777777" w:rsidR="00F0621A" w:rsidRDefault="00F0621A">
            <w:pPr>
              <w:spacing w:line="240" w:lineRule="auto"/>
              <w:ind w:left="318"/>
            </w:pPr>
          </w:p>
          <w:p w14:paraId="136AD878" w14:textId="77777777" w:rsidR="00F0621A" w:rsidRDefault="00F0621A" w:rsidP="00F0621A">
            <w:pPr>
              <w:numPr>
                <w:ilvl w:val="0"/>
                <w:numId w:val="14"/>
              </w:numPr>
              <w:spacing w:line="240" w:lineRule="auto"/>
              <w:ind w:left="318" w:hanging="284"/>
            </w:pPr>
            <w:r>
              <w:t>School Leader B Students and School Leader C College Life (curators)</w:t>
            </w:r>
          </w:p>
          <w:p w14:paraId="04FF2546" w14:textId="77777777" w:rsidR="00F0621A" w:rsidRDefault="00F0621A" w:rsidP="00F0621A">
            <w:pPr>
              <w:numPr>
                <w:ilvl w:val="0"/>
                <w:numId w:val="14"/>
              </w:numPr>
              <w:spacing w:line="240" w:lineRule="auto"/>
              <w:ind w:left="318" w:hanging="284"/>
            </w:pPr>
            <w:r>
              <w:t>Students, staff</w:t>
            </w:r>
          </w:p>
        </w:tc>
        <w:tc>
          <w:tcPr>
            <w:tcW w:w="2584" w:type="dxa"/>
            <w:tcBorders>
              <w:top w:val="single" w:sz="4" w:space="0" w:color="auto"/>
              <w:left w:val="single" w:sz="4" w:space="0" w:color="auto"/>
              <w:bottom w:val="single" w:sz="4" w:space="0" w:color="auto"/>
              <w:right w:val="single" w:sz="4" w:space="0" w:color="auto"/>
            </w:tcBorders>
          </w:tcPr>
          <w:p w14:paraId="4B45B250" w14:textId="77777777" w:rsidR="00F0621A" w:rsidRDefault="00F0621A">
            <w:pPr>
              <w:spacing w:line="240" w:lineRule="auto"/>
              <w:ind w:left="318"/>
            </w:pPr>
          </w:p>
          <w:p w14:paraId="4BD696A1" w14:textId="77777777" w:rsidR="00F0621A" w:rsidRDefault="00F0621A" w:rsidP="00F0621A">
            <w:pPr>
              <w:numPr>
                <w:ilvl w:val="0"/>
                <w:numId w:val="14"/>
              </w:numPr>
              <w:spacing w:line="240" w:lineRule="auto"/>
              <w:ind w:left="318" w:hanging="284"/>
            </w:pPr>
            <w:r>
              <w:t>Once a term</w:t>
            </w:r>
          </w:p>
        </w:tc>
      </w:tr>
      <w:tr w:rsidR="00F0621A" w14:paraId="61288BA3" w14:textId="77777777" w:rsidTr="00F0621A">
        <w:tc>
          <w:tcPr>
            <w:tcW w:w="0" w:type="auto"/>
            <w:vMerge/>
            <w:tcBorders>
              <w:top w:val="single" w:sz="4" w:space="0" w:color="auto"/>
              <w:left w:val="single" w:sz="4" w:space="0" w:color="auto"/>
              <w:bottom w:val="single" w:sz="4" w:space="0" w:color="auto"/>
              <w:right w:val="single" w:sz="4" w:space="0" w:color="auto"/>
            </w:tcBorders>
            <w:vAlign w:val="center"/>
            <w:hideMark/>
          </w:tcPr>
          <w:p w14:paraId="59874189" w14:textId="77777777" w:rsidR="00F0621A" w:rsidRDefault="00F0621A">
            <w:pPr>
              <w:spacing w:line="240" w:lineRule="auto"/>
            </w:pPr>
          </w:p>
        </w:tc>
        <w:tc>
          <w:tcPr>
            <w:tcW w:w="2602" w:type="dxa"/>
            <w:tcBorders>
              <w:top w:val="single" w:sz="4" w:space="0" w:color="auto"/>
              <w:left w:val="single" w:sz="4" w:space="0" w:color="auto"/>
              <w:bottom w:val="single" w:sz="4" w:space="0" w:color="auto"/>
              <w:right w:val="single" w:sz="4" w:space="0" w:color="auto"/>
            </w:tcBorders>
            <w:hideMark/>
          </w:tcPr>
          <w:p w14:paraId="34EA12EB" w14:textId="77777777" w:rsidR="00F0621A" w:rsidRDefault="00F0621A">
            <w:pPr>
              <w:spacing w:line="240" w:lineRule="auto"/>
            </w:pPr>
            <w:r>
              <w:t>Student satisfaction</w:t>
            </w:r>
          </w:p>
          <w:p w14:paraId="12E48C4D" w14:textId="77777777" w:rsidR="00F0621A" w:rsidRDefault="00F0621A" w:rsidP="00F0621A">
            <w:pPr>
              <w:numPr>
                <w:ilvl w:val="0"/>
                <w:numId w:val="14"/>
              </w:numPr>
              <w:spacing w:line="240" w:lineRule="auto"/>
              <w:ind w:left="318" w:hanging="284"/>
            </w:pPr>
            <w:r>
              <w:t xml:space="preserve">Student survey data </w:t>
            </w:r>
          </w:p>
          <w:p w14:paraId="64E73206" w14:textId="77777777" w:rsidR="00F0621A" w:rsidRDefault="00F0621A" w:rsidP="00F0621A">
            <w:pPr>
              <w:numPr>
                <w:ilvl w:val="0"/>
                <w:numId w:val="14"/>
              </w:numPr>
              <w:spacing w:line="240" w:lineRule="auto"/>
              <w:ind w:left="318" w:hanging="284"/>
            </w:pPr>
            <w:r>
              <w:t>Student goal achievement</w:t>
            </w:r>
          </w:p>
        </w:tc>
        <w:tc>
          <w:tcPr>
            <w:tcW w:w="2600" w:type="dxa"/>
            <w:tcBorders>
              <w:top w:val="single" w:sz="4" w:space="0" w:color="auto"/>
              <w:left w:val="single" w:sz="4" w:space="0" w:color="auto"/>
              <w:bottom w:val="single" w:sz="4" w:space="0" w:color="auto"/>
              <w:right w:val="single" w:sz="4" w:space="0" w:color="auto"/>
            </w:tcBorders>
            <w:hideMark/>
          </w:tcPr>
          <w:p w14:paraId="1476F809" w14:textId="77777777" w:rsidR="00F0621A" w:rsidRDefault="00F0621A" w:rsidP="00F0621A">
            <w:pPr>
              <w:numPr>
                <w:ilvl w:val="0"/>
                <w:numId w:val="14"/>
              </w:numPr>
              <w:spacing w:line="240" w:lineRule="auto"/>
              <w:ind w:left="318" w:hanging="284"/>
            </w:pPr>
            <w:r>
              <w:t>Students</w:t>
            </w:r>
          </w:p>
          <w:p w14:paraId="33161B4E" w14:textId="77777777" w:rsidR="00F0621A" w:rsidRDefault="00F0621A" w:rsidP="00F0621A">
            <w:pPr>
              <w:numPr>
                <w:ilvl w:val="0"/>
                <w:numId w:val="14"/>
              </w:numPr>
              <w:spacing w:line="240" w:lineRule="auto"/>
              <w:ind w:left="318" w:hanging="284"/>
            </w:pPr>
            <w:r>
              <w:t>LinC teachers</w:t>
            </w:r>
          </w:p>
          <w:p w14:paraId="7222555A" w14:textId="77777777" w:rsidR="00F0621A" w:rsidRDefault="00F0621A" w:rsidP="00F0621A">
            <w:pPr>
              <w:numPr>
                <w:ilvl w:val="0"/>
                <w:numId w:val="14"/>
              </w:numPr>
              <w:spacing w:line="240" w:lineRule="auto"/>
              <w:ind w:left="318" w:hanging="284"/>
            </w:pPr>
            <w:r>
              <w:t>Classroom teachers</w:t>
            </w:r>
          </w:p>
          <w:p w14:paraId="2A314B9E" w14:textId="77777777" w:rsidR="00F0621A" w:rsidRDefault="00F0621A" w:rsidP="00F0621A">
            <w:pPr>
              <w:numPr>
                <w:ilvl w:val="0"/>
                <w:numId w:val="14"/>
              </w:numPr>
              <w:spacing w:line="240" w:lineRule="auto"/>
              <w:ind w:left="318" w:hanging="284"/>
            </w:pPr>
            <w:r>
              <w:t>Careers data sets</w:t>
            </w:r>
          </w:p>
        </w:tc>
        <w:tc>
          <w:tcPr>
            <w:tcW w:w="2584" w:type="dxa"/>
            <w:tcBorders>
              <w:top w:val="single" w:sz="4" w:space="0" w:color="auto"/>
              <w:left w:val="single" w:sz="4" w:space="0" w:color="auto"/>
              <w:bottom w:val="single" w:sz="4" w:space="0" w:color="auto"/>
              <w:right w:val="single" w:sz="4" w:space="0" w:color="auto"/>
            </w:tcBorders>
          </w:tcPr>
          <w:p w14:paraId="402EB1DB" w14:textId="77777777" w:rsidR="00F0621A" w:rsidRDefault="00F0621A" w:rsidP="00F0621A">
            <w:pPr>
              <w:numPr>
                <w:ilvl w:val="0"/>
                <w:numId w:val="14"/>
              </w:numPr>
              <w:spacing w:line="240" w:lineRule="auto"/>
              <w:ind w:left="318" w:hanging="284"/>
            </w:pPr>
            <w:r>
              <w:t>TALES once a term/semester</w:t>
            </w:r>
          </w:p>
          <w:p w14:paraId="5A6A0702" w14:textId="77777777" w:rsidR="00F0621A" w:rsidRDefault="00F0621A" w:rsidP="00F0621A">
            <w:pPr>
              <w:numPr>
                <w:ilvl w:val="0"/>
                <w:numId w:val="14"/>
              </w:numPr>
              <w:spacing w:line="240" w:lineRule="auto"/>
              <w:ind w:left="318" w:hanging="284"/>
            </w:pPr>
            <w:r>
              <w:t>System satisfaction survey episode in term 3</w:t>
            </w:r>
          </w:p>
          <w:p w14:paraId="309BB982" w14:textId="77777777" w:rsidR="00F0621A" w:rsidRDefault="00F0621A">
            <w:pPr>
              <w:spacing w:line="240" w:lineRule="auto"/>
              <w:ind w:left="34"/>
            </w:pPr>
          </w:p>
        </w:tc>
      </w:tr>
      <w:tr w:rsidR="00F0621A" w14:paraId="4F35EE20" w14:textId="77777777" w:rsidTr="00F0621A">
        <w:tc>
          <w:tcPr>
            <w:tcW w:w="0" w:type="auto"/>
            <w:vMerge/>
            <w:tcBorders>
              <w:top w:val="single" w:sz="4" w:space="0" w:color="auto"/>
              <w:left w:val="single" w:sz="4" w:space="0" w:color="auto"/>
              <w:bottom w:val="single" w:sz="4" w:space="0" w:color="auto"/>
              <w:right w:val="single" w:sz="4" w:space="0" w:color="auto"/>
            </w:tcBorders>
            <w:vAlign w:val="center"/>
            <w:hideMark/>
          </w:tcPr>
          <w:p w14:paraId="6B81DD21" w14:textId="77777777" w:rsidR="00F0621A" w:rsidRDefault="00F0621A">
            <w:pPr>
              <w:spacing w:line="240" w:lineRule="auto"/>
            </w:pPr>
          </w:p>
        </w:tc>
        <w:tc>
          <w:tcPr>
            <w:tcW w:w="2602" w:type="dxa"/>
            <w:tcBorders>
              <w:top w:val="single" w:sz="4" w:space="0" w:color="auto"/>
              <w:left w:val="single" w:sz="4" w:space="0" w:color="auto"/>
              <w:bottom w:val="single" w:sz="4" w:space="0" w:color="auto"/>
              <w:right w:val="single" w:sz="4" w:space="0" w:color="auto"/>
            </w:tcBorders>
            <w:hideMark/>
          </w:tcPr>
          <w:p w14:paraId="700D30EC" w14:textId="77777777" w:rsidR="00F0621A" w:rsidRDefault="00F0621A">
            <w:pPr>
              <w:spacing w:line="240" w:lineRule="auto"/>
            </w:pPr>
            <w:r>
              <w:t>Student performance</w:t>
            </w:r>
          </w:p>
          <w:p w14:paraId="451ACA57" w14:textId="77777777" w:rsidR="00F0621A" w:rsidRDefault="00F0621A" w:rsidP="00F0621A">
            <w:pPr>
              <w:numPr>
                <w:ilvl w:val="0"/>
                <w:numId w:val="14"/>
              </w:numPr>
              <w:spacing w:line="240" w:lineRule="auto"/>
              <w:ind w:left="318" w:hanging="284"/>
            </w:pPr>
            <w:r>
              <w:t>Student leadership group data – number of participants by types of leadership opportunities</w:t>
            </w:r>
          </w:p>
        </w:tc>
        <w:tc>
          <w:tcPr>
            <w:tcW w:w="2600" w:type="dxa"/>
            <w:tcBorders>
              <w:top w:val="single" w:sz="4" w:space="0" w:color="auto"/>
              <w:left w:val="single" w:sz="4" w:space="0" w:color="auto"/>
              <w:bottom w:val="single" w:sz="4" w:space="0" w:color="auto"/>
              <w:right w:val="single" w:sz="4" w:space="0" w:color="auto"/>
            </w:tcBorders>
            <w:hideMark/>
          </w:tcPr>
          <w:p w14:paraId="2FD14825" w14:textId="77777777" w:rsidR="00F0621A" w:rsidRDefault="00F0621A" w:rsidP="00F0621A">
            <w:pPr>
              <w:numPr>
                <w:ilvl w:val="0"/>
                <w:numId w:val="14"/>
              </w:numPr>
              <w:spacing w:line="240" w:lineRule="auto"/>
              <w:ind w:left="318" w:hanging="284"/>
            </w:pPr>
            <w:r>
              <w:t>School Leader C College Life (curator)</w:t>
            </w:r>
          </w:p>
          <w:p w14:paraId="0AC9736F" w14:textId="77777777" w:rsidR="00F0621A" w:rsidRDefault="00F0621A" w:rsidP="00F0621A">
            <w:pPr>
              <w:numPr>
                <w:ilvl w:val="0"/>
                <w:numId w:val="14"/>
              </w:numPr>
              <w:spacing w:line="240" w:lineRule="auto"/>
              <w:ind w:left="318" w:hanging="284"/>
            </w:pPr>
            <w:r>
              <w:t>Student leaders</w:t>
            </w:r>
          </w:p>
        </w:tc>
        <w:tc>
          <w:tcPr>
            <w:tcW w:w="2584" w:type="dxa"/>
            <w:tcBorders>
              <w:top w:val="single" w:sz="4" w:space="0" w:color="auto"/>
              <w:left w:val="single" w:sz="4" w:space="0" w:color="auto"/>
              <w:bottom w:val="single" w:sz="4" w:space="0" w:color="auto"/>
              <w:right w:val="single" w:sz="4" w:space="0" w:color="auto"/>
            </w:tcBorders>
            <w:hideMark/>
          </w:tcPr>
          <w:p w14:paraId="6D5E2171" w14:textId="77777777" w:rsidR="00F0621A" w:rsidRDefault="00F0621A" w:rsidP="00F0621A">
            <w:pPr>
              <w:numPr>
                <w:ilvl w:val="0"/>
                <w:numId w:val="14"/>
              </w:numPr>
              <w:spacing w:line="240" w:lineRule="auto"/>
              <w:ind w:left="318" w:hanging="284"/>
            </w:pPr>
            <w:r>
              <w:t>Once a term</w:t>
            </w:r>
          </w:p>
        </w:tc>
      </w:tr>
      <w:tr w:rsidR="00F0621A" w14:paraId="0D481416" w14:textId="77777777" w:rsidTr="00F0621A">
        <w:tc>
          <w:tcPr>
            <w:tcW w:w="0" w:type="auto"/>
            <w:vMerge/>
            <w:tcBorders>
              <w:top w:val="single" w:sz="4" w:space="0" w:color="auto"/>
              <w:left w:val="single" w:sz="4" w:space="0" w:color="auto"/>
              <w:bottom w:val="single" w:sz="4" w:space="0" w:color="auto"/>
              <w:right w:val="single" w:sz="4" w:space="0" w:color="auto"/>
            </w:tcBorders>
            <w:vAlign w:val="center"/>
            <w:hideMark/>
          </w:tcPr>
          <w:p w14:paraId="62FD280D" w14:textId="77777777" w:rsidR="00F0621A" w:rsidRDefault="00F0621A">
            <w:pPr>
              <w:spacing w:line="240" w:lineRule="auto"/>
            </w:pPr>
          </w:p>
        </w:tc>
        <w:tc>
          <w:tcPr>
            <w:tcW w:w="2602" w:type="dxa"/>
            <w:tcBorders>
              <w:top w:val="single" w:sz="4" w:space="0" w:color="auto"/>
              <w:left w:val="single" w:sz="4" w:space="0" w:color="auto"/>
              <w:bottom w:val="single" w:sz="4" w:space="0" w:color="auto"/>
              <w:right w:val="single" w:sz="4" w:space="0" w:color="auto"/>
            </w:tcBorders>
            <w:hideMark/>
          </w:tcPr>
          <w:p w14:paraId="24F6602D" w14:textId="77777777" w:rsidR="00F0621A" w:rsidRDefault="00F0621A" w:rsidP="00F0621A">
            <w:pPr>
              <w:numPr>
                <w:ilvl w:val="0"/>
                <w:numId w:val="14"/>
              </w:numPr>
              <w:spacing w:line="240" w:lineRule="auto"/>
              <w:ind w:left="318" w:hanging="284"/>
            </w:pPr>
            <w:r>
              <w:t>Number of professional learning sessions delivered</w:t>
            </w:r>
          </w:p>
          <w:p w14:paraId="1AD475F1" w14:textId="77777777" w:rsidR="00F0621A" w:rsidRDefault="00F0621A" w:rsidP="00F0621A">
            <w:pPr>
              <w:numPr>
                <w:ilvl w:val="0"/>
                <w:numId w:val="14"/>
              </w:numPr>
              <w:spacing w:line="240" w:lineRule="auto"/>
              <w:ind w:left="318" w:hanging="284"/>
            </w:pPr>
            <w:r>
              <w:t>Number of participants attending</w:t>
            </w:r>
          </w:p>
          <w:p w14:paraId="63BD5EFD" w14:textId="77777777" w:rsidR="00F0621A" w:rsidRDefault="00F0621A" w:rsidP="00F0621A">
            <w:pPr>
              <w:numPr>
                <w:ilvl w:val="0"/>
                <w:numId w:val="14"/>
              </w:numPr>
              <w:spacing w:line="240" w:lineRule="auto"/>
              <w:ind w:left="318" w:hanging="284"/>
            </w:pPr>
            <w:r>
              <w:t>Satisfaction rates from the professional learning</w:t>
            </w:r>
          </w:p>
        </w:tc>
        <w:tc>
          <w:tcPr>
            <w:tcW w:w="2600" w:type="dxa"/>
            <w:tcBorders>
              <w:top w:val="single" w:sz="4" w:space="0" w:color="auto"/>
              <w:left w:val="single" w:sz="4" w:space="0" w:color="auto"/>
              <w:bottom w:val="single" w:sz="4" w:space="0" w:color="auto"/>
              <w:right w:val="single" w:sz="4" w:space="0" w:color="auto"/>
            </w:tcBorders>
            <w:hideMark/>
          </w:tcPr>
          <w:p w14:paraId="72F1F1D7" w14:textId="77777777" w:rsidR="00F0621A" w:rsidRDefault="00F0621A" w:rsidP="00F0621A">
            <w:pPr>
              <w:numPr>
                <w:ilvl w:val="0"/>
                <w:numId w:val="14"/>
              </w:numPr>
              <w:spacing w:line="240" w:lineRule="auto"/>
              <w:ind w:left="318" w:hanging="284"/>
            </w:pPr>
            <w:r>
              <w:t>Student Wellbeing Coordinators</w:t>
            </w:r>
          </w:p>
          <w:p w14:paraId="46D7AE74" w14:textId="77777777" w:rsidR="00F0621A" w:rsidRDefault="00F0621A" w:rsidP="00F0621A">
            <w:pPr>
              <w:numPr>
                <w:ilvl w:val="0"/>
                <w:numId w:val="14"/>
              </w:numPr>
              <w:spacing w:line="240" w:lineRule="auto"/>
              <w:ind w:left="318" w:hanging="284"/>
            </w:pPr>
            <w:r>
              <w:t>Participating staff – teachers and support staff</w:t>
            </w:r>
          </w:p>
          <w:p w14:paraId="5B4C80F7" w14:textId="77777777" w:rsidR="00F0621A" w:rsidRDefault="00F0621A" w:rsidP="00F0621A">
            <w:pPr>
              <w:numPr>
                <w:ilvl w:val="0"/>
                <w:numId w:val="14"/>
              </w:numPr>
              <w:spacing w:line="240" w:lineRule="auto"/>
              <w:ind w:left="318" w:hanging="284"/>
            </w:pPr>
            <w:r>
              <w:t>Participating students</w:t>
            </w:r>
          </w:p>
        </w:tc>
        <w:tc>
          <w:tcPr>
            <w:tcW w:w="2584" w:type="dxa"/>
            <w:tcBorders>
              <w:top w:val="single" w:sz="4" w:space="0" w:color="auto"/>
              <w:left w:val="single" w:sz="4" w:space="0" w:color="auto"/>
              <w:bottom w:val="single" w:sz="4" w:space="0" w:color="auto"/>
              <w:right w:val="single" w:sz="4" w:space="0" w:color="auto"/>
            </w:tcBorders>
            <w:hideMark/>
          </w:tcPr>
          <w:p w14:paraId="20FC61FE" w14:textId="77777777" w:rsidR="00F0621A" w:rsidRDefault="00F0621A" w:rsidP="00F0621A">
            <w:pPr>
              <w:numPr>
                <w:ilvl w:val="0"/>
                <w:numId w:val="14"/>
              </w:numPr>
              <w:spacing w:line="240" w:lineRule="auto"/>
              <w:ind w:left="318" w:hanging="284"/>
            </w:pPr>
            <w:r>
              <w:t>Episodic; PL sessions three times a term.</w:t>
            </w:r>
          </w:p>
        </w:tc>
      </w:tr>
      <w:tr w:rsidR="00F0621A" w14:paraId="4321149E" w14:textId="77777777" w:rsidTr="00F0621A">
        <w:tc>
          <w:tcPr>
            <w:tcW w:w="0" w:type="auto"/>
            <w:vMerge/>
            <w:tcBorders>
              <w:top w:val="single" w:sz="4" w:space="0" w:color="auto"/>
              <w:left w:val="single" w:sz="4" w:space="0" w:color="auto"/>
              <w:bottom w:val="single" w:sz="4" w:space="0" w:color="auto"/>
              <w:right w:val="single" w:sz="4" w:space="0" w:color="auto"/>
            </w:tcBorders>
            <w:vAlign w:val="center"/>
            <w:hideMark/>
          </w:tcPr>
          <w:p w14:paraId="2137360F" w14:textId="77777777" w:rsidR="00F0621A" w:rsidRDefault="00F0621A">
            <w:pPr>
              <w:spacing w:line="240" w:lineRule="auto"/>
            </w:pPr>
          </w:p>
        </w:tc>
        <w:tc>
          <w:tcPr>
            <w:tcW w:w="2602" w:type="dxa"/>
            <w:tcBorders>
              <w:top w:val="single" w:sz="4" w:space="0" w:color="auto"/>
              <w:left w:val="single" w:sz="4" w:space="0" w:color="auto"/>
              <w:bottom w:val="single" w:sz="4" w:space="0" w:color="auto"/>
              <w:right w:val="single" w:sz="4" w:space="0" w:color="auto"/>
            </w:tcBorders>
            <w:hideMark/>
          </w:tcPr>
          <w:p w14:paraId="5E219B6A" w14:textId="77777777" w:rsidR="00F0621A" w:rsidRDefault="00F0621A" w:rsidP="00F0621A">
            <w:pPr>
              <w:numPr>
                <w:ilvl w:val="0"/>
                <w:numId w:val="14"/>
              </w:numPr>
              <w:spacing w:line="240" w:lineRule="auto"/>
              <w:ind w:left="318" w:hanging="284"/>
            </w:pPr>
            <w:r>
              <w:t>NSIT reflection data</w:t>
            </w:r>
          </w:p>
        </w:tc>
        <w:tc>
          <w:tcPr>
            <w:tcW w:w="2600" w:type="dxa"/>
            <w:tcBorders>
              <w:top w:val="single" w:sz="4" w:space="0" w:color="auto"/>
              <w:left w:val="single" w:sz="4" w:space="0" w:color="auto"/>
              <w:bottom w:val="single" w:sz="4" w:space="0" w:color="auto"/>
              <w:right w:val="single" w:sz="4" w:space="0" w:color="auto"/>
            </w:tcBorders>
            <w:hideMark/>
          </w:tcPr>
          <w:p w14:paraId="4A5413AA" w14:textId="77777777" w:rsidR="00F0621A" w:rsidRDefault="00F0621A" w:rsidP="00F0621A">
            <w:pPr>
              <w:numPr>
                <w:ilvl w:val="0"/>
                <w:numId w:val="14"/>
              </w:numPr>
              <w:spacing w:line="240" w:lineRule="auto"/>
              <w:ind w:left="318" w:hanging="284"/>
            </w:pPr>
            <w:r>
              <w:t>School leadership team</w:t>
            </w:r>
          </w:p>
        </w:tc>
        <w:tc>
          <w:tcPr>
            <w:tcW w:w="2584" w:type="dxa"/>
            <w:tcBorders>
              <w:top w:val="single" w:sz="4" w:space="0" w:color="auto"/>
              <w:left w:val="single" w:sz="4" w:space="0" w:color="auto"/>
              <w:bottom w:val="single" w:sz="4" w:space="0" w:color="auto"/>
              <w:right w:val="single" w:sz="4" w:space="0" w:color="auto"/>
            </w:tcBorders>
            <w:hideMark/>
          </w:tcPr>
          <w:p w14:paraId="168338A7" w14:textId="77777777" w:rsidR="00F0621A" w:rsidRDefault="00F0621A" w:rsidP="00F0621A">
            <w:pPr>
              <w:numPr>
                <w:ilvl w:val="0"/>
                <w:numId w:val="14"/>
              </w:numPr>
              <w:spacing w:line="240" w:lineRule="auto"/>
              <w:ind w:left="318" w:hanging="284"/>
            </w:pPr>
            <w:r>
              <w:t>Annual leadership conference in term 4</w:t>
            </w:r>
          </w:p>
        </w:tc>
      </w:tr>
      <w:tr w:rsidR="00F0621A" w14:paraId="019DDC65" w14:textId="77777777" w:rsidTr="00F0621A">
        <w:tc>
          <w:tcPr>
            <w:tcW w:w="1456" w:type="dxa"/>
            <w:vMerge w:val="restart"/>
            <w:tcBorders>
              <w:top w:val="single" w:sz="4" w:space="0" w:color="auto"/>
              <w:left w:val="single" w:sz="4" w:space="0" w:color="auto"/>
              <w:bottom w:val="single" w:sz="4" w:space="0" w:color="auto"/>
              <w:right w:val="single" w:sz="4" w:space="0" w:color="auto"/>
            </w:tcBorders>
            <w:hideMark/>
          </w:tcPr>
          <w:p w14:paraId="6720C2D8" w14:textId="77777777" w:rsidR="00F0621A" w:rsidRDefault="00F0621A">
            <w:pPr>
              <w:spacing w:before="240"/>
            </w:pPr>
            <w:r>
              <w:t>CONNECT</w:t>
            </w:r>
          </w:p>
        </w:tc>
        <w:tc>
          <w:tcPr>
            <w:tcW w:w="2602" w:type="dxa"/>
            <w:tcBorders>
              <w:top w:val="single" w:sz="4" w:space="0" w:color="auto"/>
              <w:left w:val="single" w:sz="4" w:space="0" w:color="auto"/>
              <w:bottom w:val="single" w:sz="4" w:space="0" w:color="auto"/>
              <w:right w:val="single" w:sz="4" w:space="0" w:color="auto"/>
            </w:tcBorders>
            <w:hideMark/>
          </w:tcPr>
          <w:p w14:paraId="6EDFC350" w14:textId="77777777" w:rsidR="00F0621A" w:rsidRDefault="00F0621A">
            <w:pPr>
              <w:spacing w:line="240" w:lineRule="auto"/>
            </w:pPr>
            <w:r>
              <w:t>Student transition</w:t>
            </w:r>
          </w:p>
          <w:p w14:paraId="1954D504" w14:textId="77777777" w:rsidR="00F0621A" w:rsidRDefault="00F0621A" w:rsidP="00F0621A">
            <w:pPr>
              <w:numPr>
                <w:ilvl w:val="0"/>
                <w:numId w:val="14"/>
              </w:numPr>
              <w:spacing w:line="240" w:lineRule="auto"/>
              <w:ind w:left="318" w:hanging="284"/>
            </w:pPr>
            <w:r>
              <w:lastRenderedPageBreak/>
              <w:t>Transition data (incoming and outgoing)</w:t>
            </w:r>
          </w:p>
        </w:tc>
        <w:tc>
          <w:tcPr>
            <w:tcW w:w="2600" w:type="dxa"/>
            <w:tcBorders>
              <w:top w:val="single" w:sz="4" w:space="0" w:color="auto"/>
              <w:left w:val="single" w:sz="4" w:space="0" w:color="auto"/>
              <w:bottom w:val="single" w:sz="4" w:space="0" w:color="auto"/>
              <w:right w:val="single" w:sz="4" w:space="0" w:color="auto"/>
            </w:tcBorders>
            <w:hideMark/>
          </w:tcPr>
          <w:p w14:paraId="667CC528" w14:textId="77777777" w:rsidR="00F0621A" w:rsidRDefault="00F0621A" w:rsidP="00F0621A">
            <w:pPr>
              <w:numPr>
                <w:ilvl w:val="0"/>
                <w:numId w:val="14"/>
              </w:numPr>
              <w:spacing w:line="240" w:lineRule="auto"/>
              <w:ind w:left="318" w:hanging="284"/>
            </w:pPr>
            <w:r>
              <w:lastRenderedPageBreak/>
              <w:t>Incoming students</w:t>
            </w:r>
          </w:p>
          <w:p w14:paraId="5BA46D0A" w14:textId="77777777" w:rsidR="00F0621A" w:rsidRDefault="00F0621A" w:rsidP="00F0621A">
            <w:pPr>
              <w:numPr>
                <w:ilvl w:val="0"/>
                <w:numId w:val="14"/>
              </w:numPr>
              <w:spacing w:line="240" w:lineRule="auto"/>
              <w:ind w:left="318" w:hanging="284"/>
            </w:pPr>
            <w:r>
              <w:t>Outgoing students</w:t>
            </w:r>
          </w:p>
        </w:tc>
        <w:tc>
          <w:tcPr>
            <w:tcW w:w="2584" w:type="dxa"/>
            <w:tcBorders>
              <w:top w:val="single" w:sz="4" w:space="0" w:color="auto"/>
              <w:left w:val="single" w:sz="4" w:space="0" w:color="auto"/>
              <w:bottom w:val="single" w:sz="4" w:space="0" w:color="auto"/>
              <w:right w:val="single" w:sz="4" w:space="0" w:color="auto"/>
            </w:tcBorders>
            <w:hideMark/>
          </w:tcPr>
          <w:p w14:paraId="4DF80CD9" w14:textId="77777777" w:rsidR="00F0621A" w:rsidRDefault="00F0621A" w:rsidP="00F0621A">
            <w:pPr>
              <w:numPr>
                <w:ilvl w:val="0"/>
                <w:numId w:val="14"/>
              </w:numPr>
              <w:spacing w:line="240" w:lineRule="auto"/>
              <w:ind w:left="318" w:hanging="284"/>
            </w:pPr>
            <w:r>
              <w:t>End of term 1</w:t>
            </w:r>
          </w:p>
          <w:p w14:paraId="4011B01B" w14:textId="77777777" w:rsidR="00F0621A" w:rsidRDefault="00F0621A" w:rsidP="00F0621A">
            <w:pPr>
              <w:numPr>
                <w:ilvl w:val="0"/>
                <w:numId w:val="14"/>
              </w:numPr>
              <w:spacing w:line="240" w:lineRule="auto"/>
              <w:ind w:left="318" w:hanging="284"/>
            </w:pPr>
            <w:r>
              <w:t>End of terms 3 and 4</w:t>
            </w:r>
          </w:p>
        </w:tc>
      </w:tr>
      <w:tr w:rsidR="00F0621A" w14:paraId="58A0DA6B" w14:textId="77777777" w:rsidTr="00F0621A">
        <w:tc>
          <w:tcPr>
            <w:tcW w:w="0" w:type="auto"/>
            <w:vMerge/>
            <w:tcBorders>
              <w:top w:val="single" w:sz="4" w:space="0" w:color="auto"/>
              <w:left w:val="single" w:sz="4" w:space="0" w:color="auto"/>
              <w:bottom w:val="single" w:sz="4" w:space="0" w:color="auto"/>
              <w:right w:val="single" w:sz="4" w:space="0" w:color="auto"/>
            </w:tcBorders>
            <w:vAlign w:val="center"/>
            <w:hideMark/>
          </w:tcPr>
          <w:p w14:paraId="201CC757" w14:textId="77777777" w:rsidR="00F0621A" w:rsidRDefault="00F0621A">
            <w:pPr>
              <w:spacing w:line="240" w:lineRule="auto"/>
            </w:pPr>
          </w:p>
        </w:tc>
        <w:tc>
          <w:tcPr>
            <w:tcW w:w="2602" w:type="dxa"/>
            <w:tcBorders>
              <w:top w:val="single" w:sz="4" w:space="0" w:color="auto"/>
              <w:left w:val="single" w:sz="4" w:space="0" w:color="auto"/>
              <w:bottom w:val="single" w:sz="4" w:space="0" w:color="auto"/>
              <w:right w:val="single" w:sz="4" w:space="0" w:color="auto"/>
            </w:tcBorders>
            <w:hideMark/>
          </w:tcPr>
          <w:p w14:paraId="0B181460" w14:textId="77777777" w:rsidR="00F0621A" w:rsidRDefault="00F0621A">
            <w:pPr>
              <w:spacing w:line="240" w:lineRule="auto"/>
            </w:pPr>
            <w:r>
              <w:t>Student achievement</w:t>
            </w:r>
          </w:p>
          <w:p w14:paraId="35D25598" w14:textId="77777777" w:rsidR="00F0621A" w:rsidRDefault="00F0621A" w:rsidP="00F0621A">
            <w:pPr>
              <w:numPr>
                <w:ilvl w:val="0"/>
                <w:numId w:val="14"/>
              </w:numPr>
              <w:spacing w:line="240" w:lineRule="auto"/>
              <w:ind w:left="318" w:hanging="284"/>
            </w:pPr>
            <w:r>
              <w:t>College Life data on v-grades</w:t>
            </w:r>
          </w:p>
        </w:tc>
        <w:tc>
          <w:tcPr>
            <w:tcW w:w="2600" w:type="dxa"/>
            <w:tcBorders>
              <w:top w:val="single" w:sz="4" w:space="0" w:color="auto"/>
              <w:left w:val="single" w:sz="4" w:space="0" w:color="auto"/>
              <w:bottom w:val="single" w:sz="4" w:space="0" w:color="auto"/>
              <w:right w:val="single" w:sz="4" w:space="0" w:color="auto"/>
            </w:tcBorders>
            <w:hideMark/>
          </w:tcPr>
          <w:p w14:paraId="612A7894" w14:textId="77777777" w:rsidR="00F0621A" w:rsidRDefault="00F0621A" w:rsidP="00F0621A">
            <w:pPr>
              <w:numPr>
                <w:ilvl w:val="0"/>
                <w:numId w:val="14"/>
              </w:numPr>
              <w:spacing w:line="240" w:lineRule="auto"/>
              <w:ind w:left="318" w:hanging="284"/>
            </w:pPr>
            <w:r>
              <w:t>School Leader C (Curator)</w:t>
            </w:r>
          </w:p>
        </w:tc>
        <w:tc>
          <w:tcPr>
            <w:tcW w:w="2584" w:type="dxa"/>
            <w:tcBorders>
              <w:top w:val="single" w:sz="4" w:space="0" w:color="auto"/>
              <w:left w:val="single" w:sz="4" w:space="0" w:color="auto"/>
              <w:bottom w:val="single" w:sz="4" w:space="0" w:color="auto"/>
              <w:right w:val="single" w:sz="4" w:space="0" w:color="auto"/>
            </w:tcBorders>
            <w:hideMark/>
          </w:tcPr>
          <w:p w14:paraId="3560AB85" w14:textId="77777777" w:rsidR="00F0621A" w:rsidRDefault="00F0621A" w:rsidP="00F0621A">
            <w:pPr>
              <w:numPr>
                <w:ilvl w:val="0"/>
                <w:numId w:val="14"/>
              </w:numPr>
              <w:spacing w:line="240" w:lineRule="auto"/>
              <w:ind w:left="318" w:hanging="284"/>
            </w:pPr>
            <w:r>
              <w:t>Once a term</w:t>
            </w:r>
          </w:p>
        </w:tc>
      </w:tr>
      <w:tr w:rsidR="00F0621A" w14:paraId="585610A6" w14:textId="77777777" w:rsidTr="00F0621A">
        <w:tc>
          <w:tcPr>
            <w:tcW w:w="0" w:type="auto"/>
            <w:vMerge/>
            <w:tcBorders>
              <w:top w:val="single" w:sz="4" w:space="0" w:color="auto"/>
              <w:left w:val="single" w:sz="4" w:space="0" w:color="auto"/>
              <w:bottom w:val="single" w:sz="4" w:space="0" w:color="auto"/>
              <w:right w:val="single" w:sz="4" w:space="0" w:color="auto"/>
            </w:tcBorders>
            <w:vAlign w:val="center"/>
            <w:hideMark/>
          </w:tcPr>
          <w:p w14:paraId="2DE81131" w14:textId="77777777" w:rsidR="00F0621A" w:rsidRDefault="00F0621A">
            <w:pPr>
              <w:spacing w:line="240" w:lineRule="auto"/>
            </w:pPr>
          </w:p>
        </w:tc>
        <w:tc>
          <w:tcPr>
            <w:tcW w:w="2602" w:type="dxa"/>
            <w:tcBorders>
              <w:top w:val="single" w:sz="4" w:space="0" w:color="auto"/>
              <w:left w:val="single" w:sz="4" w:space="0" w:color="auto"/>
              <w:bottom w:val="single" w:sz="4" w:space="0" w:color="auto"/>
              <w:right w:val="single" w:sz="4" w:space="0" w:color="auto"/>
            </w:tcBorders>
            <w:hideMark/>
          </w:tcPr>
          <w:p w14:paraId="3AE841DE" w14:textId="77777777" w:rsidR="00F0621A" w:rsidRDefault="00F0621A">
            <w:pPr>
              <w:spacing w:line="240" w:lineRule="auto"/>
            </w:pPr>
            <w:r>
              <w:t>Student engagement</w:t>
            </w:r>
          </w:p>
          <w:p w14:paraId="0AE319A1" w14:textId="77777777" w:rsidR="00F0621A" w:rsidRDefault="00F0621A" w:rsidP="00F0621A">
            <w:pPr>
              <w:numPr>
                <w:ilvl w:val="0"/>
                <w:numId w:val="14"/>
              </w:numPr>
              <w:spacing w:line="240" w:lineRule="auto"/>
              <w:ind w:left="318" w:hanging="284"/>
            </w:pPr>
            <w:r>
              <w:t xml:space="preserve">Settling Survey data </w:t>
            </w:r>
          </w:p>
        </w:tc>
        <w:tc>
          <w:tcPr>
            <w:tcW w:w="2600" w:type="dxa"/>
            <w:tcBorders>
              <w:top w:val="single" w:sz="4" w:space="0" w:color="auto"/>
              <w:left w:val="single" w:sz="4" w:space="0" w:color="auto"/>
              <w:bottom w:val="single" w:sz="4" w:space="0" w:color="auto"/>
              <w:right w:val="single" w:sz="4" w:space="0" w:color="auto"/>
            </w:tcBorders>
            <w:hideMark/>
          </w:tcPr>
          <w:p w14:paraId="455AE704" w14:textId="77777777" w:rsidR="00F0621A" w:rsidRDefault="00F0621A" w:rsidP="00F0621A">
            <w:pPr>
              <w:numPr>
                <w:ilvl w:val="0"/>
                <w:numId w:val="14"/>
              </w:numPr>
              <w:spacing w:line="240" w:lineRule="auto"/>
              <w:ind w:left="318" w:hanging="284"/>
            </w:pPr>
            <w:r>
              <w:t>School Leader C College Life</w:t>
            </w:r>
          </w:p>
        </w:tc>
        <w:tc>
          <w:tcPr>
            <w:tcW w:w="2584" w:type="dxa"/>
            <w:tcBorders>
              <w:top w:val="single" w:sz="4" w:space="0" w:color="auto"/>
              <w:left w:val="single" w:sz="4" w:space="0" w:color="auto"/>
              <w:bottom w:val="single" w:sz="4" w:space="0" w:color="auto"/>
              <w:right w:val="single" w:sz="4" w:space="0" w:color="auto"/>
            </w:tcBorders>
            <w:hideMark/>
          </w:tcPr>
          <w:p w14:paraId="4B5D60C4" w14:textId="77777777" w:rsidR="00F0621A" w:rsidRDefault="00F0621A" w:rsidP="00F0621A">
            <w:pPr>
              <w:numPr>
                <w:ilvl w:val="0"/>
                <w:numId w:val="14"/>
              </w:numPr>
              <w:spacing w:line="240" w:lineRule="auto"/>
              <w:ind w:left="318" w:hanging="284"/>
            </w:pPr>
            <w:r>
              <w:t>Annually</w:t>
            </w:r>
          </w:p>
        </w:tc>
      </w:tr>
      <w:tr w:rsidR="00F0621A" w14:paraId="71785C8E" w14:textId="77777777" w:rsidTr="00F0621A">
        <w:tc>
          <w:tcPr>
            <w:tcW w:w="0" w:type="auto"/>
            <w:vMerge/>
            <w:tcBorders>
              <w:top w:val="single" w:sz="4" w:space="0" w:color="auto"/>
              <w:left w:val="single" w:sz="4" w:space="0" w:color="auto"/>
              <w:bottom w:val="single" w:sz="4" w:space="0" w:color="auto"/>
              <w:right w:val="single" w:sz="4" w:space="0" w:color="auto"/>
            </w:tcBorders>
            <w:vAlign w:val="center"/>
            <w:hideMark/>
          </w:tcPr>
          <w:p w14:paraId="78C99B26" w14:textId="77777777" w:rsidR="00F0621A" w:rsidRDefault="00F0621A">
            <w:pPr>
              <w:spacing w:line="240" w:lineRule="auto"/>
            </w:pPr>
          </w:p>
        </w:tc>
        <w:tc>
          <w:tcPr>
            <w:tcW w:w="2602" w:type="dxa"/>
            <w:tcBorders>
              <w:top w:val="single" w:sz="4" w:space="0" w:color="auto"/>
              <w:left w:val="single" w:sz="4" w:space="0" w:color="auto"/>
              <w:bottom w:val="single" w:sz="4" w:space="0" w:color="auto"/>
              <w:right w:val="single" w:sz="4" w:space="0" w:color="auto"/>
            </w:tcBorders>
            <w:hideMark/>
          </w:tcPr>
          <w:p w14:paraId="695201C1" w14:textId="77777777" w:rsidR="00F0621A" w:rsidRDefault="00F0621A" w:rsidP="00F0621A">
            <w:pPr>
              <w:numPr>
                <w:ilvl w:val="0"/>
                <w:numId w:val="14"/>
              </w:numPr>
              <w:spacing w:line="240" w:lineRule="auto"/>
              <w:ind w:left="318" w:hanging="284"/>
            </w:pPr>
            <w:r>
              <w:t>Participation data from college events, Meet &amp; Greet night, Open Night, Parent-Teacher events, information sessions.</w:t>
            </w:r>
          </w:p>
        </w:tc>
        <w:tc>
          <w:tcPr>
            <w:tcW w:w="2600" w:type="dxa"/>
            <w:tcBorders>
              <w:top w:val="single" w:sz="4" w:space="0" w:color="auto"/>
              <w:left w:val="single" w:sz="4" w:space="0" w:color="auto"/>
              <w:bottom w:val="single" w:sz="4" w:space="0" w:color="auto"/>
              <w:right w:val="single" w:sz="4" w:space="0" w:color="auto"/>
            </w:tcBorders>
            <w:hideMark/>
          </w:tcPr>
          <w:p w14:paraId="0A1A3A2F" w14:textId="77777777" w:rsidR="00F0621A" w:rsidRDefault="00F0621A" w:rsidP="00F0621A">
            <w:pPr>
              <w:numPr>
                <w:ilvl w:val="0"/>
                <w:numId w:val="14"/>
              </w:numPr>
              <w:spacing w:line="240" w:lineRule="auto"/>
              <w:ind w:left="318" w:hanging="284"/>
            </w:pPr>
            <w:r>
              <w:t>Senior leadership team</w:t>
            </w:r>
          </w:p>
        </w:tc>
        <w:tc>
          <w:tcPr>
            <w:tcW w:w="2584" w:type="dxa"/>
            <w:tcBorders>
              <w:top w:val="single" w:sz="4" w:space="0" w:color="auto"/>
              <w:left w:val="single" w:sz="4" w:space="0" w:color="auto"/>
              <w:bottom w:val="single" w:sz="4" w:space="0" w:color="auto"/>
              <w:right w:val="single" w:sz="4" w:space="0" w:color="auto"/>
            </w:tcBorders>
            <w:hideMark/>
          </w:tcPr>
          <w:p w14:paraId="2B36D439" w14:textId="77777777" w:rsidR="00F0621A" w:rsidRDefault="00F0621A" w:rsidP="00F0621A">
            <w:pPr>
              <w:numPr>
                <w:ilvl w:val="0"/>
                <w:numId w:val="14"/>
              </w:numPr>
              <w:spacing w:line="240" w:lineRule="auto"/>
              <w:ind w:left="318" w:hanging="284"/>
            </w:pPr>
            <w:r>
              <w:t>According to calendar</w:t>
            </w:r>
          </w:p>
        </w:tc>
      </w:tr>
      <w:tr w:rsidR="00F0621A" w14:paraId="38725DFD" w14:textId="77777777" w:rsidTr="00F0621A">
        <w:tc>
          <w:tcPr>
            <w:tcW w:w="0" w:type="auto"/>
            <w:vMerge/>
            <w:tcBorders>
              <w:top w:val="single" w:sz="4" w:space="0" w:color="auto"/>
              <w:left w:val="single" w:sz="4" w:space="0" w:color="auto"/>
              <w:bottom w:val="single" w:sz="4" w:space="0" w:color="auto"/>
              <w:right w:val="single" w:sz="4" w:space="0" w:color="auto"/>
            </w:tcBorders>
            <w:vAlign w:val="center"/>
            <w:hideMark/>
          </w:tcPr>
          <w:p w14:paraId="3183A939" w14:textId="77777777" w:rsidR="00F0621A" w:rsidRDefault="00F0621A">
            <w:pPr>
              <w:spacing w:line="240" w:lineRule="auto"/>
            </w:pPr>
          </w:p>
        </w:tc>
        <w:tc>
          <w:tcPr>
            <w:tcW w:w="2602" w:type="dxa"/>
            <w:tcBorders>
              <w:top w:val="single" w:sz="4" w:space="0" w:color="auto"/>
              <w:left w:val="single" w:sz="4" w:space="0" w:color="auto"/>
              <w:bottom w:val="single" w:sz="4" w:space="0" w:color="auto"/>
              <w:right w:val="single" w:sz="4" w:space="0" w:color="auto"/>
            </w:tcBorders>
            <w:hideMark/>
          </w:tcPr>
          <w:p w14:paraId="22FFD071" w14:textId="77777777" w:rsidR="00F0621A" w:rsidRDefault="00F0621A" w:rsidP="00F0621A">
            <w:pPr>
              <w:numPr>
                <w:ilvl w:val="0"/>
                <w:numId w:val="14"/>
              </w:numPr>
              <w:spacing w:line="240" w:lineRule="auto"/>
              <w:ind w:left="318" w:hanging="284"/>
            </w:pPr>
            <w:r>
              <w:t>Partnership data such as agreements</w:t>
            </w:r>
          </w:p>
        </w:tc>
        <w:tc>
          <w:tcPr>
            <w:tcW w:w="2600" w:type="dxa"/>
            <w:tcBorders>
              <w:top w:val="single" w:sz="4" w:space="0" w:color="auto"/>
              <w:left w:val="single" w:sz="4" w:space="0" w:color="auto"/>
              <w:bottom w:val="single" w:sz="4" w:space="0" w:color="auto"/>
              <w:right w:val="single" w:sz="4" w:space="0" w:color="auto"/>
            </w:tcBorders>
            <w:hideMark/>
          </w:tcPr>
          <w:p w14:paraId="4AEC45A2" w14:textId="77777777" w:rsidR="00F0621A" w:rsidRDefault="00F0621A" w:rsidP="00F0621A">
            <w:pPr>
              <w:numPr>
                <w:ilvl w:val="0"/>
                <w:numId w:val="14"/>
              </w:numPr>
              <w:spacing w:line="240" w:lineRule="auto"/>
              <w:ind w:left="318" w:hanging="284"/>
            </w:pPr>
            <w:r>
              <w:t>Senior leadership team</w:t>
            </w:r>
          </w:p>
        </w:tc>
        <w:tc>
          <w:tcPr>
            <w:tcW w:w="2584" w:type="dxa"/>
            <w:tcBorders>
              <w:top w:val="single" w:sz="4" w:space="0" w:color="auto"/>
              <w:left w:val="single" w:sz="4" w:space="0" w:color="auto"/>
              <w:bottom w:val="single" w:sz="4" w:space="0" w:color="auto"/>
              <w:right w:val="single" w:sz="4" w:space="0" w:color="auto"/>
            </w:tcBorders>
            <w:hideMark/>
          </w:tcPr>
          <w:p w14:paraId="653835BC" w14:textId="77777777" w:rsidR="00F0621A" w:rsidRDefault="00F0621A" w:rsidP="00F0621A">
            <w:pPr>
              <w:numPr>
                <w:ilvl w:val="0"/>
                <w:numId w:val="14"/>
              </w:numPr>
              <w:spacing w:line="240" w:lineRule="auto"/>
              <w:ind w:left="318" w:hanging="284"/>
            </w:pPr>
            <w:r>
              <w:t>Once a semester</w:t>
            </w:r>
          </w:p>
        </w:tc>
      </w:tr>
    </w:tbl>
    <w:p w14:paraId="168C93F2" w14:textId="77777777" w:rsidR="00F0621A" w:rsidRDefault="00F0621A" w:rsidP="00F0621A">
      <w:pPr>
        <w:pStyle w:val="Caption"/>
      </w:pPr>
      <w:r>
        <w:t xml:space="preserve">Source:  Lake Tuggeranong College data sets, BSSS data, stakeholder satisfaction surveys </w:t>
      </w:r>
    </w:p>
    <w:p w14:paraId="2A146702" w14:textId="77777777" w:rsidR="00CD5632" w:rsidRPr="00820E01" w:rsidRDefault="00CD5632" w:rsidP="00820E01">
      <w:pPr>
        <w:pStyle w:val="BodyText"/>
        <w:sectPr w:rsidR="00CD5632" w:rsidRPr="00820E01" w:rsidSect="00A003A0">
          <w:footerReference w:type="default" r:id="rId7"/>
          <w:pgSz w:w="11906" w:h="16838"/>
          <w:pgMar w:top="1440" w:right="1440" w:bottom="1440" w:left="1440" w:header="709" w:footer="709" w:gutter="0"/>
          <w:cols w:space="708"/>
          <w:docGrid w:linePitch="360"/>
        </w:sectPr>
      </w:pPr>
    </w:p>
    <w:p w14:paraId="6BC08520" w14:textId="72C7B3D8" w:rsidR="000443D7" w:rsidRPr="007D36B1" w:rsidRDefault="000443D7" w:rsidP="00A20F6F">
      <w:pPr>
        <w:pStyle w:val="Heading1"/>
        <w:rPr>
          <w:lang w:val="en-AU"/>
        </w:rPr>
      </w:pPr>
      <w:r w:rsidRPr="00A20F6F">
        <w:lastRenderedPageBreak/>
        <w:t>Evaluation of Performance</w:t>
      </w:r>
      <w:r w:rsidR="007D36B1">
        <w:rPr>
          <w:lang w:val="en-AU"/>
        </w:rPr>
        <w:t xml:space="preserve"> </w:t>
      </w:r>
    </w:p>
    <w:p w14:paraId="5970D5D2" w14:textId="77777777" w:rsidR="000443D7" w:rsidRPr="00E14542" w:rsidRDefault="00EA5C81" w:rsidP="00E14542">
      <w:pPr>
        <w:pStyle w:val="Heading2"/>
      </w:pPr>
      <w:r w:rsidRPr="00E14542">
        <w:t>Priority</w:t>
      </w:r>
    </w:p>
    <w:p w14:paraId="58C7D1C6" w14:textId="77777777" w:rsidR="004F397F" w:rsidRDefault="004F397F" w:rsidP="004F397F">
      <w:pPr>
        <w:framePr w:hSpace="180" w:wrap="around" w:vAnchor="text" w:hAnchor="margin" w:xAlign="center" w:y="1"/>
      </w:pPr>
      <w:r>
        <w:t>LEARN:  Develop our expert teaching team</w:t>
      </w:r>
    </w:p>
    <w:p w14:paraId="04C775C5" w14:textId="77777777" w:rsidR="004F397F" w:rsidRDefault="004F397F" w:rsidP="004F397F">
      <w:pPr>
        <w:framePr w:hSpace="180" w:wrap="around" w:vAnchor="text" w:hAnchor="margin" w:xAlign="center" w:y="1"/>
      </w:pPr>
    </w:p>
    <w:p w14:paraId="72FDBC10" w14:textId="77777777" w:rsidR="000443D7" w:rsidRDefault="000443D7" w:rsidP="00E14542">
      <w:pPr>
        <w:pStyle w:val="Heading3"/>
        <w:rPr>
          <w:lang w:val="en-AU"/>
        </w:rPr>
      </w:pPr>
      <w:r w:rsidRPr="00E14542">
        <w:t>Target</w:t>
      </w:r>
      <w:r w:rsidR="006F45C9">
        <w:t>s</w:t>
      </w:r>
    </w:p>
    <w:p w14:paraId="0B24A62E" w14:textId="77777777" w:rsidR="004F397F" w:rsidRDefault="004F397F" w:rsidP="004F397F">
      <w:r>
        <w:t>By the end of 2020 the college will achieve:</w:t>
      </w:r>
    </w:p>
    <w:p w14:paraId="1807E9A3" w14:textId="77777777" w:rsidR="004F397F" w:rsidRDefault="004F397F" w:rsidP="004F397F">
      <w:pPr>
        <w:pStyle w:val="ListParagraph"/>
        <w:widowControl/>
        <w:numPr>
          <w:ilvl w:val="0"/>
          <w:numId w:val="15"/>
        </w:numPr>
        <w:spacing w:after="200" w:line="276" w:lineRule="auto"/>
        <w:contextualSpacing/>
        <w:rPr>
          <w:rFonts w:cs="Calibri"/>
          <w:b/>
          <w:bCs/>
        </w:rPr>
      </w:pPr>
      <w:r>
        <w:rPr>
          <w:rFonts w:cs="Calibri"/>
        </w:rPr>
        <w:t xml:space="preserve">The percentage of teachers able to demonstrate their impact on student learning outcomes will double from that of 2015 (35% in 2015) </w:t>
      </w:r>
    </w:p>
    <w:p w14:paraId="029ACB2A" w14:textId="77777777" w:rsidR="004F397F" w:rsidRPr="004F397F" w:rsidRDefault="004F397F" w:rsidP="004F397F">
      <w:pPr>
        <w:pStyle w:val="ListParagraph"/>
        <w:widowControl/>
        <w:numPr>
          <w:ilvl w:val="0"/>
          <w:numId w:val="15"/>
        </w:numPr>
        <w:spacing w:after="200" w:line="276" w:lineRule="auto"/>
        <w:contextualSpacing/>
        <w:rPr>
          <w:rFonts w:cs="Calibri"/>
          <w:b/>
          <w:bCs/>
        </w:rPr>
      </w:pPr>
      <w:r w:rsidRPr="004F397F">
        <w:rPr>
          <w:rFonts w:cs="Calibri"/>
        </w:rPr>
        <w:t xml:space="preserve">Growth rates of between 10% – 15% on 2015 levels of students achieving A, B or C’s </w:t>
      </w:r>
    </w:p>
    <w:p w14:paraId="0770BF89" w14:textId="7B0235C5" w:rsidR="004F397F" w:rsidRPr="004F397F" w:rsidRDefault="004F397F" w:rsidP="004F397F">
      <w:pPr>
        <w:pStyle w:val="ListParagraph"/>
        <w:widowControl/>
        <w:numPr>
          <w:ilvl w:val="0"/>
          <w:numId w:val="15"/>
        </w:numPr>
        <w:spacing w:after="200" w:line="276" w:lineRule="auto"/>
        <w:contextualSpacing/>
        <w:rPr>
          <w:rFonts w:cs="Calibri"/>
          <w:b/>
          <w:bCs/>
        </w:rPr>
      </w:pPr>
      <w:r>
        <w:rPr>
          <w:rFonts w:cs="Calibri"/>
        </w:rPr>
        <w:t>Halving proportion of unit void rates from that of 2015 (</w:t>
      </w:r>
      <w:r w:rsidR="00546DA0">
        <w:rPr>
          <w:rFonts w:cs="Calibri"/>
        </w:rPr>
        <w:t>15</w:t>
      </w:r>
      <w:r>
        <w:rPr>
          <w:rFonts w:cs="Calibri"/>
        </w:rPr>
        <w:t>% in 2015)</w:t>
      </w:r>
    </w:p>
    <w:p w14:paraId="0B70A3DF" w14:textId="77777777" w:rsidR="004F397F" w:rsidRPr="004F397F" w:rsidRDefault="004F397F" w:rsidP="004F397F">
      <w:pPr>
        <w:pStyle w:val="ListParagraph"/>
        <w:widowControl/>
        <w:numPr>
          <w:ilvl w:val="0"/>
          <w:numId w:val="15"/>
        </w:numPr>
        <w:spacing w:after="200" w:line="276" w:lineRule="auto"/>
        <w:contextualSpacing/>
        <w:rPr>
          <w:rFonts w:cs="Calibri"/>
          <w:b/>
          <w:bCs/>
        </w:rPr>
      </w:pPr>
      <w:r w:rsidRPr="004F397F">
        <w:rPr>
          <w:rFonts w:cs="Calibri"/>
        </w:rPr>
        <w:t>Halving the proportion of non-completion of senior secondary certificate from that of 2015 (eight percent in 2015)</w:t>
      </w:r>
    </w:p>
    <w:p w14:paraId="7B4B55D9" w14:textId="77777777" w:rsidR="00CD5632" w:rsidRDefault="00E14542" w:rsidP="00CC68A3">
      <w:pPr>
        <w:pStyle w:val="Heading4"/>
        <w:rPr>
          <w:lang w:val="en-AU"/>
        </w:rPr>
      </w:pPr>
      <w:r>
        <w:t>Progress</w:t>
      </w:r>
    </w:p>
    <w:p w14:paraId="2935B532" w14:textId="0D79C7FB" w:rsidR="00272B13" w:rsidRDefault="008D67D8" w:rsidP="00A21DD5">
      <w:pPr>
        <w:spacing w:line="240" w:lineRule="auto"/>
        <w:rPr>
          <w:rFonts w:eastAsia="Times New Roman"/>
          <w:b/>
          <w:bCs/>
          <w:color w:val="000000"/>
          <w:sz w:val="20"/>
          <w:szCs w:val="20"/>
          <w:lang w:eastAsia="en-AU"/>
        </w:rPr>
      </w:pPr>
      <w:r w:rsidRPr="00A21DD5">
        <w:rPr>
          <w:rFonts w:eastAsia="Times New Roman"/>
          <w:b/>
          <w:bCs/>
          <w:color w:val="000000"/>
          <w:sz w:val="20"/>
          <w:szCs w:val="20"/>
          <w:lang w:eastAsia="en-AU"/>
        </w:rPr>
        <w:t xml:space="preserve">Table: </w:t>
      </w:r>
      <w:r w:rsidR="006A4357" w:rsidRPr="00A21DD5">
        <w:rPr>
          <w:rFonts w:eastAsia="Times New Roman"/>
          <w:b/>
          <w:bCs/>
          <w:color w:val="000000"/>
          <w:sz w:val="20"/>
          <w:szCs w:val="20"/>
          <w:lang w:eastAsia="en-AU"/>
        </w:rPr>
        <w:t>The percentage of teachers able to demonstrate their impact on student learning outcomes will double from that of 2015 (currently 35%) - i.e. rate will reach 70%</w:t>
      </w:r>
    </w:p>
    <w:p w14:paraId="13F9A7F3" w14:textId="77777777" w:rsidR="00A21DD5" w:rsidRPr="00A21DD5" w:rsidRDefault="00A21DD5" w:rsidP="00A21DD5">
      <w:pPr>
        <w:spacing w:line="240" w:lineRule="auto"/>
        <w:rPr>
          <w:rFonts w:eastAsia="Times New Roman"/>
          <w:b/>
          <w:bCs/>
          <w:color w:val="000000"/>
          <w:sz w:val="20"/>
          <w:szCs w:val="20"/>
          <w:lang w:eastAsia="en-AU"/>
        </w:rPr>
      </w:pPr>
    </w:p>
    <w:tbl>
      <w:tblPr>
        <w:tblStyle w:val="TableGrid"/>
        <w:tblW w:w="0" w:type="auto"/>
        <w:tblLook w:val="04A0" w:firstRow="1" w:lastRow="0" w:firstColumn="1" w:lastColumn="0" w:noHBand="0" w:noVBand="1"/>
      </w:tblPr>
      <w:tblGrid>
        <w:gridCol w:w="1800"/>
        <w:gridCol w:w="1807"/>
        <w:gridCol w:w="1807"/>
        <w:gridCol w:w="1807"/>
        <w:gridCol w:w="1800"/>
      </w:tblGrid>
      <w:tr w:rsidR="00955BC3" w14:paraId="40B80042" w14:textId="3E9CD8BC" w:rsidTr="00955BC3">
        <w:tc>
          <w:tcPr>
            <w:tcW w:w="1800" w:type="dxa"/>
            <w:tcBorders>
              <w:top w:val="nil"/>
              <w:left w:val="nil"/>
              <w:bottom w:val="single" w:sz="4" w:space="0" w:color="auto"/>
              <w:right w:val="single" w:sz="4" w:space="0" w:color="auto"/>
            </w:tcBorders>
          </w:tcPr>
          <w:p w14:paraId="62E936CA" w14:textId="77777777" w:rsidR="00955BC3" w:rsidRPr="008D67D8" w:rsidRDefault="00955BC3" w:rsidP="008D67D8">
            <w:pPr>
              <w:spacing w:line="240" w:lineRule="auto"/>
            </w:pPr>
          </w:p>
        </w:tc>
        <w:tc>
          <w:tcPr>
            <w:tcW w:w="1807" w:type="dxa"/>
            <w:tcBorders>
              <w:left w:val="single" w:sz="4" w:space="0" w:color="auto"/>
            </w:tcBorders>
          </w:tcPr>
          <w:p w14:paraId="61DE0BCE" w14:textId="77777777" w:rsidR="00955BC3" w:rsidRDefault="00955BC3" w:rsidP="008D67D8">
            <w:pPr>
              <w:spacing w:line="240" w:lineRule="auto"/>
              <w:rPr>
                <w:b/>
              </w:rPr>
            </w:pPr>
            <w:r w:rsidRPr="00A21DD5">
              <w:rPr>
                <w:b/>
              </w:rPr>
              <w:t>2015</w:t>
            </w:r>
          </w:p>
          <w:p w14:paraId="434A3210" w14:textId="2EDFFC47" w:rsidR="00955BC3" w:rsidRPr="00A21DD5" w:rsidRDefault="00955BC3" w:rsidP="008D67D8">
            <w:pPr>
              <w:spacing w:line="240" w:lineRule="auto"/>
              <w:rPr>
                <w:b/>
              </w:rPr>
            </w:pPr>
          </w:p>
        </w:tc>
        <w:tc>
          <w:tcPr>
            <w:tcW w:w="1807" w:type="dxa"/>
          </w:tcPr>
          <w:p w14:paraId="017053DD" w14:textId="12077618" w:rsidR="00955BC3" w:rsidRPr="00A21DD5" w:rsidRDefault="00955BC3" w:rsidP="008D67D8">
            <w:pPr>
              <w:spacing w:line="240" w:lineRule="auto"/>
              <w:rPr>
                <w:b/>
              </w:rPr>
            </w:pPr>
            <w:r w:rsidRPr="00A21DD5">
              <w:rPr>
                <w:b/>
              </w:rPr>
              <w:t>2016</w:t>
            </w:r>
          </w:p>
        </w:tc>
        <w:tc>
          <w:tcPr>
            <w:tcW w:w="1807" w:type="dxa"/>
          </w:tcPr>
          <w:p w14:paraId="4D4DE787" w14:textId="7AEC2CFB" w:rsidR="00955BC3" w:rsidRPr="00A21DD5" w:rsidRDefault="00955BC3" w:rsidP="008D67D8">
            <w:pPr>
              <w:spacing w:line="240" w:lineRule="auto"/>
              <w:rPr>
                <w:b/>
              </w:rPr>
            </w:pPr>
            <w:r w:rsidRPr="00A21DD5">
              <w:rPr>
                <w:b/>
              </w:rPr>
              <w:t>2017</w:t>
            </w:r>
          </w:p>
        </w:tc>
        <w:tc>
          <w:tcPr>
            <w:tcW w:w="1800" w:type="dxa"/>
          </w:tcPr>
          <w:p w14:paraId="223373DF" w14:textId="55B15E64" w:rsidR="00955BC3" w:rsidRPr="00A21DD5" w:rsidRDefault="00955BC3" w:rsidP="008D67D8">
            <w:pPr>
              <w:spacing w:line="240" w:lineRule="auto"/>
              <w:rPr>
                <w:b/>
              </w:rPr>
            </w:pPr>
            <w:r>
              <w:rPr>
                <w:b/>
              </w:rPr>
              <w:t>2018</w:t>
            </w:r>
          </w:p>
        </w:tc>
      </w:tr>
      <w:tr w:rsidR="00955BC3" w14:paraId="24A148C4" w14:textId="2AF1081B" w:rsidTr="00955BC3">
        <w:tc>
          <w:tcPr>
            <w:tcW w:w="1800" w:type="dxa"/>
            <w:tcBorders>
              <w:top w:val="single" w:sz="4" w:space="0" w:color="auto"/>
            </w:tcBorders>
          </w:tcPr>
          <w:p w14:paraId="0372216E" w14:textId="4C79313B" w:rsidR="00955BC3" w:rsidRPr="008D67D8" w:rsidRDefault="00955BC3" w:rsidP="008D67D8">
            <w:pPr>
              <w:spacing w:line="240" w:lineRule="auto"/>
              <w:rPr>
                <w:rFonts w:ascii="Calibri" w:eastAsia="Calibri" w:hAnsi="Calibri"/>
                <w:color w:val="000000"/>
              </w:rPr>
            </w:pPr>
            <w:r w:rsidRPr="008D67D8">
              <w:rPr>
                <w:rFonts w:ascii="Calibri" w:eastAsia="Calibri" w:hAnsi="Calibri"/>
                <w:color w:val="000000"/>
              </w:rPr>
              <w:t>% of staff</w:t>
            </w:r>
          </w:p>
        </w:tc>
        <w:tc>
          <w:tcPr>
            <w:tcW w:w="1807" w:type="dxa"/>
          </w:tcPr>
          <w:p w14:paraId="1C6606A7" w14:textId="27E7D20E" w:rsidR="00955BC3" w:rsidRPr="008D67D8" w:rsidRDefault="00955BC3" w:rsidP="008D67D8">
            <w:pPr>
              <w:spacing w:line="240" w:lineRule="auto"/>
              <w:rPr>
                <w:rFonts w:ascii="Calibri" w:eastAsia="Calibri" w:hAnsi="Calibri"/>
                <w:color w:val="000000"/>
              </w:rPr>
            </w:pPr>
            <w:r w:rsidRPr="008D67D8">
              <w:rPr>
                <w:rFonts w:ascii="Calibri" w:eastAsia="Calibri" w:hAnsi="Calibri"/>
                <w:color w:val="000000"/>
              </w:rPr>
              <w:t>35</w:t>
            </w:r>
          </w:p>
        </w:tc>
        <w:tc>
          <w:tcPr>
            <w:tcW w:w="1807" w:type="dxa"/>
          </w:tcPr>
          <w:p w14:paraId="03A320FC" w14:textId="106F6443" w:rsidR="00955BC3" w:rsidRPr="008D67D8" w:rsidRDefault="00955BC3" w:rsidP="008D67D8">
            <w:pPr>
              <w:spacing w:line="240" w:lineRule="auto"/>
              <w:rPr>
                <w:rFonts w:ascii="Calibri" w:eastAsia="Calibri" w:hAnsi="Calibri"/>
                <w:color w:val="000000"/>
              </w:rPr>
            </w:pPr>
            <w:r w:rsidRPr="008D67D8">
              <w:rPr>
                <w:rFonts w:ascii="Calibri" w:eastAsia="Calibri" w:hAnsi="Calibri"/>
                <w:color w:val="000000"/>
              </w:rPr>
              <w:t>35</w:t>
            </w:r>
          </w:p>
        </w:tc>
        <w:tc>
          <w:tcPr>
            <w:tcW w:w="1807" w:type="dxa"/>
          </w:tcPr>
          <w:p w14:paraId="24351CDE" w14:textId="4865CE88" w:rsidR="00955BC3" w:rsidRPr="008D67D8" w:rsidRDefault="00955BC3" w:rsidP="008D67D8">
            <w:pPr>
              <w:spacing w:line="240" w:lineRule="auto"/>
              <w:rPr>
                <w:rFonts w:ascii="Calibri" w:eastAsia="Calibri" w:hAnsi="Calibri"/>
                <w:color w:val="000000"/>
              </w:rPr>
            </w:pPr>
            <w:r w:rsidRPr="008D67D8">
              <w:rPr>
                <w:rFonts w:ascii="Calibri" w:eastAsia="Calibri" w:hAnsi="Calibri"/>
                <w:color w:val="000000"/>
              </w:rPr>
              <w:t>42</w:t>
            </w:r>
          </w:p>
        </w:tc>
        <w:tc>
          <w:tcPr>
            <w:tcW w:w="1800" w:type="dxa"/>
          </w:tcPr>
          <w:p w14:paraId="7BD0C255" w14:textId="2060BC38" w:rsidR="00955BC3" w:rsidRPr="008D67D8" w:rsidRDefault="00427C10" w:rsidP="008D67D8">
            <w:pPr>
              <w:spacing w:line="240" w:lineRule="auto"/>
              <w:rPr>
                <w:color w:val="000000"/>
              </w:rPr>
            </w:pPr>
            <w:r>
              <w:rPr>
                <w:color w:val="000000"/>
              </w:rPr>
              <w:t>38</w:t>
            </w:r>
          </w:p>
        </w:tc>
      </w:tr>
    </w:tbl>
    <w:p w14:paraId="61EE5FA2" w14:textId="13765C60" w:rsidR="00A21DD5" w:rsidRPr="003C05B8" w:rsidRDefault="008D67D8" w:rsidP="006A4357">
      <w:pPr>
        <w:pStyle w:val="BodyText"/>
        <w:rPr>
          <w:sz w:val="20"/>
          <w:szCs w:val="20"/>
        </w:rPr>
      </w:pPr>
      <w:r w:rsidRPr="003C05B8">
        <w:rPr>
          <w:sz w:val="20"/>
          <w:szCs w:val="20"/>
        </w:rPr>
        <w:t xml:space="preserve">Source: </w:t>
      </w:r>
      <w:r w:rsidR="00A21DD5" w:rsidRPr="003C05B8">
        <w:rPr>
          <w:sz w:val="20"/>
          <w:szCs w:val="20"/>
        </w:rPr>
        <w:t>201</w:t>
      </w:r>
      <w:r w:rsidR="00955BC3" w:rsidRPr="003C05B8">
        <w:rPr>
          <w:sz w:val="20"/>
          <w:szCs w:val="20"/>
        </w:rPr>
        <w:t>8</w:t>
      </w:r>
      <w:r w:rsidR="00A21DD5" w:rsidRPr="003C05B8">
        <w:rPr>
          <w:sz w:val="20"/>
          <w:szCs w:val="20"/>
        </w:rPr>
        <w:t xml:space="preserve"> PLC feedback data, Staff Satisfaction Surveys</w:t>
      </w:r>
    </w:p>
    <w:p w14:paraId="04B12362" w14:textId="6AFD2B7A" w:rsidR="006A4357" w:rsidRDefault="00A21DD5" w:rsidP="00272B13">
      <w:pPr>
        <w:spacing w:line="240" w:lineRule="auto"/>
        <w:rPr>
          <w:rFonts w:eastAsia="Times New Roman"/>
          <w:b/>
          <w:bCs/>
          <w:color w:val="000000"/>
          <w:sz w:val="20"/>
          <w:szCs w:val="20"/>
          <w:lang w:eastAsia="en-AU"/>
        </w:rPr>
      </w:pPr>
      <w:r>
        <w:rPr>
          <w:rFonts w:eastAsia="Times New Roman"/>
          <w:b/>
          <w:bCs/>
          <w:color w:val="000000"/>
          <w:sz w:val="20"/>
          <w:szCs w:val="20"/>
          <w:lang w:eastAsia="en-AU"/>
        </w:rPr>
        <w:t xml:space="preserve">Table:  </w:t>
      </w:r>
      <w:r w:rsidR="006A4357">
        <w:rPr>
          <w:rFonts w:eastAsia="Times New Roman"/>
          <w:b/>
          <w:bCs/>
          <w:color w:val="000000"/>
          <w:sz w:val="20"/>
          <w:szCs w:val="20"/>
          <w:lang w:eastAsia="en-AU"/>
        </w:rPr>
        <w:t xml:space="preserve">Growth rates of between 10% – 15% on 2015 levels of students achieving A, B or C’s.  </w:t>
      </w:r>
    </w:p>
    <w:p w14:paraId="28F938AE" w14:textId="77777777" w:rsidR="00272B13" w:rsidRPr="00272B13" w:rsidRDefault="00272B13" w:rsidP="00272B13">
      <w:pPr>
        <w:spacing w:line="240" w:lineRule="auto"/>
        <w:rPr>
          <w:rFonts w:eastAsia="Times New Roman"/>
          <w:b/>
          <w:bCs/>
          <w:color w:val="000000"/>
          <w:sz w:val="20"/>
          <w:szCs w:val="20"/>
          <w:lang w:eastAsia="en-AU"/>
        </w:rPr>
      </w:pPr>
    </w:p>
    <w:tbl>
      <w:tblPr>
        <w:tblStyle w:val="TableGrid"/>
        <w:tblW w:w="0" w:type="auto"/>
        <w:tblLook w:val="04A0" w:firstRow="1" w:lastRow="0" w:firstColumn="1" w:lastColumn="0" w:noHBand="0" w:noVBand="1"/>
      </w:tblPr>
      <w:tblGrid>
        <w:gridCol w:w="1124"/>
        <w:gridCol w:w="1003"/>
        <w:gridCol w:w="850"/>
        <w:gridCol w:w="851"/>
        <w:gridCol w:w="850"/>
        <w:gridCol w:w="992"/>
        <w:gridCol w:w="851"/>
        <w:gridCol w:w="992"/>
        <w:gridCol w:w="993"/>
      </w:tblGrid>
      <w:tr w:rsidR="00955BC3" w14:paraId="62A41EA0" w14:textId="269375EC" w:rsidTr="00955BC3">
        <w:tc>
          <w:tcPr>
            <w:tcW w:w="1124" w:type="dxa"/>
            <w:tcBorders>
              <w:top w:val="nil"/>
              <w:left w:val="nil"/>
              <w:bottom w:val="nil"/>
            </w:tcBorders>
          </w:tcPr>
          <w:p w14:paraId="49355500" w14:textId="77777777" w:rsidR="00955BC3" w:rsidRDefault="00955BC3" w:rsidP="009D7936">
            <w:pPr>
              <w:pStyle w:val="BodyText"/>
              <w:jc w:val="center"/>
              <w:rPr>
                <w:b/>
                <w:bCs/>
                <w:color w:val="000000"/>
                <w:sz w:val="20"/>
                <w:szCs w:val="20"/>
                <w:lang w:eastAsia="en-AU"/>
              </w:rPr>
            </w:pPr>
          </w:p>
        </w:tc>
        <w:tc>
          <w:tcPr>
            <w:tcW w:w="3554" w:type="dxa"/>
            <w:gridSpan w:val="4"/>
          </w:tcPr>
          <w:p w14:paraId="72AC6F92" w14:textId="1D0BAC10" w:rsidR="00955BC3" w:rsidRPr="00A21DD5" w:rsidRDefault="00955BC3" w:rsidP="00A21DD5">
            <w:pPr>
              <w:spacing w:line="240" w:lineRule="auto"/>
              <w:rPr>
                <w:b/>
              </w:rPr>
            </w:pPr>
            <w:r w:rsidRPr="00A21DD5">
              <w:rPr>
                <w:b/>
              </w:rPr>
              <w:t>Accredited courses</w:t>
            </w:r>
          </w:p>
        </w:tc>
        <w:tc>
          <w:tcPr>
            <w:tcW w:w="3828" w:type="dxa"/>
            <w:gridSpan w:val="4"/>
          </w:tcPr>
          <w:p w14:paraId="021FB1AF" w14:textId="334278E1" w:rsidR="00955BC3" w:rsidRPr="00A21DD5" w:rsidRDefault="00955BC3" w:rsidP="00A21DD5">
            <w:pPr>
              <w:spacing w:line="240" w:lineRule="auto"/>
              <w:rPr>
                <w:b/>
              </w:rPr>
            </w:pPr>
            <w:r w:rsidRPr="00A21DD5">
              <w:rPr>
                <w:b/>
              </w:rPr>
              <w:t>Tertiary courses</w:t>
            </w:r>
          </w:p>
        </w:tc>
      </w:tr>
      <w:tr w:rsidR="00955BC3" w14:paraId="05269CDE" w14:textId="14F03CFA" w:rsidTr="00955BC3">
        <w:tc>
          <w:tcPr>
            <w:tcW w:w="1124" w:type="dxa"/>
            <w:tcBorders>
              <w:top w:val="nil"/>
              <w:left w:val="nil"/>
            </w:tcBorders>
          </w:tcPr>
          <w:p w14:paraId="50E83BF5" w14:textId="1DB345BF" w:rsidR="00955BC3" w:rsidRDefault="00955BC3" w:rsidP="006A4357">
            <w:pPr>
              <w:pStyle w:val="BodyText"/>
              <w:rPr>
                <w:b/>
                <w:bCs/>
                <w:color w:val="000000"/>
                <w:sz w:val="20"/>
                <w:szCs w:val="20"/>
                <w:lang w:eastAsia="en-AU"/>
              </w:rPr>
            </w:pPr>
          </w:p>
        </w:tc>
        <w:tc>
          <w:tcPr>
            <w:tcW w:w="1003" w:type="dxa"/>
          </w:tcPr>
          <w:p w14:paraId="78510AA1" w14:textId="018777B9" w:rsidR="00955BC3" w:rsidRPr="00A21DD5" w:rsidRDefault="00955BC3" w:rsidP="00A21DD5">
            <w:pPr>
              <w:spacing w:line="240" w:lineRule="auto"/>
              <w:rPr>
                <w:b/>
              </w:rPr>
            </w:pPr>
            <w:r w:rsidRPr="00A21DD5">
              <w:rPr>
                <w:b/>
              </w:rPr>
              <w:t>2015</w:t>
            </w:r>
          </w:p>
        </w:tc>
        <w:tc>
          <w:tcPr>
            <w:tcW w:w="850" w:type="dxa"/>
          </w:tcPr>
          <w:p w14:paraId="5811C084" w14:textId="4508A4B0" w:rsidR="00955BC3" w:rsidRPr="00A21DD5" w:rsidRDefault="00955BC3" w:rsidP="00A21DD5">
            <w:pPr>
              <w:spacing w:line="240" w:lineRule="auto"/>
              <w:rPr>
                <w:b/>
              </w:rPr>
            </w:pPr>
            <w:r w:rsidRPr="00A21DD5">
              <w:rPr>
                <w:b/>
              </w:rPr>
              <w:t>2016</w:t>
            </w:r>
          </w:p>
        </w:tc>
        <w:tc>
          <w:tcPr>
            <w:tcW w:w="851" w:type="dxa"/>
          </w:tcPr>
          <w:p w14:paraId="3C1375E0" w14:textId="77A2BB6B" w:rsidR="00955BC3" w:rsidRPr="00A21DD5" w:rsidRDefault="00955BC3" w:rsidP="00A21DD5">
            <w:pPr>
              <w:spacing w:line="240" w:lineRule="auto"/>
              <w:rPr>
                <w:b/>
              </w:rPr>
            </w:pPr>
            <w:r w:rsidRPr="00A21DD5">
              <w:rPr>
                <w:b/>
              </w:rPr>
              <w:t>2017</w:t>
            </w:r>
          </w:p>
        </w:tc>
        <w:tc>
          <w:tcPr>
            <w:tcW w:w="850" w:type="dxa"/>
          </w:tcPr>
          <w:p w14:paraId="4C80E011" w14:textId="7C7DABA0" w:rsidR="00955BC3" w:rsidRPr="00A21DD5" w:rsidRDefault="00955BC3" w:rsidP="00A21DD5">
            <w:pPr>
              <w:spacing w:line="240" w:lineRule="auto"/>
              <w:rPr>
                <w:b/>
              </w:rPr>
            </w:pPr>
            <w:r>
              <w:rPr>
                <w:b/>
              </w:rPr>
              <w:t>2018</w:t>
            </w:r>
          </w:p>
        </w:tc>
        <w:tc>
          <w:tcPr>
            <w:tcW w:w="992" w:type="dxa"/>
          </w:tcPr>
          <w:p w14:paraId="519DD7C2" w14:textId="5C413451" w:rsidR="00955BC3" w:rsidRPr="00A21DD5" w:rsidRDefault="00955BC3" w:rsidP="00A21DD5">
            <w:pPr>
              <w:spacing w:line="240" w:lineRule="auto"/>
              <w:rPr>
                <w:b/>
              </w:rPr>
            </w:pPr>
            <w:r w:rsidRPr="00A21DD5">
              <w:rPr>
                <w:b/>
              </w:rPr>
              <w:t>2015</w:t>
            </w:r>
          </w:p>
        </w:tc>
        <w:tc>
          <w:tcPr>
            <w:tcW w:w="851" w:type="dxa"/>
          </w:tcPr>
          <w:p w14:paraId="2F6B0EF6" w14:textId="59617E45" w:rsidR="00955BC3" w:rsidRPr="00A21DD5" w:rsidRDefault="00955BC3" w:rsidP="00A21DD5">
            <w:pPr>
              <w:spacing w:line="240" w:lineRule="auto"/>
              <w:rPr>
                <w:b/>
              </w:rPr>
            </w:pPr>
            <w:r w:rsidRPr="00A21DD5">
              <w:rPr>
                <w:b/>
              </w:rPr>
              <w:t>2016</w:t>
            </w:r>
          </w:p>
        </w:tc>
        <w:tc>
          <w:tcPr>
            <w:tcW w:w="992" w:type="dxa"/>
          </w:tcPr>
          <w:p w14:paraId="3929B2E8" w14:textId="0C35FFD3" w:rsidR="00955BC3" w:rsidRPr="00A21DD5" w:rsidRDefault="00955BC3" w:rsidP="00A21DD5">
            <w:pPr>
              <w:spacing w:line="240" w:lineRule="auto"/>
              <w:rPr>
                <w:b/>
              </w:rPr>
            </w:pPr>
            <w:r w:rsidRPr="00A21DD5">
              <w:rPr>
                <w:b/>
              </w:rPr>
              <w:t>2017</w:t>
            </w:r>
          </w:p>
        </w:tc>
        <w:tc>
          <w:tcPr>
            <w:tcW w:w="993" w:type="dxa"/>
          </w:tcPr>
          <w:p w14:paraId="5F5FF15A" w14:textId="3868DA7F" w:rsidR="00955BC3" w:rsidRPr="00A21DD5" w:rsidRDefault="00955BC3" w:rsidP="00A21DD5">
            <w:pPr>
              <w:spacing w:line="240" w:lineRule="auto"/>
              <w:rPr>
                <w:b/>
              </w:rPr>
            </w:pPr>
            <w:r>
              <w:rPr>
                <w:b/>
              </w:rPr>
              <w:t>2018</w:t>
            </w:r>
          </w:p>
        </w:tc>
      </w:tr>
      <w:tr w:rsidR="00955BC3" w14:paraId="0F7A6054" w14:textId="7EBAF2D1" w:rsidTr="00955BC3">
        <w:tc>
          <w:tcPr>
            <w:tcW w:w="1124" w:type="dxa"/>
          </w:tcPr>
          <w:p w14:paraId="4B3577E9" w14:textId="1961F0A0" w:rsidR="00955BC3" w:rsidRPr="00A21DD5" w:rsidRDefault="00955BC3" w:rsidP="00A21DD5">
            <w:pPr>
              <w:spacing w:line="240" w:lineRule="auto"/>
              <w:rPr>
                <w:rFonts w:ascii="Calibri" w:eastAsia="Calibri" w:hAnsi="Calibri"/>
                <w:color w:val="000000"/>
              </w:rPr>
            </w:pPr>
            <w:r w:rsidRPr="00A21DD5">
              <w:rPr>
                <w:rFonts w:ascii="Calibri" w:eastAsia="Calibri" w:hAnsi="Calibri"/>
                <w:color w:val="000000"/>
              </w:rPr>
              <w:t>A’s</w:t>
            </w:r>
          </w:p>
        </w:tc>
        <w:tc>
          <w:tcPr>
            <w:tcW w:w="1003" w:type="dxa"/>
          </w:tcPr>
          <w:p w14:paraId="5D45F25F" w14:textId="762A85BA" w:rsidR="00955BC3" w:rsidRPr="00A21DD5" w:rsidRDefault="00955BC3" w:rsidP="00A21DD5">
            <w:pPr>
              <w:spacing w:line="240" w:lineRule="auto"/>
              <w:rPr>
                <w:rFonts w:ascii="Calibri" w:eastAsia="Calibri" w:hAnsi="Calibri"/>
                <w:color w:val="000000"/>
              </w:rPr>
            </w:pPr>
            <w:r w:rsidRPr="00A21DD5">
              <w:rPr>
                <w:rFonts w:ascii="Calibri" w:eastAsia="Calibri" w:hAnsi="Calibri"/>
                <w:color w:val="000000"/>
              </w:rPr>
              <w:t>13.3</w:t>
            </w:r>
          </w:p>
        </w:tc>
        <w:tc>
          <w:tcPr>
            <w:tcW w:w="850" w:type="dxa"/>
          </w:tcPr>
          <w:p w14:paraId="5F700059" w14:textId="11FF5748" w:rsidR="00955BC3" w:rsidRPr="00A21DD5" w:rsidRDefault="00955BC3" w:rsidP="00A21DD5">
            <w:pPr>
              <w:spacing w:line="240" w:lineRule="auto"/>
              <w:rPr>
                <w:rFonts w:ascii="Calibri" w:eastAsia="Calibri" w:hAnsi="Calibri"/>
                <w:color w:val="000000"/>
              </w:rPr>
            </w:pPr>
            <w:r w:rsidRPr="00A21DD5">
              <w:rPr>
                <w:rFonts w:ascii="Calibri" w:eastAsia="Calibri" w:hAnsi="Calibri"/>
                <w:color w:val="000000"/>
              </w:rPr>
              <w:t>12.7</w:t>
            </w:r>
          </w:p>
        </w:tc>
        <w:tc>
          <w:tcPr>
            <w:tcW w:w="851" w:type="dxa"/>
          </w:tcPr>
          <w:p w14:paraId="66CA4E5D" w14:textId="039DFF45" w:rsidR="00955BC3" w:rsidRPr="00A21DD5" w:rsidRDefault="00955BC3" w:rsidP="00A21DD5">
            <w:pPr>
              <w:spacing w:line="240" w:lineRule="auto"/>
              <w:rPr>
                <w:rFonts w:ascii="Calibri" w:eastAsia="Calibri" w:hAnsi="Calibri"/>
                <w:color w:val="000000"/>
              </w:rPr>
            </w:pPr>
            <w:r w:rsidRPr="00A21DD5">
              <w:rPr>
                <w:rFonts w:ascii="Calibri" w:eastAsia="Calibri" w:hAnsi="Calibri"/>
                <w:color w:val="000000"/>
              </w:rPr>
              <w:t>9.3</w:t>
            </w:r>
          </w:p>
        </w:tc>
        <w:tc>
          <w:tcPr>
            <w:tcW w:w="850" w:type="dxa"/>
          </w:tcPr>
          <w:p w14:paraId="0EAA0104" w14:textId="5A520471" w:rsidR="00955BC3" w:rsidRPr="00A21DD5" w:rsidRDefault="00955BC3" w:rsidP="00A21DD5">
            <w:pPr>
              <w:spacing w:line="240" w:lineRule="auto"/>
              <w:rPr>
                <w:color w:val="000000"/>
              </w:rPr>
            </w:pPr>
            <w:r>
              <w:rPr>
                <w:color w:val="000000"/>
              </w:rPr>
              <w:t>9.3</w:t>
            </w:r>
          </w:p>
        </w:tc>
        <w:tc>
          <w:tcPr>
            <w:tcW w:w="992" w:type="dxa"/>
          </w:tcPr>
          <w:p w14:paraId="7A2D4589" w14:textId="0720C173" w:rsidR="00955BC3" w:rsidRPr="00A21DD5" w:rsidRDefault="00955BC3" w:rsidP="00A21DD5">
            <w:pPr>
              <w:spacing w:line="240" w:lineRule="auto"/>
              <w:rPr>
                <w:rFonts w:ascii="Calibri" w:eastAsia="Calibri" w:hAnsi="Calibri"/>
                <w:color w:val="000000"/>
              </w:rPr>
            </w:pPr>
            <w:r w:rsidRPr="00A21DD5">
              <w:rPr>
                <w:rFonts w:ascii="Calibri" w:eastAsia="Calibri" w:hAnsi="Calibri"/>
                <w:color w:val="000000"/>
              </w:rPr>
              <w:t>9.4</w:t>
            </w:r>
          </w:p>
        </w:tc>
        <w:tc>
          <w:tcPr>
            <w:tcW w:w="851" w:type="dxa"/>
          </w:tcPr>
          <w:p w14:paraId="35D18D5C" w14:textId="31203AC5" w:rsidR="00955BC3" w:rsidRPr="00A21DD5" w:rsidRDefault="00955BC3" w:rsidP="00A21DD5">
            <w:pPr>
              <w:spacing w:line="240" w:lineRule="auto"/>
              <w:rPr>
                <w:rFonts w:ascii="Calibri" w:eastAsia="Calibri" w:hAnsi="Calibri"/>
                <w:color w:val="000000"/>
              </w:rPr>
            </w:pPr>
            <w:r w:rsidRPr="00A21DD5">
              <w:rPr>
                <w:rFonts w:ascii="Calibri" w:eastAsia="Calibri" w:hAnsi="Calibri"/>
                <w:color w:val="000000"/>
              </w:rPr>
              <w:t>12.2</w:t>
            </w:r>
          </w:p>
        </w:tc>
        <w:tc>
          <w:tcPr>
            <w:tcW w:w="992" w:type="dxa"/>
          </w:tcPr>
          <w:p w14:paraId="4328CE2D" w14:textId="3C7B5B01" w:rsidR="00955BC3" w:rsidRPr="00A21DD5" w:rsidRDefault="00955BC3" w:rsidP="00A21DD5">
            <w:pPr>
              <w:spacing w:line="240" w:lineRule="auto"/>
              <w:rPr>
                <w:rFonts w:ascii="Calibri" w:eastAsia="Calibri" w:hAnsi="Calibri"/>
                <w:color w:val="000000"/>
              </w:rPr>
            </w:pPr>
            <w:r w:rsidRPr="00A21DD5">
              <w:rPr>
                <w:rFonts w:ascii="Calibri" w:eastAsia="Calibri" w:hAnsi="Calibri"/>
                <w:color w:val="000000"/>
              </w:rPr>
              <w:t>10.5</w:t>
            </w:r>
          </w:p>
        </w:tc>
        <w:tc>
          <w:tcPr>
            <w:tcW w:w="993" w:type="dxa"/>
          </w:tcPr>
          <w:p w14:paraId="6502360F" w14:textId="536DF42C" w:rsidR="00955BC3" w:rsidRPr="00A21DD5" w:rsidRDefault="003C05B8" w:rsidP="00A21DD5">
            <w:pPr>
              <w:spacing w:line="240" w:lineRule="auto"/>
              <w:rPr>
                <w:color w:val="000000"/>
              </w:rPr>
            </w:pPr>
            <w:r>
              <w:rPr>
                <w:color w:val="000000"/>
              </w:rPr>
              <w:t>9.2</w:t>
            </w:r>
          </w:p>
        </w:tc>
      </w:tr>
      <w:tr w:rsidR="00955BC3" w14:paraId="5B060B1E" w14:textId="20E0BA4A" w:rsidTr="00955BC3">
        <w:tc>
          <w:tcPr>
            <w:tcW w:w="1124" w:type="dxa"/>
          </w:tcPr>
          <w:p w14:paraId="1394D0EC" w14:textId="6B958F0C" w:rsidR="00955BC3" w:rsidRPr="00A21DD5" w:rsidRDefault="00955BC3" w:rsidP="00A21DD5">
            <w:pPr>
              <w:spacing w:line="240" w:lineRule="auto"/>
              <w:rPr>
                <w:rFonts w:ascii="Calibri" w:eastAsia="Calibri" w:hAnsi="Calibri"/>
                <w:color w:val="000000"/>
              </w:rPr>
            </w:pPr>
            <w:r w:rsidRPr="00A21DD5">
              <w:rPr>
                <w:rFonts w:ascii="Calibri" w:eastAsia="Calibri" w:hAnsi="Calibri"/>
                <w:color w:val="000000"/>
              </w:rPr>
              <w:t>B’s</w:t>
            </w:r>
          </w:p>
        </w:tc>
        <w:tc>
          <w:tcPr>
            <w:tcW w:w="1003" w:type="dxa"/>
          </w:tcPr>
          <w:p w14:paraId="4F1F979E" w14:textId="6DB73005" w:rsidR="00955BC3" w:rsidRPr="00A21DD5" w:rsidRDefault="00955BC3" w:rsidP="00A21DD5">
            <w:pPr>
              <w:spacing w:line="240" w:lineRule="auto"/>
              <w:rPr>
                <w:rFonts w:ascii="Calibri" w:eastAsia="Calibri" w:hAnsi="Calibri"/>
                <w:color w:val="000000"/>
              </w:rPr>
            </w:pPr>
            <w:r w:rsidRPr="00A21DD5">
              <w:rPr>
                <w:rFonts w:ascii="Calibri" w:eastAsia="Calibri" w:hAnsi="Calibri"/>
                <w:color w:val="000000"/>
              </w:rPr>
              <w:t>24.8</w:t>
            </w:r>
          </w:p>
        </w:tc>
        <w:tc>
          <w:tcPr>
            <w:tcW w:w="850" w:type="dxa"/>
          </w:tcPr>
          <w:p w14:paraId="0A0876D9" w14:textId="0BC40E38" w:rsidR="00955BC3" w:rsidRPr="00A21DD5" w:rsidRDefault="00955BC3" w:rsidP="00A21DD5">
            <w:pPr>
              <w:spacing w:line="240" w:lineRule="auto"/>
              <w:rPr>
                <w:rFonts w:ascii="Calibri" w:eastAsia="Calibri" w:hAnsi="Calibri"/>
                <w:color w:val="000000"/>
              </w:rPr>
            </w:pPr>
            <w:r w:rsidRPr="00A21DD5">
              <w:rPr>
                <w:rFonts w:ascii="Calibri" w:eastAsia="Calibri" w:hAnsi="Calibri"/>
                <w:color w:val="000000"/>
              </w:rPr>
              <w:t>27.1</w:t>
            </w:r>
          </w:p>
        </w:tc>
        <w:tc>
          <w:tcPr>
            <w:tcW w:w="851" w:type="dxa"/>
          </w:tcPr>
          <w:p w14:paraId="01C40C46" w14:textId="5F56BABA" w:rsidR="00955BC3" w:rsidRPr="00A21DD5" w:rsidRDefault="00955BC3" w:rsidP="00A21DD5">
            <w:pPr>
              <w:spacing w:line="240" w:lineRule="auto"/>
              <w:rPr>
                <w:rFonts w:ascii="Calibri" w:eastAsia="Calibri" w:hAnsi="Calibri"/>
                <w:color w:val="000000"/>
              </w:rPr>
            </w:pPr>
            <w:r w:rsidRPr="00A21DD5">
              <w:rPr>
                <w:rFonts w:ascii="Calibri" w:eastAsia="Calibri" w:hAnsi="Calibri"/>
                <w:color w:val="000000"/>
              </w:rPr>
              <w:t>22.9</w:t>
            </w:r>
          </w:p>
        </w:tc>
        <w:tc>
          <w:tcPr>
            <w:tcW w:w="850" w:type="dxa"/>
          </w:tcPr>
          <w:p w14:paraId="30A11D50" w14:textId="41D77E7C" w:rsidR="00955BC3" w:rsidRPr="00A21DD5" w:rsidRDefault="003C05B8" w:rsidP="00A21DD5">
            <w:pPr>
              <w:spacing w:line="240" w:lineRule="auto"/>
              <w:rPr>
                <w:color w:val="000000"/>
              </w:rPr>
            </w:pPr>
            <w:r>
              <w:rPr>
                <w:color w:val="000000"/>
              </w:rPr>
              <w:t>24.9</w:t>
            </w:r>
          </w:p>
        </w:tc>
        <w:tc>
          <w:tcPr>
            <w:tcW w:w="992" w:type="dxa"/>
          </w:tcPr>
          <w:p w14:paraId="591777B3" w14:textId="2AF5BEB0" w:rsidR="00955BC3" w:rsidRPr="00A21DD5" w:rsidRDefault="00955BC3" w:rsidP="00A21DD5">
            <w:pPr>
              <w:spacing w:line="240" w:lineRule="auto"/>
              <w:rPr>
                <w:rFonts w:ascii="Calibri" w:eastAsia="Calibri" w:hAnsi="Calibri"/>
                <w:color w:val="000000"/>
              </w:rPr>
            </w:pPr>
            <w:r w:rsidRPr="00A21DD5">
              <w:rPr>
                <w:rFonts w:ascii="Calibri" w:eastAsia="Calibri" w:hAnsi="Calibri"/>
                <w:color w:val="000000"/>
              </w:rPr>
              <w:t>22.6</w:t>
            </w:r>
          </w:p>
        </w:tc>
        <w:tc>
          <w:tcPr>
            <w:tcW w:w="851" w:type="dxa"/>
          </w:tcPr>
          <w:p w14:paraId="7457F68D" w14:textId="635EFB1F" w:rsidR="00955BC3" w:rsidRPr="00A21DD5" w:rsidRDefault="00955BC3" w:rsidP="00A21DD5">
            <w:pPr>
              <w:spacing w:line="240" w:lineRule="auto"/>
              <w:rPr>
                <w:rFonts w:ascii="Calibri" w:eastAsia="Calibri" w:hAnsi="Calibri"/>
                <w:color w:val="000000"/>
              </w:rPr>
            </w:pPr>
            <w:r w:rsidRPr="00A21DD5">
              <w:rPr>
                <w:rFonts w:ascii="Calibri" w:eastAsia="Calibri" w:hAnsi="Calibri"/>
                <w:color w:val="000000"/>
              </w:rPr>
              <w:t>27.4</w:t>
            </w:r>
          </w:p>
        </w:tc>
        <w:tc>
          <w:tcPr>
            <w:tcW w:w="992" w:type="dxa"/>
          </w:tcPr>
          <w:p w14:paraId="6D9A7EF9" w14:textId="4DD4B239" w:rsidR="00955BC3" w:rsidRPr="00A21DD5" w:rsidRDefault="00955BC3" w:rsidP="00A21DD5">
            <w:pPr>
              <w:spacing w:line="240" w:lineRule="auto"/>
              <w:rPr>
                <w:rFonts w:ascii="Calibri" w:eastAsia="Calibri" w:hAnsi="Calibri"/>
                <w:color w:val="000000"/>
              </w:rPr>
            </w:pPr>
            <w:r w:rsidRPr="00A21DD5">
              <w:rPr>
                <w:rFonts w:ascii="Calibri" w:eastAsia="Calibri" w:hAnsi="Calibri"/>
                <w:color w:val="000000"/>
              </w:rPr>
              <w:t>21.3</w:t>
            </w:r>
          </w:p>
        </w:tc>
        <w:tc>
          <w:tcPr>
            <w:tcW w:w="993" w:type="dxa"/>
          </w:tcPr>
          <w:p w14:paraId="68575E61" w14:textId="0FB7431A" w:rsidR="00955BC3" w:rsidRPr="00A21DD5" w:rsidRDefault="003C05B8" w:rsidP="00A21DD5">
            <w:pPr>
              <w:spacing w:line="240" w:lineRule="auto"/>
              <w:rPr>
                <w:color w:val="000000"/>
              </w:rPr>
            </w:pPr>
            <w:r>
              <w:rPr>
                <w:color w:val="000000"/>
              </w:rPr>
              <w:t>21</w:t>
            </w:r>
          </w:p>
        </w:tc>
      </w:tr>
      <w:tr w:rsidR="00955BC3" w14:paraId="70240861" w14:textId="7ACCA399" w:rsidTr="00955BC3">
        <w:tc>
          <w:tcPr>
            <w:tcW w:w="1124" w:type="dxa"/>
          </w:tcPr>
          <w:p w14:paraId="353A0FA5" w14:textId="24E3BD39" w:rsidR="00955BC3" w:rsidRPr="00A21DD5" w:rsidRDefault="00955BC3" w:rsidP="00A21DD5">
            <w:pPr>
              <w:spacing w:line="240" w:lineRule="auto"/>
              <w:rPr>
                <w:rFonts w:ascii="Calibri" w:eastAsia="Calibri" w:hAnsi="Calibri"/>
                <w:color w:val="000000"/>
              </w:rPr>
            </w:pPr>
            <w:r w:rsidRPr="00A21DD5">
              <w:rPr>
                <w:rFonts w:ascii="Calibri" w:eastAsia="Calibri" w:hAnsi="Calibri"/>
                <w:color w:val="000000"/>
              </w:rPr>
              <w:t>C’s</w:t>
            </w:r>
          </w:p>
        </w:tc>
        <w:tc>
          <w:tcPr>
            <w:tcW w:w="1003" w:type="dxa"/>
          </w:tcPr>
          <w:p w14:paraId="0F76F2B4" w14:textId="2BC5ADAB" w:rsidR="00955BC3" w:rsidRPr="00A21DD5" w:rsidRDefault="00955BC3" w:rsidP="00A21DD5">
            <w:pPr>
              <w:spacing w:line="240" w:lineRule="auto"/>
              <w:rPr>
                <w:rFonts w:ascii="Calibri" w:eastAsia="Calibri" w:hAnsi="Calibri"/>
                <w:color w:val="000000"/>
              </w:rPr>
            </w:pPr>
            <w:r w:rsidRPr="00A21DD5">
              <w:rPr>
                <w:rFonts w:ascii="Calibri" w:eastAsia="Calibri" w:hAnsi="Calibri"/>
                <w:color w:val="000000"/>
              </w:rPr>
              <w:t>40.5</w:t>
            </w:r>
          </w:p>
        </w:tc>
        <w:tc>
          <w:tcPr>
            <w:tcW w:w="850" w:type="dxa"/>
          </w:tcPr>
          <w:p w14:paraId="61499AFC" w14:textId="7B62427F" w:rsidR="00955BC3" w:rsidRPr="00A21DD5" w:rsidRDefault="00955BC3" w:rsidP="00A21DD5">
            <w:pPr>
              <w:spacing w:line="240" w:lineRule="auto"/>
              <w:rPr>
                <w:rFonts w:ascii="Calibri" w:eastAsia="Calibri" w:hAnsi="Calibri"/>
                <w:color w:val="000000"/>
              </w:rPr>
            </w:pPr>
            <w:r w:rsidRPr="00A21DD5">
              <w:rPr>
                <w:rFonts w:ascii="Calibri" w:eastAsia="Calibri" w:hAnsi="Calibri"/>
                <w:color w:val="000000"/>
              </w:rPr>
              <w:t>38.8</w:t>
            </w:r>
          </w:p>
        </w:tc>
        <w:tc>
          <w:tcPr>
            <w:tcW w:w="851" w:type="dxa"/>
          </w:tcPr>
          <w:p w14:paraId="5FCBAD35" w14:textId="1D466869" w:rsidR="00955BC3" w:rsidRPr="00A21DD5" w:rsidRDefault="00955BC3" w:rsidP="00A21DD5">
            <w:pPr>
              <w:spacing w:line="240" w:lineRule="auto"/>
              <w:rPr>
                <w:rFonts w:ascii="Calibri" w:eastAsia="Calibri" w:hAnsi="Calibri"/>
                <w:color w:val="000000"/>
              </w:rPr>
            </w:pPr>
            <w:r w:rsidRPr="00A21DD5">
              <w:rPr>
                <w:rFonts w:ascii="Calibri" w:eastAsia="Calibri" w:hAnsi="Calibri"/>
                <w:color w:val="000000"/>
              </w:rPr>
              <w:t>37</w:t>
            </w:r>
          </w:p>
        </w:tc>
        <w:tc>
          <w:tcPr>
            <w:tcW w:w="850" w:type="dxa"/>
          </w:tcPr>
          <w:p w14:paraId="6278456A" w14:textId="4667DC75" w:rsidR="00955BC3" w:rsidRPr="00A21DD5" w:rsidRDefault="003C05B8" w:rsidP="00A21DD5">
            <w:pPr>
              <w:spacing w:line="240" w:lineRule="auto"/>
              <w:rPr>
                <w:color w:val="000000"/>
              </w:rPr>
            </w:pPr>
            <w:r>
              <w:rPr>
                <w:color w:val="000000"/>
              </w:rPr>
              <w:t>37.2</w:t>
            </w:r>
          </w:p>
        </w:tc>
        <w:tc>
          <w:tcPr>
            <w:tcW w:w="992" w:type="dxa"/>
          </w:tcPr>
          <w:p w14:paraId="23C0A72B" w14:textId="2FEE4275" w:rsidR="00955BC3" w:rsidRPr="00A21DD5" w:rsidRDefault="00955BC3" w:rsidP="00A21DD5">
            <w:pPr>
              <w:spacing w:line="240" w:lineRule="auto"/>
              <w:rPr>
                <w:rFonts w:ascii="Calibri" w:eastAsia="Calibri" w:hAnsi="Calibri"/>
                <w:color w:val="000000"/>
              </w:rPr>
            </w:pPr>
            <w:r w:rsidRPr="00A21DD5">
              <w:rPr>
                <w:rFonts w:ascii="Calibri" w:eastAsia="Calibri" w:hAnsi="Calibri"/>
                <w:color w:val="000000"/>
              </w:rPr>
              <w:t>38.1</w:t>
            </w:r>
          </w:p>
        </w:tc>
        <w:tc>
          <w:tcPr>
            <w:tcW w:w="851" w:type="dxa"/>
          </w:tcPr>
          <w:p w14:paraId="30D9D917" w14:textId="73C60600" w:rsidR="00955BC3" w:rsidRPr="00A21DD5" w:rsidRDefault="00955BC3" w:rsidP="00A21DD5">
            <w:pPr>
              <w:spacing w:line="240" w:lineRule="auto"/>
              <w:rPr>
                <w:rFonts w:ascii="Calibri" w:eastAsia="Calibri" w:hAnsi="Calibri"/>
                <w:color w:val="000000"/>
              </w:rPr>
            </w:pPr>
            <w:r w:rsidRPr="00A21DD5">
              <w:rPr>
                <w:rFonts w:ascii="Calibri" w:eastAsia="Calibri" w:hAnsi="Calibri"/>
                <w:color w:val="000000"/>
              </w:rPr>
              <w:t>44.5</w:t>
            </w:r>
          </w:p>
        </w:tc>
        <w:tc>
          <w:tcPr>
            <w:tcW w:w="992" w:type="dxa"/>
          </w:tcPr>
          <w:p w14:paraId="306A113C" w14:textId="0EE13147" w:rsidR="00955BC3" w:rsidRPr="00A21DD5" w:rsidRDefault="00955BC3" w:rsidP="00A21DD5">
            <w:pPr>
              <w:spacing w:line="240" w:lineRule="auto"/>
              <w:rPr>
                <w:rFonts w:ascii="Calibri" w:eastAsia="Calibri" w:hAnsi="Calibri"/>
                <w:color w:val="000000"/>
              </w:rPr>
            </w:pPr>
            <w:r w:rsidRPr="00A21DD5">
              <w:rPr>
                <w:rFonts w:ascii="Calibri" w:eastAsia="Calibri" w:hAnsi="Calibri"/>
                <w:color w:val="000000"/>
              </w:rPr>
              <w:t>38.1</w:t>
            </w:r>
          </w:p>
        </w:tc>
        <w:tc>
          <w:tcPr>
            <w:tcW w:w="993" w:type="dxa"/>
          </w:tcPr>
          <w:p w14:paraId="17AD2829" w14:textId="0D0F2AD8" w:rsidR="00955BC3" w:rsidRPr="00A21DD5" w:rsidRDefault="003C05B8" w:rsidP="00A21DD5">
            <w:pPr>
              <w:spacing w:line="240" w:lineRule="auto"/>
              <w:rPr>
                <w:color w:val="000000"/>
              </w:rPr>
            </w:pPr>
            <w:r>
              <w:rPr>
                <w:color w:val="000000"/>
              </w:rPr>
              <w:t>36.45</w:t>
            </w:r>
          </w:p>
        </w:tc>
      </w:tr>
    </w:tbl>
    <w:p w14:paraId="09CA97A1" w14:textId="42910C74" w:rsidR="006A4357" w:rsidRPr="003C05B8" w:rsidRDefault="00A21DD5" w:rsidP="006A4357">
      <w:pPr>
        <w:pStyle w:val="BodyText"/>
        <w:rPr>
          <w:b/>
          <w:bCs/>
          <w:color w:val="000000"/>
          <w:sz w:val="20"/>
          <w:szCs w:val="20"/>
          <w:lang w:eastAsia="en-AU"/>
        </w:rPr>
      </w:pPr>
      <w:r w:rsidRPr="003C05B8">
        <w:rPr>
          <w:sz w:val="20"/>
          <w:szCs w:val="20"/>
        </w:rPr>
        <w:t>Source:  BSSS data 2015, 2016, 2017</w:t>
      </w:r>
      <w:r w:rsidR="00955BC3" w:rsidRPr="003C05B8">
        <w:rPr>
          <w:sz w:val="20"/>
          <w:szCs w:val="20"/>
        </w:rPr>
        <w:t>,2018</w:t>
      </w:r>
    </w:p>
    <w:p w14:paraId="4625C639" w14:textId="0D55A01B" w:rsidR="00900FDC" w:rsidRDefault="00900FDC" w:rsidP="006A4357">
      <w:pPr>
        <w:pStyle w:val="BodyText"/>
        <w:rPr>
          <w:b/>
          <w:bCs/>
          <w:color w:val="000000"/>
          <w:sz w:val="20"/>
          <w:szCs w:val="20"/>
          <w:lang w:eastAsia="en-AU"/>
        </w:rPr>
      </w:pPr>
      <w:r>
        <w:rPr>
          <w:b/>
          <w:bCs/>
          <w:color w:val="000000"/>
          <w:sz w:val="20"/>
          <w:szCs w:val="20"/>
          <w:lang w:eastAsia="en-AU"/>
        </w:rPr>
        <w:t>Halving proportion of unit void rates from that of 2015</w:t>
      </w:r>
      <w:r w:rsidR="00272B13">
        <w:rPr>
          <w:b/>
          <w:bCs/>
          <w:color w:val="000000"/>
          <w:sz w:val="20"/>
          <w:szCs w:val="20"/>
          <w:lang w:eastAsia="en-AU"/>
        </w:rPr>
        <w:t xml:space="preserve"> </w:t>
      </w:r>
      <w:r>
        <w:rPr>
          <w:b/>
          <w:bCs/>
          <w:color w:val="000000"/>
          <w:sz w:val="20"/>
          <w:szCs w:val="20"/>
          <w:lang w:eastAsia="en-AU"/>
        </w:rPr>
        <w:t>– i.e. the proportion will be 7.5%</w:t>
      </w:r>
    </w:p>
    <w:tbl>
      <w:tblPr>
        <w:tblStyle w:val="TableGrid"/>
        <w:tblW w:w="0" w:type="auto"/>
        <w:tblLook w:val="04A0" w:firstRow="1" w:lastRow="0" w:firstColumn="1" w:lastColumn="0" w:noHBand="0" w:noVBand="1"/>
      </w:tblPr>
      <w:tblGrid>
        <w:gridCol w:w="1138"/>
        <w:gridCol w:w="989"/>
        <w:gridCol w:w="850"/>
        <w:gridCol w:w="851"/>
        <w:gridCol w:w="850"/>
        <w:gridCol w:w="992"/>
        <w:gridCol w:w="851"/>
        <w:gridCol w:w="992"/>
        <w:gridCol w:w="992"/>
      </w:tblGrid>
      <w:tr w:rsidR="003C05B8" w14:paraId="117BE437" w14:textId="41336AC7" w:rsidTr="007474CE">
        <w:tc>
          <w:tcPr>
            <w:tcW w:w="1138" w:type="dxa"/>
            <w:tcBorders>
              <w:top w:val="nil"/>
              <w:left w:val="nil"/>
              <w:bottom w:val="nil"/>
            </w:tcBorders>
          </w:tcPr>
          <w:p w14:paraId="33029634" w14:textId="77777777" w:rsidR="003C05B8" w:rsidRDefault="003C05B8" w:rsidP="007474CE">
            <w:pPr>
              <w:pStyle w:val="BodyText"/>
              <w:jc w:val="center"/>
              <w:rPr>
                <w:b/>
                <w:bCs/>
                <w:color w:val="000000"/>
                <w:sz w:val="20"/>
                <w:szCs w:val="20"/>
                <w:lang w:eastAsia="en-AU"/>
              </w:rPr>
            </w:pPr>
          </w:p>
        </w:tc>
        <w:tc>
          <w:tcPr>
            <w:tcW w:w="3540" w:type="dxa"/>
            <w:gridSpan w:val="4"/>
          </w:tcPr>
          <w:p w14:paraId="4C413981" w14:textId="6DD86F18" w:rsidR="003C05B8" w:rsidRPr="00A21DD5" w:rsidRDefault="003C05B8" w:rsidP="00A21DD5">
            <w:pPr>
              <w:spacing w:line="240" w:lineRule="auto"/>
              <w:rPr>
                <w:b/>
              </w:rPr>
            </w:pPr>
            <w:r w:rsidRPr="00A21DD5">
              <w:rPr>
                <w:b/>
              </w:rPr>
              <w:t>Accredited courses</w:t>
            </w:r>
          </w:p>
        </w:tc>
        <w:tc>
          <w:tcPr>
            <w:tcW w:w="3827" w:type="dxa"/>
            <w:gridSpan w:val="4"/>
          </w:tcPr>
          <w:p w14:paraId="6C942FB4" w14:textId="10EA7E43" w:rsidR="003C05B8" w:rsidRPr="00A21DD5" w:rsidRDefault="003C05B8" w:rsidP="00A21DD5">
            <w:pPr>
              <w:spacing w:line="240" w:lineRule="auto"/>
              <w:rPr>
                <w:b/>
              </w:rPr>
            </w:pPr>
            <w:r w:rsidRPr="00A21DD5">
              <w:rPr>
                <w:b/>
              </w:rPr>
              <w:t>Tertiary courses</w:t>
            </w:r>
          </w:p>
        </w:tc>
      </w:tr>
      <w:tr w:rsidR="003C05B8" w14:paraId="73C76B67" w14:textId="0BF6FD50" w:rsidTr="007474CE">
        <w:tc>
          <w:tcPr>
            <w:tcW w:w="1138" w:type="dxa"/>
            <w:tcBorders>
              <w:top w:val="nil"/>
              <w:left w:val="nil"/>
            </w:tcBorders>
          </w:tcPr>
          <w:p w14:paraId="58EEBF9C" w14:textId="77777777" w:rsidR="003C05B8" w:rsidRDefault="003C05B8" w:rsidP="007474CE">
            <w:pPr>
              <w:pStyle w:val="BodyText"/>
              <w:rPr>
                <w:b/>
                <w:bCs/>
                <w:color w:val="000000"/>
                <w:sz w:val="20"/>
                <w:szCs w:val="20"/>
                <w:lang w:eastAsia="en-AU"/>
              </w:rPr>
            </w:pPr>
          </w:p>
        </w:tc>
        <w:tc>
          <w:tcPr>
            <w:tcW w:w="989" w:type="dxa"/>
          </w:tcPr>
          <w:p w14:paraId="5A39B543" w14:textId="77777777" w:rsidR="003C05B8" w:rsidRPr="00A21DD5" w:rsidRDefault="003C05B8" w:rsidP="00A21DD5">
            <w:pPr>
              <w:spacing w:line="240" w:lineRule="auto"/>
              <w:rPr>
                <w:b/>
              </w:rPr>
            </w:pPr>
            <w:r w:rsidRPr="00A21DD5">
              <w:rPr>
                <w:b/>
              </w:rPr>
              <w:t>2015</w:t>
            </w:r>
          </w:p>
        </w:tc>
        <w:tc>
          <w:tcPr>
            <w:tcW w:w="850" w:type="dxa"/>
          </w:tcPr>
          <w:p w14:paraId="72EBB343" w14:textId="77777777" w:rsidR="003C05B8" w:rsidRPr="00A21DD5" w:rsidRDefault="003C05B8" w:rsidP="00A21DD5">
            <w:pPr>
              <w:spacing w:line="240" w:lineRule="auto"/>
              <w:rPr>
                <w:b/>
              </w:rPr>
            </w:pPr>
            <w:r w:rsidRPr="00A21DD5">
              <w:rPr>
                <w:b/>
              </w:rPr>
              <w:t>2016</w:t>
            </w:r>
          </w:p>
        </w:tc>
        <w:tc>
          <w:tcPr>
            <w:tcW w:w="851" w:type="dxa"/>
          </w:tcPr>
          <w:p w14:paraId="57490F12" w14:textId="77777777" w:rsidR="003C05B8" w:rsidRPr="00A21DD5" w:rsidRDefault="003C05B8" w:rsidP="00A21DD5">
            <w:pPr>
              <w:spacing w:line="240" w:lineRule="auto"/>
              <w:rPr>
                <w:b/>
              </w:rPr>
            </w:pPr>
            <w:r w:rsidRPr="00A21DD5">
              <w:rPr>
                <w:b/>
              </w:rPr>
              <w:t>2017</w:t>
            </w:r>
          </w:p>
        </w:tc>
        <w:tc>
          <w:tcPr>
            <w:tcW w:w="850" w:type="dxa"/>
          </w:tcPr>
          <w:p w14:paraId="4BB4CE04" w14:textId="4D47897A" w:rsidR="003C05B8" w:rsidRPr="00A21DD5" w:rsidRDefault="003C05B8" w:rsidP="00A21DD5">
            <w:pPr>
              <w:spacing w:line="240" w:lineRule="auto"/>
              <w:rPr>
                <w:b/>
              </w:rPr>
            </w:pPr>
            <w:r>
              <w:rPr>
                <w:b/>
              </w:rPr>
              <w:t>2018</w:t>
            </w:r>
          </w:p>
        </w:tc>
        <w:tc>
          <w:tcPr>
            <w:tcW w:w="992" w:type="dxa"/>
          </w:tcPr>
          <w:p w14:paraId="28D3F796" w14:textId="7D47EF50" w:rsidR="003C05B8" w:rsidRPr="00A21DD5" w:rsidRDefault="003C05B8" w:rsidP="00A21DD5">
            <w:pPr>
              <w:spacing w:line="240" w:lineRule="auto"/>
              <w:rPr>
                <w:b/>
              </w:rPr>
            </w:pPr>
            <w:r w:rsidRPr="00A21DD5">
              <w:rPr>
                <w:b/>
              </w:rPr>
              <w:t>2015</w:t>
            </w:r>
          </w:p>
        </w:tc>
        <w:tc>
          <w:tcPr>
            <w:tcW w:w="851" w:type="dxa"/>
          </w:tcPr>
          <w:p w14:paraId="66CE0B5C" w14:textId="77777777" w:rsidR="003C05B8" w:rsidRPr="00A21DD5" w:rsidRDefault="003C05B8" w:rsidP="00A21DD5">
            <w:pPr>
              <w:spacing w:line="240" w:lineRule="auto"/>
              <w:rPr>
                <w:b/>
              </w:rPr>
            </w:pPr>
            <w:r w:rsidRPr="00A21DD5">
              <w:rPr>
                <w:b/>
              </w:rPr>
              <w:t>2016</w:t>
            </w:r>
          </w:p>
        </w:tc>
        <w:tc>
          <w:tcPr>
            <w:tcW w:w="992" w:type="dxa"/>
          </w:tcPr>
          <w:p w14:paraId="0996A869" w14:textId="77777777" w:rsidR="003C05B8" w:rsidRPr="00A21DD5" w:rsidRDefault="003C05B8" w:rsidP="00A21DD5">
            <w:pPr>
              <w:spacing w:line="240" w:lineRule="auto"/>
              <w:rPr>
                <w:b/>
              </w:rPr>
            </w:pPr>
            <w:r w:rsidRPr="00A21DD5">
              <w:rPr>
                <w:b/>
              </w:rPr>
              <w:t>2017</w:t>
            </w:r>
          </w:p>
        </w:tc>
        <w:tc>
          <w:tcPr>
            <w:tcW w:w="992" w:type="dxa"/>
          </w:tcPr>
          <w:p w14:paraId="1D608F5A" w14:textId="4F1D4684" w:rsidR="003C05B8" w:rsidRPr="00A21DD5" w:rsidRDefault="003C05B8" w:rsidP="00A21DD5">
            <w:pPr>
              <w:spacing w:line="240" w:lineRule="auto"/>
              <w:rPr>
                <w:b/>
              </w:rPr>
            </w:pPr>
            <w:r>
              <w:rPr>
                <w:b/>
              </w:rPr>
              <w:t>2018</w:t>
            </w:r>
          </w:p>
        </w:tc>
      </w:tr>
      <w:tr w:rsidR="003C05B8" w14:paraId="5AA09687" w14:textId="1C682665" w:rsidTr="007474CE">
        <w:tc>
          <w:tcPr>
            <w:tcW w:w="1138" w:type="dxa"/>
          </w:tcPr>
          <w:p w14:paraId="44705584" w14:textId="60655109" w:rsidR="003C05B8" w:rsidRPr="00A21DD5" w:rsidRDefault="003C05B8" w:rsidP="00A21DD5">
            <w:pPr>
              <w:spacing w:line="240" w:lineRule="auto"/>
              <w:rPr>
                <w:rFonts w:ascii="Calibri" w:eastAsia="Calibri" w:hAnsi="Calibri"/>
                <w:color w:val="000000"/>
              </w:rPr>
            </w:pPr>
            <w:r w:rsidRPr="00A21DD5">
              <w:rPr>
                <w:rFonts w:ascii="Calibri" w:eastAsia="Calibri" w:hAnsi="Calibri"/>
                <w:color w:val="000000"/>
              </w:rPr>
              <w:t>V-grades</w:t>
            </w:r>
          </w:p>
        </w:tc>
        <w:tc>
          <w:tcPr>
            <w:tcW w:w="989" w:type="dxa"/>
          </w:tcPr>
          <w:p w14:paraId="248D6F9D" w14:textId="77777777" w:rsidR="003C05B8" w:rsidRPr="00A21DD5" w:rsidRDefault="003C05B8" w:rsidP="00A21DD5">
            <w:pPr>
              <w:spacing w:line="240" w:lineRule="auto"/>
              <w:rPr>
                <w:rFonts w:ascii="Calibri" w:eastAsia="Calibri" w:hAnsi="Calibri"/>
                <w:color w:val="000000"/>
              </w:rPr>
            </w:pPr>
            <w:r w:rsidRPr="00A21DD5">
              <w:rPr>
                <w:rFonts w:ascii="Calibri" w:eastAsia="Calibri" w:hAnsi="Calibri"/>
                <w:color w:val="000000"/>
              </w:rPr>
              <w:t>13.3</w:t>
            </w:r>
          </w:p>
        </w:tc>
        <w:tc>
          <w:tcPr>
            <w:tcW w:w="850" w:type="dxa"/>
          </w:tcPr>
          <w:p w14:paraId="60FF9886" w14:textId="77777777" w:rsidR="003C05B8" w:rsidRPr="00A21DD5" w:rsidRDefault="003C05B8" w:rsidP="00A21DD5">
            <w:pPr>
              <w:spacing w:line="240" w:lineRule="auto"/>
              <w:rPr>
                <w:rFonts w:ascii="Calibri" w:eastAsia="Calibri" w:hAnsi="Calibri"/>
                <w:color w:val="000000"/>
              </w:rPr>
            </w:pPr>
            <w:r w:rsidRPr="00A21DD5">
              <w:rPr>
                <w:rFonts w:ascii="Calibri" w:eastAsia="Calibri" w:hAnsi="Calibri"/>
                <w:color w:val="000000"/>
              </w:rPr>
              <w:t>12.7</w:t>
            </w:r>
          </w:p>
        </w:tc>
        <w:tc>
          <w:tcPr>
            <w:tcW w:w="851" w:type="dxa"/>
          </w:tcPr>
          <w:p w14:paraId="488B3940" w14:textId="4AB3B31D" w:rsidR="003C05B8" w:rsidRPr="00A21DD5" w:rsidRDefault="003C05B8" w:rsidP="00A21DD5">
            <w:pPr>
              <w:spacing w:line="240" w:lineRule="auto"/>
              <w:rPr>
                <w:rFonts w:ascii="Calibri" w:eastAsia="Calibri" w:hAnsi="Calibri"/>
                <w:color w:val="000000"/>
              </w:rPr>
            </w:pPr>
            <w:r>
              <w:rPr>
                <w:rFonts w:ascii="Calibri" w:eastAsia="Calibri" w:hAnsi="Calibri"/>
                <w:color w:val="000000"/>
              </w:rPr>
              <w:t>15.5</w:t>
            </w:r>
          </w:p>
        </w:tc>
        <w:tc>
          <w:tcPr>
            <w:tcW w:w="850" w:type="dxa"/>
          </w:tcPr>
          <w:p w14:paraId="0F0CBD6B" w14:textId="7A6F725E" w:rsidR="003C05B8" w:rsidRPr="00A21DD5" w:rsidRDefault="003C05B8" w:rsidP="00A21DD5">
            <w:pPr>
              <w:spacing w:line="240" w:lineRule="auto"/>
              <w:rPr>
                <w:color w:val="000000"/>
              </w:rPr>
            </w:pPr>
            <w:r>
              <w:rPr>
                <w:color w:val="000000"/>
              </w:rPr>
              <w:t>17.3</w:t>
            </w:r>
          </w:p>
        </w:tc>
        <w:tc>
          <w:tcPr>
            <w:tcW w:w="992" w:type="dxa"/>
          </w:tcPr>
          <w:p w14:paraId="20202DA9" w14:textId="72505654" w:rsidR="003C05B8" w:rsidRPr="00A21DD5" w:rsidRDefault="003C05B8" w:rsidP="00A21DD5">
            <w:pPr>
              <w:spacing w:line="240" w:lineRule="auto"/>
              <w:rPr>
                <w:rFonts w:ascii="Calibri" w:eastAsia="Calibri" w:hAnsi="Calibri"/>
                <w:color w:val="000000"/>
              </w:rPr>
            </w:pPr>
            <w:r w:rsidRPr="00A21DD5">
              <w:rPr>
                <w:rFonts w:ascii="Calibri" w:eastAsia="Calibri" w:hAnsi="Calibri"/>
                <w:color w:val="000000"/>
              </w:rPr>
              <w:t>9.4</w:t>
            </w:r>
          </w:p>
        </w:tc>
        <w:tc>
          <w:tcPr>
            <w:tcW w:w="851" w:type="dxa"/>
          </w:tcPr>
          <w:p w14:paraId="0D8464F8" w14:textId="77777777" w:rsidR="003C05B8" w:rsidRPr="00A21DD5" w:rsidRDefault="003C05B8" w:rsidP="00A21DD5">
            <w:pPr>
              <w:spacing w:line="240" w:lineRule="auto"/>
              <w:rPr>
                <w:rFonts w:ascii="Calibri" w:eastAsia="Calibri" w:hAnsi="Calibri"/>
                <w:color w:val="000000"/>
              </w:rPr>
            </w:pPr>
            <w:r w:rsidRPr="00A21DD5">
              <w:rPr>
                <w:rFonts w:ascii="Calibri" w:eastAsia="Calibri" w:hAnsi="Calibri"/>
                <w:color w:val="000000"/>
              </w:rPr>
              <w:t>12.2</w:t>
            </w:r>
          </w:p>
        </w:tc>
        <w:tc>
          <w:tcPr>
            <w:tcW w:w="992" w:type="dxa"/>
          </w:tcPr>
          <w:p w14:paraId="2B2236E4" w14:textId="5B52DD13" w:rsidR="003C05B8" w:rsidRPr="00A21DD5" w:rsidRDefault="003C05B8" w:rsidP="00A21DD5">
            <w:pPr>
              <w:spacing w:line="240" w:lineRule="auto"/>
              <w:rPr>
                <w:rFonts w:ascii="Calibri" w:eastAsia="Calibri" w:hAnsi="Calibri"/>
                <w:color w:val="000000"/>
              </w:rPr>
            </w:pPr>
            <w:r>
              <w:rPr>
                <w:rFonts w:ascii="Calibri" w:eastAsia="Calibri" w:hAnsi="Calibri"/>
                <w:color w:val="000000"/>
              </w:rPr>
              <w:t>7.7</w:t>
            </w:r>
          </w:p>
        </w:tc>
        <w:tc>
          <w:tcPr>
            <w:tcW w:w="992" w:type="dxa"/>
          </w:tcPr>
          <w:p w14:paraId="6295BB18" w14:textId="20836A40" w:rsidR="003C05B8" w:rsidRDefault="003C05B8" w:rsidP="00A21DD5">
            <w:pPr>
              <w:spacing w:line="240" w:lineRule="auto"/>
              <w:rPr>
                <w:color w:val="000000"/>
              </w:rPr>
            </w:pPr>
            <w:r>
              <w:rPr>
                <w:color w:val="000000"/>
              </w:rPr>
              <w:t>7</w:t>
            </w:r>
          </w:p>
        </w:tc>
      </w:tr>
    </w:tbl>
    <w:p w14:paraId="51F2BFBB" w14:textId="3A216B8A" w:rsidR="00A21DD5" w:rsidRPr="00427C10" w:rsidRDefault="00A21DD5" w:rsidP="00272B13">
      <w:pPr>
        <w:pStyle w:val="BodyText"/>
        <w:rPr>
          <w:sz w:val="20"/>
          <w:szCs w:val="20"/>
          <w:lang w:val="en-AU"/>
        </w:rPr>
      </w:pPr>
      <w:r w:rsidRPr="003C05B8">
        <w:rPr>
          <w:sz w:val="20"/>
          <w:szCs w:val="20"/>
        </w:rPr>
        <w:t>Source:  BSSS data 2015, 2016, 2017</w:t>
      </w:r>
      <w:r w:rsidR="00955BC3" w:rsidRPr="003C05B8">
        <w:rPr>
          <w:sz w:val="20"/>
          <w:szCs w:val="20"/>
        </w:rPr>
        <w:t>, 2018</w:t>
      </w:r>
    </w:p>
    <w:p w14:paraId="171FFAC2" w14:textId="77777777" w:rsidR="00C31B96" w:rsidRDefault="00C31B96" w:rsidP="00272B13">
      <w:pPr>
        <w:pStyle w:val="BodyText"/>
        <w:rPr>
          <w:b/>
          <w:bCs/>
          <w:color w:val="000000"/>
          <w:sz w:val="20"/>
          <w:szCs w:val="20"/>
          <w:lang w:eastAsia="en-AU"/>
        </w:rPr>
      </w:pPr>
    </w:p>
    <w:p w14:paraId="753549BA" w14:textId="77777777" w:rsidR="00C31B96" w:rsidRDefault="00C31B96" w:rsidP="00272B13">
      <w:pPr>
        <w:pStyle w:val="BodyText"/>
        <w:rPr>
          <w:b/>
          <w:bCs/>
          <w:color w:val="000000"/>
          <w:sz w:val="20"/>
          <w:szCs w:val="20"/>
          <w:lang w:eastAsia="en-AU"/>
        </w:rPr>
      </w:pPr>
    </w:p>
    <w:p w14:paraId="5AD3BFF9" w14:textId="77777777" w:rsidR="00C31B96" w:rsidRDefault="00C31B96" w:rsidP="00272B13">
      <w:pPr>
        <w:pStyle w:val="BodyText"/>
        <w:rPr>
          <w:b/>
          <w:bCs/>
          <w:color w:val="000000"/>
          <w:sz w:val="20"/>
          <w:szCs w:val="20"/>
          <w:lang w:eastAsia="en-AU"/>
        </w:rPr>
      </w:pPr>
    </w:p>
    <w:p w14:paraId="6A87572E" w14:textId="185A49F3" w:rsidR="00272B13" w:rsidRDefault="00272B13" w:rsidP="00272B13">
      <w:pPr>
        <w:pStyle w:val="BodyText"/>
        <w:rPr>
          <w:b/>
          <w:bCs/>
          <w:color w:val="000000"/>
          <w:sz w:val="20"/>
          <w:szCs w:val="20"/>
          <w:lang w:eastAsia="en-AU"/>
        </w:rPr>
      </w:pPr>
      <w:r w:rsidRPr="00272B13">
        <w:rPr>
          <w:b/>
          <w:bCs/>
          <w:color w:val="000000"/>
          <w:sz w:val="20"/>
          <w:szCs w:val="20"/>
          <w:lang w:eastAsia="en-AU"/>
        </w:rPr>
        <w:lastRenderedPageBreak/>
        <w:t>Halving the proportion of non-completion of senior secondary certificate from that of 2015 (eight percent in 2015)</w:t>
      </w:r>
    </w:p>
    <w:tbl>
      <w:tblPr>
        <w:tblStyle w:val="TableGrid"/>
        <w:tblW w:w="0" w:type="auto"/>
        <w:tblInd w:w="-34" w:type="dxa"/>
        <w:tblLook w:val="04A0" w:firstRow="1" w:lastRow="0" w:firstColumn="1" w:lastColumn="0" w:noHBand="0" w:noVBand="1"/>
      </w:tblPr>
      <w:tblGrid>
        <w:gridCol w:w="1808"/>
        <w:gridCol w:w="1813"/>
        <w:gridCol w:w="1813"/>
        <w:gridCol w:w="1813"/>
        <w:gridCol w:w="1808"/>
      </w:tblGrid>
      <w:tr w:rsidR="003C05B8" w14:paraId="41470DDB" w14:textId="08C0B85C" w:rsidTr="003C05B8">
        <w:tc>
          <w:tcPr>
            <w:tcW w:w="1808" w:type="dxa"/>
            <w:tcBorders>
              <w:top w:val="nil"/>
              <w:left w:val="nil"/>
            </w:tcBorders>
          </w:tcPr>
          <w:p w14:paraId="47F8B5C8" w14:textId="77777777" w:rsidR="003C05B8" w:rsidRDefault="003C05B8" w:rsidP="007474CE">
            <w:pPr>
              <w:pStyle w:val="BodyText"/>
              <w:jc w:val="center"/>
              <w:rPr>
                <w:b/>
                <w:lang w:val="en-AU"/>
              </w:rPr>
            </w:pPr>
          </w:p>
        </w:tc>
        <w:tc>
          <w:tcPr>
            <w:tcW w:w="1813" w:type="dxa"/>
          </w:tcPr>
          <w:p w14:paraId="2B6290CD" w14:textId="77777777" w:rsidR="003C05B8" w:rsidRPr="009D7936" w:rsidRDefault="003C05B8" w:rsidP="00A21DD5">
            <w:pPr>
              <w:spacing w:line="240" w:lineRule="auto"/>
              <w:rPr>
                <w:b/>
              </w:rPr>
            </w:pPr>
            <w:r>
              <w:rPr>
                <w:b/>
              </w:rPr>
              <w:t>2015</w:t>
            </w:r>
          </w:p>
        </w:tc>
        <w:tc>
          <w:tcPr>
            <w:tcW w:w="1813" w:type="dxa"/>
          </w:tcPr>
          <w:p w14:paraId="7F59C576" w14:textId="77777777" w:rsidR="003C05B8" w:rsidRPr="009D7936" w:rsidRDefault="003C05B8" w:rsidP="00A21DD5">
            <w:pPr>
              <w:spacing w:line="240" w:lineRule="auto"/>
              <w:rPr>
                <w:b/>
              </w:rPr>
            </w:pPr>
            <w:r w:rsidRPr="009D7936">
              <w:rPr>
                <w:b/>
              </w:rPr>
              <w:t>2016</w:t>
            </w:r>
          </w:p>
        </w:tc>
        <w:tc>
          <w:tcPr>
            <w:tcW w:w="1813" w:type="dxa"/>
          </w:tcPr>
          <w:p w14:paraId="31F93A87" w14:textId="77777777" w:rsidR="003C05B8" w:rsidRPr="009D7936" w:rsidRDefault="003C05B8" w:rsidP="00A21DD5">
            <w:pPr>
              <w:spacing w:line="240" w:lineRule="auto"/>
              <w:rPr>
                <w:b/>
              </w:rPr>
            </w:pPr>
            <w:r w:rsidRPr="009D7936">
              <w:rPr>
                <w:b/>
              </w:rPr>
              <w:t>2017</w:t>
            </w:r>
          </w:p>
        </w:tc>
        <w:tc>
          <w:tcPr>
            <w:tcW w:w="1808" w:type="dxa"/>
          </w:tcPr>
          <w:p w14:paraId="646D630F" w14:textId="114B0FE7" w:rsidR="003C05B8" w:rsidRPr="009D7936" w:rsidRDefault="003C05B8" w:rsidP="00A21DD5">
            <w:pPr>
              <w:spacing w:line="240" w:lineRule="auto"/>
              <w:rPr>
                <w:b/>
              </w:rPr>
            </w:pPr>
            <w:r>
              <w:rPr>
                <w:b/>
              </w:rPr>
              <w:t>2018</w:t>
            </w:r>
          </w:p>
        </w:tc>
      </w:tr>
      <w:tr w:rsidR="003C05B8" w14:paraId="66F9A17A" w14:textId="537E14C8" w:rsidTr="003C05B8">
        <w:tc>
          <w:tcPr>
            <w:tcW w:w="1808" w:type="dxa"/>
          </w:tcPr>
          <w:p w14:paraId="5DEB68F7" w14:textId="5E527FA0" w:rsidR="003C05B8" w:rsidRPr="00A21DD5" w:rsidRDefault="003C05B8" w:rsidP="00A21DD5">
            <w:pPr>
              <w:spacing w:line="240" w:lineRule="auto"/>
              <w:rPr>
                <w:rFonts w:ascii="Calibri" w:eastAsia="Calibri" w:hAnsi="Calibri"/>
                <w:color w:val="000000"/>
              </w:rPr>
            </w:pPr>
            <w:r w:rsidRPr="00A21DD5">
              <w:rPr>
                <w:rFonts w:ascii="Calibri" w:eastAsia="Calibri" w:hAnsi="Calibri"/>
                <w:color w:val="000000"/>
              </w:rPr>
              <w:t>% of cohort</w:t>
            </w:r>
          </w:p>
        </w:tc>
        <w:tc>
          <w:tcPr>
            <w:tcW w:w="1813" w:type="dxa"/>
          </w:tcPr>
          <w:p w14:paraId="2B26C6D7" w14:textId="5E73EE8C" w:rsidR="003C05B8" w:rsidRPr="00A21DD5" w:rsidRDefault="003C05B8" w:rsidP="00A21DD5">
            <w:pPr>
              <w:spacing w:line="240" w:lineRule="auto"/>
              <w:rPr>
                <w:rFonts w:ascii="Calibri" w:eastAsia="Calibri" w:hAnsi="Calibri"/>
                <w:color w:val="000000"/>
              </w:rPr>
            </w:pPr>
            <w:r w:rsidRPr="00A21DD5">
              <w:rPr>
                <w:rFonts w:ascii="Calibri" w:eastAsia="Calibri" w:hAnsi="Calibri"/>
                <w:color w:val="000000"/>
              </w:rPr>
              <w:t>8</w:t>
            </w:r>
          </w:p>
        </w:tc>
        <w:tc>
          <w:tcPr>
            <w:tcW w:w="1813" w:type="dxa"/>
          </w:tcPr>
          <w:p w14:paraId="09A6EA4B" w14:textId="31993957" w:rsidR="003C05B8" w:rsidRPr="00A21DD5" w:rsidRDefault="003B03BE" w:rsidP="00A21DD5">
            <w:pPr>
              <w:spacing w:line="240" w:lineRule="auto"/>
              <w:rPr>
                <w:rFonts w:ascii="Calibri" w:eastAsia="Calibri" w:hAnsi="Calibri"/>
                <w:color w:val="000000"/>
              </w:rPr>
            </w:pPr>
            <w:r>
              <w:rPr>
                <w:rFonts w:ascii="Calibri" w:eastAsia="Calibri" w:hAnsi="Calibri"/>
                <w:color w:val="000000"/>
              </w:rPr>
              <w:t>12.3</w:t>
            </w:r>
          </w:p>
        </w:tc>
        <w:tc>
          <w:tcPr>
            <w:tcW w:w="1813" w:type="dxa"/>
          </w:tcPr>
          <w:p w14:paraId="6376FDF6" w14:textId="0BCD8053" w:rsidR="003C05B8" w:rsidRPr="00A21DD5" w:rsidRDefault="003C05B8" w:rsidP="00A21DD5">
            <w:pPr>
              <w:spacing w:line="240" w:lineRule="auto"/>
              <w:rPr>
                <w:rFonts w:ascii="Calibri" w:eastAsia="Calibri" w:hAnsi="Calibri"/>
                <w:color w:val="000000"/>
              </w:rPr>
            </w:pPr>
            <w:r w:rsidRPr="00A21DD5">
              <w:rPr>
                <w:rFonts w:ascii="Calibri" w:eastAsia="Calibri" w:hAnsi="Calibri"/>
                <w:color w:val="000000"/>
              </w:rPr>
              <w:t>4</w:t>
            </w:r>
          </w:p>
        </w:tc>
        <w:tc>
          <w:tcPr>
            <w:tcW w:w="1808" w:type="dxa"/>
          </w:tcPr>
          <w:p w14:paraId="26F030CC" w14:textId="7BAA3C52" w:rsidR="003C05B8" w:rsidRPr="00A21DD5" w:rsidRDefault="00B700A3" w:rsidP="00A21DD5">
            <w:pPr>
              <w:spacing w:line="240" w:lineRule="auto"/>
              <w:rPr>
                <w:color w:val="000000"/>
              </w:rPr>
            </w:pPr>
            <w:r>
              <w:rPr>
                <w:color w:val="000000"/>
              </w:rPr>
              <w:t>7.6</w:t>
            </w:r>
          </w:p>
        </w:tc>
      </w:tr>
    </w:tbl>
    <w:p w14:paraId="600B6B54" w14:textId="06C7138F" w:rsidR="00C8476A" w:rsidRDefault="00C8476A" w:rsidP="00A21DD5">
      <w:pPr>
        <w:pStyle w:val="BodyText"/>
      </w:pPr>
      <w:r>
        <w:t xml:space="preserve">Source:  </w:t>
      </w:r>
      <w:r w:rsidRPr="003C05B8">
        <w:rPr>
          <w:sz w:val="20"/>
          <w:szCs w:val="20"/>
        </w:rPr>
        <w:t>Priority 1 Target Progress – Lake Tuggeranong College and BSSS data 201</w:t>
      </w:r>
      <w:r w:rsidR="00A21DD5" w:rsidRPr="003C05B8">
        <w:rPr>
          <w:sz w:val="20"/>
          <w:szCs w:val="20"/>
        </w:rPr>
        <w:t xml:space="preserve">5, 2016, </w:t>
      </w:r>
      <w:r w:rsidRPr="003C05B8">
        <w:rPr>
          <w:sz w:val="20"/>
          <w:szCs w:val="20"/>
        </w:rPr>
        <w:t>2017</w:t>
      </w:r>
      <w:r w:rsidR="003C05B8" w:rsidRPr="003C05B8">
        <w:rPr>
          <w:sz w:val="20"/>
          <w:szCs w:val="20"/>
        </w:rPr>
        <w:t>,2018</w:t>
      </w:r>
      <w:r w:rsidRPr="003C05B8">
        <w:rPr>
          <w:sz w:val="20"/>
          <w:szCs w:val="20"/>
        </w:rPr>
        <w:t>.</w:t>
      </w:r>
    </w:p>
    <w:p w14:paraId="135A97B9" w14:textId="0878A55A" w:rsidR="00C8476A" w:rsidRDefault="00C8476A" w:rsidP="00C8476A">
      <w:pPr>
        <w:pStyle w:val="Heading4"/>
      </w:pPr>
      <w:r>
        <w:t>Discussion</w:t>
      </w:r>
    </w:p>
    <w:p w14:paraId="14297174" w14:textId="2F3FAF5F" w:rsidR="002E799F" w:rsidRDefault="00443098" w:rsidP="00FB0ACA">
      <w:r>
        <w:t xml:space="preserve">The </w:t>
      </w:r>
      <w:r w:rsidR="00FB0ACA">
        <w:t>Key Improvement Strateg</w:t>
      </w:r>
      <w:r w:rsidR="00A56CCF">
        <w:t>ies</w:t>
      </w:r>
      <w:r>
        <w:t xml:space="preserve"> deployed during 201</w:t>
      </w:r>
      <w:r w:rsidR="008731B9">
        <w:t>8</w:t>
      </w:r>
      <w:r>
        <w:t xml:space="preserve"> for this priority </w:t>
      </w:r>
      <w:r w:rsidR="00FB0ACA">
        <w:t>w</w:t>
      </w:r>
      <w:r w:rsidR="00A56CCF">
        <w:t>ere:</w:t>
      </w:r>
      <w:r w:rsidR="00FB0ACA">
        <w:t xml:space="preserve"> </w:t>
      </w:r>
    </w:p>
    <w:p w14:paraId="1A4A2FEC" w14:textId="03BDA320" w:rsidR="00A56CCF" w:rsidRDefault="00A56CCF" w:rsidP="00A56CCF">
      <w:pPr>
        <w:pStyle w:val="ListParagraph"/>
        <w:numPr>
          <w:ilvl w:val="0"/>
          <w:numId w:val="18"/>
        </w:numPr>
      </w:pPr>
      <w:r w:rsidRPr="00A56CCF">
        <w:t>KIS 1</w:t>
      </w:r>
      <w:r>
        <w:t xml:space="preserve"> </w:t>
      </w:r>
      <w:proofErr w:type="gramStart"/>
      <w:r>
        <w:t>-</w:t>
      </w:r>
      <w:r w:rsidRPr="00A56CCF">
        <w:t xml:space="preserve"> </w:t>
      </w:r>
      <w:r>
        <w:t xml:space="preserve"> </w:t>
      </w:r>
      <w:r w:rsidRPr="00A56CCF">
        <w:t>A</w:t>
      </w:r>
      <w:proofErr w:type="gramEnd"/>
      <w:r w:rsidRPr="00A56CCF">
        <w:t xml:space="preserve"> Professional Learning Community model for teacher learning and development</w:t>
      </w:r>
      <w:r>
        <w:t xml:space="preserve">  </w:t>
      </w:r>
    </w:p>
    <w:p w14:paraId="14F2393F" w14:textId="055D47C4" w:rsidR="00A56CCF" w:rsidRDefault="00443098" w:rsidP="00A56CCF">
      <w:pPr>
        <w:pStyle w:val="ListParagraph"/>
        <w:numPr>
          <w:ilvl w:val="0"/>
          <w:numId w:val="18"/>
        </w:numPr>
      </w:pPr>
      <w:r>
        <w:t xml:space="preserve">KIS 3 </w:t>
      </w:r>
      <w:proofErr w:type="gramStart"/>
      <w:r>
        <w:t xml:space="preserve">- </w:t>
      </w:r>
      <w:r w:rsidRPr="00443098">
        <w:t xml:space="preserve"> Data</w:t>
      </w:r>
      <w:proofErr w:type="gramEnd"/>
      <w:r w:rsidRPr="00443098">
        <w:t xml:space="preserve"> and evidence informs teacher practice</w:t>
      </w:r>
    </w:p>
    <w:p w14:paraId="2B8AF204" w14:textId="443BF56F" w:rsidR="00FB0ACA" w:rsidRDefault="004C6048" w:rsidP="00827259">
      <w:pPr>
        <w:pStyle w:val="ListParagraph"/>
        <w:numPr>
          <w:ilvl w:val="0"/>
          <w:numId w:val="18"/>
        </w:numPr>
      </w:pPr>
      <w:r>
        <w:t xml:space="preserve">KIS 4 </w:t>
      </w:r>
      <w:r w:rsidR="00401824">
        <w:t>–</w:t>
      </w:r>
      <w:r>
        <w:t xml:space="preserve"> </w:t>
      </w:r>
      <w:r w:rsidR="00401824">
        <w:t>A college-wide focus on delivering personalised learning</w:t>
      </w:r>
    </w:p>
    <w:p w14:paraId="4B437632" w14:textId="77777777" w:rsidR="00827259" w:rsidRPr="00FB0ACA" w:rsidRDefault="00827259" w:rsidP="00827259">
      <w:pPr>
        <w:pStyle w:val="ListParagraph"/>
        <w:ind w:left="720"/>
      </w:pPr>
    </w:p>
    <w:p w14:paraId="12C0917F" w14:textId="320C7B62" w:rsidR="00427C10" w:rsidRDefault="00427C10">
      <w:pPr>
        <w:spacing w:line="240" w:lineRule="auto"/>
      </w:pPr>
      <w:r>
        <w:t xml:space="preserve">2018 was the second year of teachers investigating the impact of their practice via their involvement in action research projects.  Building upon the work undertaken in 2017, whereby staff explored data sources and how to analyse data generated in their research projects, teachers launched into their respective research projects in term </w:t>
      </w:r>
      <w:r w:rsidR="00110CA5">
        <w:t>two</w:t>
      </w:r>
      <w:r>
        <w:t xml:space="preserve"> of 2018.  Faculty meetings were used to share progress during terms </w:t>
      </w:r>
      <w:r w:rsidR="00110CA5">
        <w:t>two</w:t>
      </w:r>
      <w:r>
        <w:t xml:space="preserve"> and </w:t>
      </w:r>
      <w:r w:rsidR="00110CA5">
        <w:t>three</w:t>
      </w:r>
      <w:r>
        <w:t xml:space="preserve">, and a whole-staff sharing session took place in term </w:t>
      </w:r>
      <w:r w:rsidR="00110CA5">
        <w:t>four</w:t>
      </w:r>
      <w:r>
        <w:t xml:space="preserve">. </w:t>
      </w:r>
    </w:p>
    <w:p w14:paraId="5E803663" w14:textId="5446B9AE" w:rsidR="00137EFB" w:rsidRDefault="00137EFB">
      <w:pPr>
        <w:spacing w:line="240" w:lineRule="auto"/>
      </w:pPr>
    </w:p>
    <w:p w14:paraId="384E3349" w14:textId="225426B0" w:rsidR="00137EFB" w:rsidRDefault="00137EFB">
      <w:pPr>
        <w:spacing w:line="240" w:lineRule="auto"/>
      </w:pPr>
      <w:r>
        <w:t>The college</w:t>
      </w:r>
      <w:r w:rsidR="00401824">
        <w:t xml:space="preserve"> again sought to build a centralised student learning and wellbeing data set in order to profile strengths and areas for development for in the cohort.  This initiative was not continued after the first term due to challenges implementing the new student administration system which required considerable time on the part of key staff members. </w:t>
      </w:r>
      <w:r>
        <w:t xml:space="preserve"> </w:t>
      </w:r>
    </w:p>
    <w:p w14:paraId="115CFFC3" w14:textId="37CC9CCE" w:rsidR="00401824" w:rsidRDefault="00401824">
      <w:pPr>
        <w:spacing w:line="240" w:lineRule="auto"/>
      </w:pPr>
    </w:p>
    <w:p w14:paraId="606421A4" w14:textId="53758534" w:rsidR="005647F9" w:rsidRDefault="00401824">
      <w:pPr>
        <w:spacing w:line="240" w:lineRule="auto"/>
      </w:pPr>
      <w:r>
        <w:t>Personalised learning was profiled by the establishment of a think tank of staff members who investigated the experience and performance of students undertaking a tertiary package. This team focused on building student and family understanding of the nature of the pathway, as well as sharing teaching strategies with the</w:t>
      </w:r>
      <w:r w:rsidR="005647F9">
        <w:t xml:space="preserve"> wider teaching staff.  Changes were made to how and when ATAR estimate counselling sessions were conducted.  </w:t>
      </w:r>
    </w:p>
    <w:p w14:paraId="3FD2DD10" w14:textId="77777777" w:rsidR="005647F9" w:rsidRDefault="005647F9">
      <w:pPr>
        <w:spacing w:line="240" w:lineRule="auto"/>
      </w:pPr>
    </w:p>
    <w:p w14:paraId="6A4ECDEF" w14:textId="7D9B12A9" w:rsidR="00C8476A" w:rsidRDefault="005647F9">
      <w:pPr>
        <w:spacing w:line="240" w:lineRule="auto"/>
      </w:pPr>
      <w:r>
        <w:t xml:space="preserve">Planned work on a whole-of-school assessment review did not occur due to competing pressures at the faculty level, although all faculties reported a focus on formative assessment in teaching teams.  </w:t>
      </w:r>
      <w:r w:rsidR="00110CA5">
        <w:t xml:space="preserve">The planned focus on unit evaluations as a means of gaining student voice in their learning – and subsequently being a source of reflection for teachers – was only partially implemented in 2018. </w:t>
      </w:r>
      <w:r w:rsidR="00BD5F11">
        <w:t xml:space="preserve">Anecdotally and as per system surveys, students reported a decline in satisfaction levels in relation to the </w:t>
      </w:r>
      <w:r w:rsidR="00C31B96">
        <w:t>usefulness of feedback they receive on their learning</w:t>
      </w:r>
      <w:r>
        <w:t>.</w:t>
      </w:r>
      <w:r w:rsidR="00401824">
        <w:t xml:space="preserve"> </w:t>
      </w:r>
    </w:p>
    <w:p w14:paraId="5294C563" w14:textId="5380F733" w:rsidR="00C8476A" w:rsidRDefault="00305197" w:rsidP="00C8476A">
      <w:pPr>
        <w:pStyle w:val="Heading4"/>
      </w:pPr>
      <w:r>
        <w:rPr>
          <w:lang w:val="en-AU"/>
        </w:rPr>
        <w:t>Analysis</w:t>
      </w:r>
    </w:p>
    <w:p w14:paraId="54F1EDE5" w14:textId="761A31F4" w:rsidR="006D4174" w:rsidRDefault="00C8476A" w:rsidP="006D4174">
      <w:pPr>
        <w:spacing w:line="240" w:lineRule="auto"/>
      </w:pPr>
      <w:r>
        <w:t xml:space="preserve">The school improvement team notes </w:t>
      </w:r>
      <w:r w:rsidR="005647F9">
        <w:t xml:space="preserve">significant gaps in some of the targets set and those achieved in 2018.  </w:t>
      </w:r>
      <w:r w:rsidR="00CF4138">
        <w:t>The college continues to empower teachers with the mechanisms by which they can demonstrate their impact on the learning</w:t>
      </w:r>
      <w:r w:rsidR="006D4174">
        <w:t xml:space="preserve"> outcomes achieved</w:t>
      </w:r>
      <w:r w:rsidR="00CF4138">
        <w:t xml:space="preserve"> in their classrooms. </w:t>
      </w:r>
      <w:r w:rsidR="003659B3">
        <w:t xml:space="preserve"> </w:t>
      </w:r>
      <w:r w:rsidR="006D4174">
        <w:t>Whilst our target over the life of this plan is not yet met, the leadership group believe that with further work in evidence-based reflection, this target will be achievable.</w:t>
      </w:r>
    </w:p>
    <w:p w14:paraId="586BE511" w14:textId="3E3F95D1" w:rsidR="00110CA5" w:rsidRDefault="00110CA5" w:rsidP="006D4174">
      <w:pPr>
        <w:spacing w:line="240" w:lineRule="auto"/>
      </w:pPr>
    </w:p>
    <w:p w14:paraId="03D574C5" w14:textId="3BC01E11" w:rsidR="00110CA5" w:rsidRDefault="00110CA5" w:rsidP="00110CA5">
      <w:pPr>
        <w:spacing w:line="240" w:lineRule="auto"/>
      </w:pPr>
      <w:r>
        <w:t xml:space="preserve">For the second consecutive year, the action research approach had limited quantifiable impact on individual or team teacher practice.  It was evident that approximately 25 percent of staff fully engaged in the cycle of researching a problem of practice, instituting a changed practice and observing and recording student outcomes. The presentations by the active staff were of a high calibre and demonstrated a growing understanding of the value of data-informed practice.  </w:t>
      </w:r>
    </w:p>
    <w:p w14:paraId="2EED4B6F" w14:textId="77777777" w:rsidR="00110CA5" w:rsidRDefault="00110CA5" w:rsidP="00110CA5">
      <w:pPr>
        <w:spacing w:line="240" w:lineRule="auto"/>
      </w:pPr>
    </w:p>
    <w:p w14:paraId="6073BF0F" w14:textId="77777777" w:rsidR="00110CA5" w:rsidRDefault="00110CA5" w:rsidP="00110CA5">
      <w:pPr>
        <w:spacing w:line="240" w:lineRule="auto"/>
      </w:pPr>
      <w:r>
        <w:t>The annual survey of staff in relation to the action research model of professional learning identified three strong recommendations for 2019:  reduce the number and range of ‘topics’ or problems of practice being explored; unify efforts so that colleagues can go on the journey together; and find ways of increasing individual accountability to participate.  A fourth strategy was identified:  to continue building the capacity of our leadership group as instructional leaders. This has been written into strategies for 2019.</w:t>
      </w:r>
    </w:p>
    <w:p w14:paraId="1BB2A1C3" w14:textId="77777777" w:rsidR="006D4174" w:rsidRDefault="006D4174">
      <w:pPr>
        <w:spacing w:line="240" w:lineRule="auto"/>
      </w:pPr>
    </w:p>
    <w:p w14:paraId="56484654" w14:textId="6A034DD7" w:rsidR="002979B7" w:rsidRDefault="006D4174">
      <w:pPr>
        <w:spacing w:line="240" w:lineRule="auto"/>
      </w:pPr>
      <w:r>
        <w:t>In 2018, the college paid attention to how school leaders were presenting learner data to their teaching teams</w:t>
      </w:r>
      <w:r w:rsidR="007F5D4D">
        <w:t xml:space="preserve"> and how this was being unpacked</w:t>
      </w:r>
      <w:r>
        <w:t>.  Historically, th</w:t>
      </w:r>
      <w:r w:rsidR="007F5D4D">
        <w:t>e data tended</w:t>
      </w:r>
      <w:r>
        <w:t xml:space="preserve"> to be quantitative and summative in nature; but </w:t>
      </w:r>
      <w:r w:rsidR="002979B7">
        <w:t xml:space="preserve">as a result of the system-wide focus on multiple sources of data, and our local work with wellbeing data, we were able to take a broader look at what constitutes meaningful data on our learners.  </w:t>
      </w:r>
      <w:r w:rsidR="007F5D4D">
        <w:t xml:space="preserve">This journey </w:t>
      </w:r>
      <w:r w:rsidR="0027615F">
        <w:t>is only just beginning, but the consensus appears to be that with more student-centred discussions teachers will become more confident in being able to describe their impact.</w:t>
      </w:r>
    </w:p>
    <w:p w14:paraId="4C8F002D" w14:textId="77777777" w:rsidR="0027615F" w:rsidRDefault="0027615F">
      <w:pPr>
        <w:spacing w:line="240" w:lineRule="auto"/>
      </w:pPr>
    </w:p>
    <w:p w14:paraId="0D6B0AF5" w14:textId="08938787" w:rsidR="003659B3" w:rsidRDefault="0027615F">
      <w:pPr>
        <w:spacing w:line="240" w:lineRule="auto"/>
      </w:pPr>
      <w:r>
        <w:t>Feedback from teachers suggests that the analysis of learner data is far from the greatest hurdle:  there is overwhelming support for a concerted look at teaching strategies</w:t>
      </w:r>
      <w:r w:rsidR="0077097B">
        <w:t xml:space="preserve"> to better meet individual learner need</w:t>
      </w:r>
      <w:r w:rsidR="006D4174">
        <w:t>.</w:t>
      </w:r>
      <w:r w:rsidR="003659B3">
        <w:t xml:space="preserve"> </w:t>
      </w:r>
      <w:r w:rsidR="0077097B">
        <w:t xml:space="preserve"> This was intended to be an initiative led by the SLC Academic Wellbeing, but that position was not able to be filled in 2018.  The leadership group </w:t>
      </w:r>
      <w:r w:rsidR="00B9538F">
        <w:t xml:space="preserve">subsequently took the </w:t>
      </w:r>
      <w:r w:rsidR="0077097B">
        <w:t xml:space="preserve">position that this </w:t>
      </w:r>
      <w:r w:rsidR="00B9538F">
        <w:t>was</w:t>
      </w:r>
      <w:r w:rsidR="0077097B">
        <w:t xml:space="preserve"> better delivered via SLCs in our learning areas.</w:t>
      </w:r>
      <w:r w:rsidR="00B9538F">
        <w:t xml:space="preserve"> </w:t>
      </w:r>
      <w:r w:rsidR="00FF0D8B">
        <w:t>The mechanisms by which this approach can be fully implemented and monitored are being built into the 2019 Action Plan.</w:t>
      </w:r>
    </w:p>
    <w:p w14:paraId="691C0C1C" w14:textId="77777777" w:rsidR="00C8476A" w:rsidRDefault="00C8476A">
      <w:pPr>
        <w:spacing w:line="240" w:lineRule="auto"/>
      </w:pPr>
    </w:p>
    <w:p w14:paraId="0929B899" w14:textId="50C0156F" w:rsidR="005647F9" w:rsidRDefault="005647F9" w:rsidP="005647F9">
      <w:pPr>
        <w:spacing w:line="240" w:lineRule="auto"/>
      </w:pPr>
      <w:r w:rsidRPr="006924E9">
        <w:t>Student performance data – as described</w:t>
      </w:r>
      <w:r>
        <w:t xml:space="preserve"> in the allocation and distribution of A – E grades – </w:t>
      </w:r>
      <w:r w:rsidR="00EE7F54">
        <w:t xml:space="preserve">remained roughly equivalent to that of 2017 and are significantly short of the long-term targets set. It is acknowledged that grades for tertiary course tend to follow a distribution range; however, the results for accredited courses continues to pose a question of our assessment strategies. </w:t>
      </w:r>
    </w:p>
    <w:p w14:paraId="209B8C18" w14:textId="77777777" w:rsidR="005647F9" w:rsidRDefault="005647F9" w:rsidP="005647F9">
      <w:pPr>
        <w:spacing w:line="240" w:lineRule="auto"/>
      </w:pPr>
    </w:p>
    <w:p w14:paraId="144CA592" w14:textId="46F12480" w:rsidR="00831819" w:rsidRDefault="00EE7F54" w:rsidP="005647F9">
      <w:pPr>
        <w:spacing w:line="240" w:lineRule="auto"/>
      </w:pPr>
      <w:r>
        <w:t xml:space="preserve">The rates of </w:t>
      </w:r>
      <w:r w:rsidR="005647F9">
        <w:t>V-grad</w:t>
      </w:r>
      <w:r>
        <w:t>ing</w:t>
      </w:r>
      <w:r w:rsidR="005647F9">
        <w:t xml:space="preserve"> </w:t>
      </w:r>
      <w:r>
        <w:t xml:space="preserve">increased in accredited course areas </w:t>
      </w:r>
      <w:r w:rsidR="00831819">
        <w:t>in 2018 and are currently at an all-time high of 17.3 percent of all grades allocated.  Despite a focus on how we design and assess the accredited courses, as well as providing students with clear information about the triggers for voiding units, we are not yet seeing a</w:t>
      </w:r>
      <w:r w:rsidR="00C1592B">
        <w:t xml:space="preserve"> positive shift.</w:t>
      </w:r>
      <w:r w:rsidR="00831819">
        <w:t xml:space="preserve"> The evidence from within learning areas and in College Life suggests that the greatest contributing factor is non-attendance, leading to non-submission of assessable items. Students tell the story of </w:t>
      </w:r>
      <w:r w:rsidR="00C1592B">
        <w:t>choosing</w:t>
      </w:r>
      <w:r w:rsidR="00831819">
        <w:t xml:space="preserve"> not </w:t>
      </w:r>
      <w:r w:rsidR="00827259">
        <w:t xml:space="preserve">to </w:t>
      </w:r>
      <w:r w:rsidR="00831819">
        <w:t>con</w:t>
      </w:r>
      <w:r w:rsidR="00C1592B">
        <w:t xml:space="preserve">tinue with certain classes in their package, but not formally withdrawing; likewise, many v-grades reflect students making better course choices once the year begins. [V-grade rates are higher in semester one than semester two.]  It is also clear that many of our students have elevated anxiety in relation to assessment.  </w:t>
      </w:r>
      <w:r w:rsidR="00831819">
        <w:t>The story in tertiary courses is somewhat more positive and shows a target that has been met.</w:t>
      </w:r>
    </w:p>
    <w:p w14:paraId="3A7BA10E" w14:textId="77777777" w:rsidR="00831819" w:rsidRDefault="00831819" w:rsidP="005647F9">
      <w:pPr>
        <w:spacing w:line="240" w:lineRule="auto"/>
      </w:pPr>
    </w:p>
    <w:p w14:paraId="102EF2BF" w14:textId="4D602C94" w:rsidR="00C1592B" w:rsidRDefault="00C1592B" w:rsidP="005647F9">
      <w:pPr>
        <w:spacing w:line="240" w:lineRule="auto"/>
      </w:pPr>
      <w:r>
        <w:t xml:space="preserve">There are </w:t>
      </w:r>
      <w:r w:rsidR="00C44B9F">
        <w:t xml:space="preserve">strong signals in this data suggestive of a concerted piece of work around how </w:t>
      </w:r>
      <w:r w:rsidR="00827259">
        <w:t>w</w:t>
      </w:r>
      <w:r w:rsidR="00C44B9F">
        <w:t xml:space="preserve">e prepare students for college (‘college readiness’) and how we strengthen the engagement levels of our students in our classrooms.  </w:t>
      </w:r>
    </w:p>
    <w:p w14:paraId="19022FB4" w14:textId="03ECCA83" w:rsidR="00C44B9F" w:rsidRDefault="00C44B9F" w:rsidP="005647F9">
      <w:pPr>
        <w:spacing w:line="240" w:lineRule="auto"/>
      </w:pPr>
    </w:p>
    <w:p w14:paraId="2E21A6F5" w14:textId="49AE364C" w:rsidR="00C44B9F" w:rsidRDefault="00C44B9F" w:rsidP="005647F9">
      <w:pPr>
        <w:spacing w:line="240" w:lineRule="auto"/>
      </w:pPr>
      <w:r>
        <w:t xml:space="preserve">The significant work being undertaken on the part of teachers and College Life staff is being reflected in sound retention rates:  in 2018, </w:t>
      </w:r>
      <w:r w:rsidR="002E4595">
        <w:t>7.6</w:t>
      </w:r>
      <w:r>
        <w:t>% of our students did not go on to receive their senior secondary certificate.  Of that proportion, there are pleasing stories of either employment or further and different training</w:t>
      </w:r>
      <w:r w:rsidR="007474CE">
        <w:t xml:space="preserve"> being taken up by our students.  </w:t>
      </w:r>
      <w:r w:rsidR="00D65638">
        <w:t>The college remains committed to the identification of suitable pathways for all students.</w:t>
      </w:r>
    </w:p>
    <w:p w14:paraId="67385649" w14:textId="77777777" w:rsidR="00C44B9F" w:rsidRDefault="00C44B9F" w:rsidP="005647F9">
      <w:pPr>
        <w:spacing w:line="240" w:lineRule="auto"/>
      </w:pPr>
    </w:p>
    <w:p w14:paraId="20F8F707" w14:textId="7F3AB317" w:rsidR="004F397F" w:rsidRDefault="004F397F">
      <w:pPr>
        <w:spacing w:line="240" w:lineRule="auto"/>
        <w:rPr>
          <w:rFonts w:asciiTheme="minorHAnsi" w:eastAsia="Times New Roman" w:hAnsiTheme="minorHAnsi"/>
        </w:rPr>
      </w:pPr>
      <w:r>
        <w:br w:type="page"/>
      </w:r>
    </w:p>
    <w:p w14:paraId="0A297853" w14:textId="77777777" w:rsidR="004F397F" w:rsidRPr="00E14542" w:rsidRDefault="004F397F" w:rsidP="004F397F">
      <w:pPr>
        <w:pStyle w:val="Heading2"/>
      </w:pPr>
      <w:r w:rsidRPr="00E14542">
        <w:lastRenderedPageBreak/>
        <w:t>Priority</w:t>
      </w:r>
    </w:p>
    <w:p w14:paraId="73F9C524" w14:textId="77777777" w:rsidR="004F397F" w:rsidRDefault="004F397F" w:rsidP="004F397F">
      <w:pPr>
        <w:framePr w:hSpace="180" w:wrap="around" w:vAnchor="text" w:hAnchor="margin" w:xAlign="center" w:y="1"/>
      </w:pPr>
      <w:r>
        <w:t>THRIVE:  Strengthen college culture of student connectedness.</w:t>
      </w:r>
    </w:p>
    <w:p w14:paraId="500CF0BC" w14:textId="77777777" w:rsidR="004F397F" w:rsidRDefault="004F397F" w:rsidP="004F397F">
      <w:pPr>
        <w:framePr w:hSpace="180" w:wrap="around" w:vAnchor="text" w:hAnchor="margin" w:xAlign="center" w:y="1"/>
      </w:pPr>
    </w:p>
    <w:p w14:paraId="1B7C437A" w14:textId="77777777" w:rsidR="004F397F" w:rsidRPr="004F397F" w:rsidRDefault="004F397F" w:rsidP="004F397F">
      <w:pPr>
        <w:pStyle w:val="Heading3"/>
        <w:rPr>
          <w:lang w:val="en-AU"/>
        </w:rPr>
      </w:pPr>
      <w:r w:rsidRPr="00E14542">
        <w:t>Target</w:t>
      </w:r>
      <w:r>
        <w:t>s</w:t>
      </w:r>
    </w:p>
    <w:p w14:paraId="0935575F" w14:textId="77777777" w:rsidR="004F397F" w:rsidRDefault="004F397F" w:rsidP="004F397F">
      <w:pPr>
        <w:framePr w:hSpace="180" w:wrap="around" w:vAnchor="text" w:hAnchor="margin" w:xAlign="center" w:y="1"/>
      </w:pPr>
      <w:r>
        <w:t>By the end of 2020 the college will achieve:</w:t>
      </w:r>
    </w:p>
    <w:p w14:paraId="5E6585E4" w14:textId="3E67288E" w:rsidR="004F397F" w:rsidRDefault="004F397F" w:rsidP="004F397F">
      <w:pPr>
        <w:pStyle w:val="ListParagraph"/>
        <w:framePr w:hSpace="180" w:wrap="around" w:vAnchor="text" w:hAnchor="margin" w:xAlign="center" w:y="1"/>
        <w:widowControl/>
        <w:numPr>
          <w:ilvl w:val="0"/>
          <w:numId w:val="15"/>
        </w:numPr>
        <w:spacing w:after="200" w:line="276" w:lineRule="auto"/>
        <w:contextualSpacing/>
        <w:rPr>
          <w:rFonts w:cs="Calibri"/>
          <w:b/>
          <w:bCs/>
        </w:rPr>
      </w:pPr>
      <w:r>
        <w:rPr>
          <w:rFonts w:cs="Calibri"/>
        </w:rPr>
        <w:t>The proportion of students expressing high levels of satisfaction represent</w:t>
      </w:r>
      <w:r w:rsidR="00D278EE">
        <w:rPr>
          <w:rFonts w:cs="Calibri"/>
        </w:rPr>
        <w:t>s</w:t>
      </w:r>
      <w:r>
        <w:rPr>
          <w:rFonts w:cs="Calibri"/>
        </w:rPr>
        <w:t xml:space="preserve"> an increase of 10% on 2015 levels </w:t>
      </w:r>
    </w:p>
    <w:p w14:paraId="77CE6660" w14:textId="77777777" w:rsidR="004F397F" w:rsidRDefault="004F397F" w:rsidP="004F397F">
      <w:pPr>
        <w:pStyle w:val="ListParagraph"/>
        <w:framePr w:hSpace="180" w:wrap="around" w:vAnchor="text" w:hAnchor="margin" w:xAlign="center" w:y="1"/>
        <w:widowControl/>
        <w:numPr>
          <w:ilvl w:val="0"/>
          <w:numId w:val="15"/>
        </w:numPr>
        <w:spacing w:after="200" w:line="276" w:lineRule="auto"/>
        <w:contextualSpacing/>
        <w:rPr>
          <w:rFonts w:cs="Calibri"/>
          <w:b/>
          <w:bCs/>
        </w:rPr>
      </w:pPr>
      <w:r>
        <w:rPr>
          <w:rFonts w:cs="Calibri"/>
        </w:rPr>
        <w:t>The proportion of students expressing individual goal attainment increases by 15% on 2015 levels</w:t>
      </w:r>
    </w:p>
    <w:p w14:paraId="443A55F4" w14:textId="77777777" w:rsidR="004F397F" w:rsidRDefault="004F397F" w:rsidP="004F397F">
      <w:pPr>
        <w:pStyle w:val="ListParagraph"/>
        <w:framePr w:hSpace="180" w:wrap="around" w:vAnchor="text" w:hAnchor="margin" w:xAlign="center" w:y="1"/>
        <w:widowControl/>
        <w:numPr>
          <w:ilvl w:val="0"/>
          <w:numId w:val="15"/>
        </w:numPr>
        <w:spacing w:after="200" w:line="276" w:lineRule="auto"/>
        <w:contextualSpacing/>
        <w:rPr>
          <w:rFonts w:cs="Calibri"/>
          <w:b/>
          <w:bCs/>
        </w:rPr>
      </w:pPr>
      <w:r>
        <w:rPr>
          <w:rFonts w:cs="Calibri"/>
        </w:rPr>
        <w:t>Student attendance rates match or exceed the ACT college average, representing a 15% increase on 2015 rates</w:t>
      </w:r>
    </w:p>
    <w:p w14:paraId="0D004CD5" w14:textId="77777777" w:rsidR="004F397F" w:rsidRDefault="004F397F" w:rsidP="004F397F">
      <w:pPr>
        <w:pStyle w:val="ListParagraph"/>
        <w:framePr w:hSpace="180" w:wrap="around" w:vAnchor="text" w:hAnchor="margin" w:xAlign="center" w:y="1"/>
        <w:widowControl/>
        <w:numPr>
          <w:ilvl w:val="0"/>
          <w:numId w:val="15"/>
        </w:numPr>
        <w:spacing w:after="200" w:line="276" w:lineRule="auto"/>
        <w:contextualSpacing/>
        <w:rPr>
          <w:rFonts w:cs="Calibri"/>
          <w:b/>
          <w:bCs/>
        </w:rPr>
      </w:pPr>
      <w:r>
        <w:rPr>
          <w:rFonts w:cs="Calibri"/>
        </w:rPr>
        <w:t>Student apparent retention and completion rates match or exceed the ACT college averages, representing a 10% increase on 2015 rates</w:t>
      </w:r>
    </w:p>
    <w:p w14:paraId="5F903D07" w14:textId="77777777" w:rsidR="004F397F" w:rsidRDefault="004F397F" w:rsidP="004F397F">
      <w:pPr>
        <w:pStyle w:val="ListParagraph"/>
        <w:framePr w:hSpace="180" w:wrap="around" w:vAnchor="text" w:hAnchor="margin" w:xAlign="center" w:y="1"/>
        <w:widowControl/>
        <w:numPr>
          <w:ilvl w:val="0"/>
          <w:numId w:val="15"/>
        </w:numPr>
        <w:spacing w:after="200" w:line="276" w:lineRule="auto"/>
        <w:contextualSpacing/>
        <w:rPr>
          <w:rFonts w:cs="Calibri"/>
          <w:b/>
          <w:bCs/>
        </w:rPr>
      </w:pPr>
      <w:r>
        <w:rPr>
          <w:rFonts w:cs="Calibri"/>
        </w:rPr>
        <w:t>Student reportage of wellbeing increases by 30% on levels reported in 2015</w:t>
      </w:r>
    </w:p>
    <w:p w14:paraId="3B82117B" w14:textId="77777777" w:rsidR="004F397F" w:rsidRPr="004F397F" w:rsidRDefault="004F397F" w:rsidP="004F397F">
      <w:pPr>
        <w:pStyle w:val="ListParagraph"/>
        <w:framePr w:hSpace="180" w:wrap="around" w:vAnchor="text" w:hAnchor="margin" w:xAlign="center" w:y="1"/>
        <w:widowControl/>
        <w:numPr>
          <w:ilvl w:val="0"/>
          <w:numId w:val="15"/>
        </w:numPr>
        <w:spacing w:after="200" w:line="276" w:lineRule="auto"/>
        <w:contextualSpacing/>
        <w:rPr>
          <w:rFonts w:cs="Calibri"/>
          <w:b/>
          <w:bCs/>
        </w:rPr>
      </w:pPr>
      <w:r>
        <w:rPr>
          <w:rFonts w:cs="Calibri"/>
        </w:rPr>
        <w:t>The proportion of students undertaking college community service/leadership experiences increases by 25% on the levels in 2015</w:t>
      </w:r>
    </w:p>
    <w:p w14:paraId="081F8FC3" w14:textId="026AC2B7" w:rsidR="004F397F" w:rsidRPr="00DF5239" w:rsidRDefault="004F397F" w:rsidP="00DF5239">
      <w:pPr>
        <w:pStyle w:val="Heading4"/>
        <w:rPr>
          <w:lang w:val="en-AU"/>
        </w:rPr>
      </w:pPr>
      <w:r>
        <w:t>Progress</w:t>
      </w:r>
    </w:p>
    <w:tbl>
      <w:tblPr>
        <w:tblW w:w="96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017064" w14:paraId="4F938D99" w14:textId="77777777" w:rsidTr="0092648D">
        <w:trPr>
          <w:trHeight w:val="3402"/>
        </w:trPr>
        <w:tc>
          <w:tcPr>
            <w:tcW w:w="9620" w:type="dxa"/>
            <w:tcBorders>
              <w:top w:val="nil"/>
              <w:left w:val="nil"/>
              <w:bottom w:val="single" w:sz="4" w:space="0" w:color="auto"/>
              <w:right w:val="nil"/>
            </w:tcBorders>
            <w:hideMark/>
          </w:tcPr>
          <w:p w14:paraId="2C158916" w14:textId="0EA7754F" w:rsidR="00017064" w:rsidRDefault="00A21DD5" w:rsidP="007474CE">
            <w:pPr>
              <w:spacing w:line="240" w:lineRule="auto"/>
              <w:rPr>
                <w:rFonts w:eastAsia="Times New Roman"/>
                <w:b/>
                <w:bCs/>
                <w:color w:val="000000"/>
                <w:sz w:val="20"/>
                <w:szCs w:val="20"/>
                <w:lang w:eastAsia="en-AU"/>
              </w:rPr>
            </w:pPr>
            <w:r>
              <w:rPr>
                <w:rFonts w:eastAsia="Times New Roman"/>
                <w:b/>
                <w:bCs/>
                <w:color w:val="000000"/>
                <w:sz w:val="20"/>
                <w:szCs w:val="20"/>
                <w:lang w:eastAsia="en-AU"/>
              </w:rPr>
              <w:t xml:space="preserve">Table:  </w:t>
            </w:r>
            <w:r w:rsidR="00017064">
              <w:rPr>
                <w:rFonts w:eastAsia="Times New Roman"/>
                <w:b/>
                <w:bCs/>
                <w:color w:val="000000"/>
                <w:sz w:val="20"/>
                <w:szCs w:val="20"/>
                <w:lang w:eastAsia="en-AU"/>
              </w:rPr>
              <w:t>The proportion of students expressing high levels of satisfaction represent</w:t>
            </w:r>
            <w:r w:rsidR="00C9468A">
              <w:rPr>
                <w:rFonts w:eastAsia="Times New Roman"/>
                <w:b/>
                <w:bCs/>
                <w:color w:val="000000"/>
                <w:sz w:val="20"/>
                <w:szCs w:val="20"/>
                <w:lang w:eastAsia="en-AU"/>
              </w:rPr>
              <w:t>s</w:t>
            </w:r>
            <w:r w:rsidR="00017064">
              <w:rPr>
                <w:rFonts w:eastAsia="Times New Roman"/>
                <w:b/>
                <w:bCs/>
                <w:color w:val="000000"/>
                <w:sz w:val="20"/>
                <w:szCs w:val="20"/>
                <w:lang w:eastAsia="en-AU"/>
              </w:rPr>
              <w:t xml:space="preserve"> an increase of 10% on 2015 levels </w:t>
            </w:r>
          </w:p>
          <w:p w14:paraId="0C0F27AA" w14:textId="77777777" w:rsidR="00A21DD5" w:rsidRDefault="00A21DD5" w:rsidP="007474CE">
            <w:pPr>
              <w:spacing w:line="240" w:lineRule="auto"/>
              <w:rPr>
                <w:rFonts w:eastAsia="Times New Roman"/>
                <w:b/>
                <w:bCs/>
                <w:color w:val="000000"/>
                <w:sz w:val="20"/>
                <w:szCs w:val="20"/>
                <w:lang w:eastAsia="en-AU"/>
              </w:rPr>
            </w:pPr>
          </w:p>
          <w:tbl>
            <w:tblPr>
              <w:tblStyle w:val="TableGrid"/>
              <w:tblW w:w="0" w:type="auto"/>
              <w:tblLook w:val="04A0" w:firstRow="1" w:lastRow="0" w:firstColumn="1" w:lastColumn="0" w:noHBand="0" w:noVBand="1"/>
            </w:tblPr>
            <w:tblGrid>
              <w:gridCol w:w="1877"/>
              <w:gridCol w:w="1877"/>
              <w:gridCol w:w="1878"/>
              <w:gridCol w:w="1878"/>
            </w:tblGrid>
            <w:tr w:rsidR="00D278EE" w14:paraId="67308937" w14:textId="77777777" w:rsidTr="00AE3FD8">
              <w:tc>
                <w:tcPr>
                  <w:tcW w:w="1877" w:type="dxa"/>
                </w:tcPr>
                <w:p w14:paraId="00E60B16" w14:textId="07B88801" w:rsidR="00D278EE" w:rsidRDefault="00D278EE" w:rsidP="007474CE">
                  <w:pPr>
                    <w:spacing w:line="240" w:lineRule="auto"/>
                    <w:rPr>
                      <w:rFonts w:eastAsia="Times New Roman"/>
                      <w:b/>
                      <w:bCs/>
                      <w:color w:val="000000"/>
                      <w:sz w:val="20"/>
                      <w:szCs w:val="20"/>
                      <w:lang w:eastAsia="en-AU"/>
                    </w:rPr>
                  </w:pPr>
                  <w:r>
                    <w:rPr>
                      <w:rFonts w:eastAsia="Times New Roman"/>
                      <w:b/>
                      <w:bCs/>
                      <w:color w:val="000000"/>
                      <w:sz w:val="20"/>
                      <w:szCs w:val="20"/>
                      <w:lang w:eastAsia="en-AU"/>
                    </w:rPr>
                    <w:t>2015</w:t>
                  </w:r>
                </w:p>
              </w:tc>
              <w:tc>
                <w:tcPr>
                  <w:tcW w:w="1877" w:type="dxa"/>
                </w:tcPr>
                <w:p w14:paraId="639A2065" w14:textId="1342B352" w:rsidR="00D278EE" w:rsidRDefault="00D278EE" w:rsidP="007474CE">
                  <w:pPr>
                    <w:spacing w:line="240" w:lineRule="auto"/>
                    <w:rPr>
                      <w:rFonts w:eastAsia="Times New Roman"/>
                      <w:b/>
                      <w:bCs/>
                      <w:color w:val="000000"/>
                      <w:sz w:val="20"/>
                      <w:szCs w:val="20"/>
                      <w:lang w:eastAsia="en-AU"/>
                    </w:rPr>
                  </w:pPr>
                  <w:r>
                    <w:rPr>
                      <w:rFonts w:eastAsia="Times New Roman"/>
                      <w:b/>
                      <w:bCs/>
                      <w:color w:val="000000"/>
                      <w:sz w:val="20"/>
                      <w:szCs w:val="20"/>
                      <w:lang w:eastAsia="en-AU"/>
                    </w:rPr>
                    <w:t>2016</w:t>
                  </w:r>
                </w:p>
              </w:tc>
              <w:tc>
                <w:tcPr>
                  <w:tcW w:w="1878" w:type="dxa"/>
                </w:tcPr>
                <w:p w14:paraId="2AD9A154" w14:textId="0F09227C" w:rsidR="00D278EE" w:rsidRDefault="00D278EE" w:rsidP="007474CE">
                  <w:pPr>
                    <w:spacing w:line="240" w:lineRule="auto"/>
                    <w:rPr>
                      <w:rFonts w:eastAsia="Times New Roman"/>
                      <w:b/>
                      <w:bCs/>
                      <w:color w:val="000000"/>
                      <w:sz w:val="20"/>
                      <w:szCs w:val="20"/>
                      <w:lang w:eastAsia="en-AU"/>
                    </w:rPr>
                  </w:pPr>
                  <w:r w:rsidRPr="00A4783B">
                    <w:rPr>
                      <w:rFonts w:eastAsia="Times New Roman"/>
                      <w:b/>
                      <w:bCs/>
                      <w:color w:val="000000"/>
                      <w:sz w:val="20"/>
                      <w:szCs w:val="20"/>
                      <w:lang w:eastAsia="en-AU"/>
                    </w:rPr>
                    <w:t>2017</w:t>
                  </w:r>
                </w:p>
              </w:tc>
              <w:tc>
                <w:tcPr>
                  <w:tcW w:w="1878" w:type="dxa"/>
                </w:tcPr>
                <w:p w14:paraId="7A0ED6CC" w14:textId="5F345CD3" w:rsidR="00D278EE" w:rsidRDefault="00D278EE" w:rsidP="007474CE">
                  <w:pPr>
                    <w:spacing w:line="240" w:lineRule="auto"/>
                    <w:rPr>
                      <w:rFonts w:eastAsia="Times New Roman"/>
                      <w:b/>
                      <w:bCs/>
                      <w:color w:val="000000"/>
                      <w:sz w:val="20"/>
                      <w:szCs w:val="20"/>
                      <w:lang w:eastAsia="en-AU"/>
                    </w:rPr>
                  </w:pPr>
                  <w:r>
                    <w:rPr>
                      <w:rFonts w:eastAsia="Times New Roman"/>
                      <w:b/>
                      <w:bCs/>
                      <w:color w:val="000000"/>
                      <w:sz w:val="20"/>
                      <w:szCs w:val="20"/>
                      <w:lang w:eastAsia="en-AU"/>
                    </w:rPr>
                    <w:t>2018</w:t>
                  </w:r>
                </w:p>
              </w:tc>
            </w:tr>
            <w:tr w:rsidR="00D278EE" w14:paraId="36518127" w14:textId="77777777" w:rsidTr="00AE3FD8">
              <w:tc>
                <w:tcPr>
                  <w:tcW w:w="1877" w:type="dxa"/>
                </w:tcPr>
                <w:p w14:paraId="1157BE52" w14:textId="0F2C4A75" w:rsidR="00D278EE" w:rsidRDefault="00D278EE" w:rsidP="00EA2918">
                  <w:pPr>
                    <w:spacing w:line="240" w:lineRule="auto"/>
                    <w:rPr>
                      <w:rFonts w:eastAsia="Times New Roman"/>
                      <w:color w:val="000000"/>
                      <w:lang w:eastAsia="en-AU"/>
                    </w:rPr>
                  </w:pPr>
                  <w:r>
                    <w:rPr>
                      <w:rFonts w:eastAsia="Times New Roman"/>
                      <w:color w:val="000000"/>
                      <w:lang w:eastAsia="en-AU"/>
                    </w:rPr>
                    <w:t>72</w:t>
                  </w:r>
                </w:p>
              </w:tc>
              <w:tc>
                <w:tcPr>
                  <w:tcW w:w="1877" w:type="dxa"/>
                </w:tcPr>
                <w:p w14:paraId="26547869" w14:textId="005D06B4" w:rsidR="00D278EE" w:rsidRDefault="00D278EE" w:rsidP="00EA2918">
                  <w:pPr>
                    <w:spacing w:line="240" w:lineRule="auto"/>
                    <w:rPr>
                      <w:rFonts w:eastAsia="Times New Roman"/>
                      <w:b/>
                      <w:bCs/>
                      <w:color w:val="000000"/>
                      <w:sz w:val="20"/>
                      <w:szCs w:val="20"/>
                      <w:lang w:eastAsia="en-AU"/>
                    </w:rPr>
                  </w:pPr>
                  <w:r>
                    <w:rPr>
                      <w:rFonts w:eastAsia="Times New Roman"/>
                      <w:color w:val="000000"/>
                      <w:lang w:eastAsia="en-AU"/>
                    </w:rPr>
                    <w:t>75.6</w:t>
                  </w:r>
                </w:p>
              </w:tc>
              <w:tc>
                <w:tcPr>
                  <w:tcW w:w="1878" w:type="dxa"/>
                </w:tcPr>
                <w:p w14:paraId="119C1110" w14:textId="350E0A61" w:rsidR="00D278EE" w:rsidRPr="00A4783B" w:rsidRDefault="00D278EE" w:rsidP="00EA2918">
                  <w:pPr>
                    <w:spacing w:line="240" w:lineRule="auto"/>
                    <w:rPr>
                      <w:rFonts w:eastAsia="Times New Roman"/>
                      <w:bCs/>
                      <w:color w:val="000000"/>
                      <w:sz w:val="20"/>
                      <w:szCs w:val="20"/>
                      <w:lang w:eastAsia="en-AU"/>
                    </w:rPr>
                  </w:pPr>
                  <w:r>
                    <w:rPr>
                      <w:rFonts w:eastAsia="Times New Roman"/>
                      <w:color w:val="000000"/>
                      <w:lang w:eastAsia="en-AU"/>
                    </w:rPr>
                    <w:t>78</w:t>
                  </w:r>
                </w:p>
              </w:tc>
              <w:tc>
                <w:tcPr>
                  <w:tcW w:w="1878" w:type="dxa"/>
                </w:tcPr>
                <w:p w14:paraId="2B476024" w14:textId="7BC433FC" w:rsidR="00D278EE" w:rsidRDefault="00D278EE" w:rsidP="00EA2918">
                  <w:pPr>
                    <w:spacing w:line="240" w:lineRule="auto"/>
                    <w:rPr>
                      <w:rFonts w:eastAsia="Times New Roman"/>
                      <w:b/>
                      <w:bCs/>
                      <w:color w:val="000000"/>
                      <w:sz w:val="20"/>
                      <w:szCs w:val="20"/>
                      <w:lang w:eastAsia="en-AU"/>
                    </w:rPr>
                  </w:pPr>
                  <w:r w:rsidRPr="00B73165">
                    <w:rPr>
                      <w:rFonts w:eastAsia="Times New Roman"/>
                      <w:color w:val="000000"/>
                      <w:lang w:eastAsia="en-AU"/>
                    </w:rPr>
                    <w:t>7</w:t>
                  </w:r>
                  <w:r>
                    <w:rPr>
                      <w:rFonts w:eastAsia="Times New Roman"/>
                      <w:color w:val="000000"/>
                      <w:lang w:eastAsia="en-AU"/>
                    </w:rPr>
                    <w:t>3</w:t>
                  </w:r>
                  <w:r w:rsidRPr="00B73165">
                    <w:rPr>
                      <w:rFonts w:eastAsia="Times New Roman"/>
                      <w:color w:val="000000"/>
                      <w:lang w:eastAsia="en-AU"/>
                    </w:rPr>
                    <w:t xml:space="preserve"> </w:t>
                  </w:r>
                </w:p>
              </w:tc>
            </w:tr>
          </w:tbl>
          <w:p w14:paraId="61B4DA17" w14:textId="30E9A433" w:rsidR="00A21DD5" w:rsidRPr="00396AFC" w:rsidRDefault="00A21DD5" w:rsidP="007474CE">
            <w:pPr>
              <w:spacing w:line="240" w:lineRule="auto"/>
              <w:rPr>
                <w:rFonts w:eastAsia="Times New Roman"/>
                <w:b/>
                <w:bCs/>
                <w:color w:val="000000"/>
                <w:sz w:val="20"/>
                <w:szCs w:val="20"/>
                <w:lang w:eastAsia="en-AU"/>
              </w:rPr>
            </w:pPr>
            <w:r w:rsidRPr="00396AFC">
              <w:rPr>
                <w:sz w:val="20"/>
                <w:szCs w:val="20"/>
              </w:rPr>
              <w:t>Source:  Student Satisfaction Survey</w:t>
            </w:r>
            <w:r w:rsidR="00A4783B" w:rsidRPr="00396AFC">
              <w:rPr>
                <w:sz w:val="20"/>
                <w:szCs w:val="20"/>
              </w:rPr>
              <w:t>s</w:t>
            </w:r>
            <w:r w:rsidR="002F689B">
              <w:rPr>
                <w:sz w:val="20"/>
                <w:szCs w:val="20"/>
              </w:rPr>
              <w:t xml:space="preserve"> (count = average across 12</w:t>
            </w:r>
            <w:r w:rsidR="00D278EE">
              <w:rPr>
                <w:sz w:val="20"/>
                <w:szCs w:val="20"/>
              </w:rPr>
              <w:t xml:space="preserve"> common</w:t>
            </w:r>
            <w:r w:rsidR="002F689B">
              <w:rPr>
                <w:sz w:val="20"/>
                <w:szCs w:val="20"/>
              </w:rPr>
              <w:t xml:space="preserve"> items)</w:t>
            </w:r>
          </w:p>
          <w:p w14:paraId="3FD9B793" w14:textId="77777777" w:rsidR="00A21DD5" w:rsidRDefault="00A21DD5" w:rsidP="007474CE">
            <w:pPr>
              <w:spacing w:line="240" w:lineRule="auto"/>
              <w:rPr>
                <w:rFonts w:eastAsia="Times New Roman"/>
                <w:b/>
                <w:bCs/>
                <w:color w:val="000000"/>
                <w:sz w:val="20"/>
                <w:szCs w:val="20"/>
                <w:lang w:eastAsia="en-AU"/>
              </w:rPr>
            </w:pPr>
          </w:p>
          <w:p w14:paraId="2254B6B6" w14:textId="77777777" w:rsidR="00A21DD5" w:rsidRDefault="00A21DD5" w:rsidP="007474CE">
            <w:pPr>
              <w:spacing w:line="240" w:lineRule="auto"/>
              <w:rPr>
                <w:rFonts w:eastAsia="Times New Roman"/>
                <w:b/>
                <w:bCs/>
                <w:color w:val="000000"/>
                <w:sz w:val="20"/>
                <w:szCs w:val="20"/>
                <w:lang w:eastAsia="en-AU"/>
              </w:rPr>
            </w:pPr>
          </w:p>
          <w:p w14:paraId="3276FD42" w14:textId="125D4826" w:rsidR="0061121A" w:rsidRDefault="0061121A" w:rsidP="007474CE">
            <w:pPr>
              <w:spacing w:line="240" w:lineRule="auto"/>
              <w:rPr>
                <w:rFonts w:eastAsia="Times New Roman"/>
                <w:b/>
                <w:bCs/>
                <w:color w:val="000000"/>
                <w:sz w:val="20"/>
                <w:szCs w:val="20"/>
                <w:lang w:eastAsia="en-AU"/>
              </w:rPr>
            </w:pPr>
            <w:r>
              <w:rPr>
                <w:rFonts w:eastAsia="Times New Roman"/>
                <w:b/>
                <w:bCs/>
                <w:color w:val="000000"/>
                <w:sz w:val="20"/>
                <w:szCs w:val="20"/>
                <w:lang w:eastAsia="en-AU"/>
              </w:rPr>
              <w:t>Table:  The proportion of students expressing individual goal attainment increases by 15% on 2015 levels (base rate = 72%) – i.e. the proportion will be 87%</w:t>
            </w:r>
          </w:p>
          <w:p w14:paraId="1FA59D9E" w14:textId="77777777" w:rsidR="0061121A" w:rsidRDefault="0061121A" w:rsidP="007474CE">
            <w:pPr>
              <w:spacing w:line="240" w:lineRule="auto"/>
              <w:rPr>
                <w:rFonts w:eastAsia="Times New Roman"/>
                <w:b/>
                <w:bCs/>
                <w:color w:val="000000"/>
                <w:sz w:val="20"/>
                <w:szCs w:val="20"/>
                <w:lang w:eastAsia="en-AU"/>
              </w:rPr>
            </w:pPr>
          </w:p>
          <w:tbl>
            <w:tblPr>
              <w:tblStyle w:val="TableGrid"/>
              <w:tblW w:w="0" w:type="auto"/>
              <w:tblLook w:val="04A0" w:firstRow="1" w:lastRow="0" w:firstColumn="1" w:lastColumn="0" w:noHBand="0" w:noVBand="1"/>
            </w:tblPr>
            <w:tblGrid>
              <w:gridCol w:w="1877"/>
              <w:gridCol w:w="1877"/>
              <w:gridCol w:w="1878"/>
              <w:gridCol w:w="1878"/>
            </w:tblGrid>
            <w:tr w:rsidR="00D278EE" w14:paraId="184D3FA8" w14:textId="77777777" w:rsidTr="00AE3FD8">
              <w:tc>
                <w:tcPr>
                  <w:tcW w:w="1877" w:type="dxa"/>
                </w:tcPr>
                <w:p w14:paraId="49C891EE" w14:textId="22B7107E" w:rsidR="00D278EE" w:rsidRPr="008D63C3" w:rsidRDefault="00D278EE" w:rsidP="0061121A">
                  <w:pPr>
                    <w:spacing w:line="240" w:lineRule="auto"/>
                    <w:rPr>
                      <w:rFonts w:eastAsia="Times New Roman"/>
                      <w:b/>
                      <w:bCs/>
                      <w:color w:val="000000"/>
                      <w:sz w:val="20"/>
                      <w:szCs w:val="20"/>
                      <w:lang w:eastAsia="en-AU"/>
                    </w:rPr>
                  </w:pPr>
                  <w:r>
                    <w:rPr>
                      <w:rFonts w:eastAsia="Times New Roman"/>
                      <w:b/>
                      <w:bCs/>
                      <w:color w:val="000000"/>
                      <w:sz w:val="20"/>
                      <w:szCs w:val="20"/>
                      <w:lang w:eastAsia="en-AU"/>
                    </w:rPr>
                    <w:t>2015</w:t>
                  </w:r>
                </w:p>
              </w:tc>
              <w:tc>
                <w:tcPr>
                  <w:tcW w:w="1877" w:type="dxa"/>
                  <w:shd w:val="clear" w:color="auto" w:fill="auto"/>
                </w:tcPr>
                <w:p w14:paraId="570D58CC" w14:textId="1ADDCB2F" w:rsidR="00D278EE" w:rsidRPr="008D63C3" w:rsidRDefault="00D278EE" w:rsidP="0061121A">
                  <w:pPr>
                    <w:spacing w:line="240" w:lineRule="auto"/>
                    <w:rPr>
                      <w:rFonts w:eastAsia="Times New Roman"/>
                      <w:b/>
                      <w:bCs/>
                      <w:color w:val="000000"/>
                      <w:sz w:val="20"/>
                      <w:szCs w:val="20"/>
                      <w:lang w:eastAsia="en-AU"/>
                    </w:rPr>
                  </w:pPr>
                  <w:r w:rsidRPr="008D63C3">
                    <w:rPr>
                      <w:rFonts w:eastAsia="Times New Roman"/>
                      <w:b/>
                      <w:bCs/>
                      <w:color w:val="000000"/>
                      <w:sz w:val="20"/>
                      <w:szCs w:val="20"/>
                      <w:lang w:eastAsia="en-AU"/>
                    </w:rPr>
                    <w:t>2016</w:t>
                  </w:r>
                </w:p>
              </w:tc>
              <w:tc>
                <w:tcPr>
                  <w:tcW w:w="1878" w:type="dxa"/>
                  <w:shd w:val="clear" w:color="auto" w:fill="auto"/>
                </w:tcPr>
                <w:p w14:paraId="36146958" w14:textId="77777777" w:rsidR="00D278EE" w:rsidRPr="008D63C3" w:rsidRDefault="00D278EE" w:rsidP="0061121A">
                  <w:pPr>
                    <w:spacing w:line="240" w:lineRule="auto"/>
                    <w:rPr>
                      <w:rFonts w:eastAsia="Times New Roman"/>
                      <w:b/>
                      <w:bCs/>
                      <w:color w:val="000000"/>
                      <w:sz w:val="20"/>
                      <w:szCs w:val="20"/>
                      <w:lang w:eastAsia="en-AU"/>
                    </w:rPr>
                  </w:pPr>
                  <w:r w:rsidRPr="008D63C3">
                    <w:rPr>
                      <w:rFonts w:eastAsia="Times New Roman"/>
                      <w:b/>
                      <w:bCs/>
                      <w:color w:val="000000"/>
                      <w:sz w:val="20"/>
                      <w:szCs w:val="20"/>
                      <w:lang w:eastAsia="en-AU"/>
                    </w:rPr>
                    <w:t>2017</w:t>
                  </w:r>
                </w:p>
              </w:tc>
              <w:tc>
                <w:tcPr>
                  <w:tcW w:w="1878" w:type="dxa"/>
                </w:tcPr>
                <w:p w14:paraId="481A29A3" w14:textId="77777777" w:rsidR="00D278EE" w:rsidRDefault="00D278EE" w:rsidP="0061121A">
                  <w:pPr>
                    <w:spacing w:line="240" w:lineRule="auto"/>
                    <w:rPr>
                      <w:rFonts w:eastAsia="Times New Roman"/>
                      <w:b/>
                      <w:bCs/>
                      <w:color w:val="000000"/>
                      <w:sz w:val="20"/>
                      <w:szCs w:val="20"/>
                      <w:lang w:eastAsia="en-AU"/>
                    </w:rPr>
                  </w:pPr>
                  <w:r>
                    <w:rPr>
                      <w:rFonts w:eastAsia="Times New Roman"/>
                      <w:b/>
                      <w:bCs/>
                      <w:color w:val="000000"/>
                      <w:sz w:val="20"/>
                      <w:szCs w:val="20"/>
                      <w:lang w:eastAsia="en-AU"/>
                    </w:rPr>
                    <w:t>2018</w:t>
                  </w:r>
                </w:p>
              </w:tc>
            </w:tr>
            <w:tr w:rsidR="00D278EE" w14:paraId="7998FAF2" w14:textId="77777777" w:rsidTr="00AE3FD8">
              <w:tc>
                <w:tcPr>
                  <w:tcW w:w="1877" w:type="dxa"/>
                </w:tcPr>
                <w:p w14:paraId="60F3BBD7" w14:textId="49E5DAEE" w:rsidR="00D278EE" w:rsidRPr="005843F2" w:rsidRDefault="00D278EE" w:rsidP="0061121A">
                  <w:pPr>
                    <w:spacing w:line="240" w:lineRule="auto"/>
                    <w:rPr>
                      <w:rFonts w:eastAsia="Times New Roman"/>
                      <w:bCs/>
                      <w:color w:val="000000"/>
                      <w:sz w:val="20"/>
                      <w:szCs w:val="20"/>
                      <w:lang w:eastAsia="en-AU"/>
                    </w:rPr>
                  </w:pPr>
                  <w:r>
                    <w:rPr>
                      <w:rFonts w:eastAsia="Times New Roman"/>
                      <w:bCs/>
                      <w:color w:val="000000"/>
                      <w:sz w:val="20"/>
                      <w:szCs w:val="20"/>
                      <w:lang w:eastAsia="en-AU"/>
                    </w:rPr>
                    <w:t>72</w:t>
                  </w:r>
                </w:p>
              </w:tc>
              <w:tc>
                <w:tcPr>
                  <w:tcW w:w="1877" w:type="dxa"/>
                </w:tcPr>
                <w:p w14:paraId="668FC23B" w14:textId="2E9338B8" w:rsidR="00D278EE" w:rsidRPr="005843F2" w:rsidRDefault="00D278EE" w:rsidP="0061121A">
                  <w:pPr>
                    <w:spacing w:line="240" w:lineRule="auto"/>
                    <w:rPr>
                      <w:rFonts w:eastAsia="Times New Roman"/>
                      <w:bCs/>
                      <w:color w:val="000000"/>
                      <w:sz w:val="20"/>
                      <w:szCs w:val="20"/>
                      <w:lang w:eastAsia="en-AU"/>
                    </w:rPr>
                  </w:pPr>
                  <w:r w:rsidRPr="005843F2">
                    <w:rPr>
                      <w:rFonts w:eastAsia="Times New Roman"/>
                      <w:bCs/>
                      <w:color w:val="000000"/>
                      <w:sz w:val="20"/>
                      <w:szCs w:val="20"/>
                      <w:lang w:eastAsia="en-AU"/>
                    </w:rPr>
                    <w:t>70</w:t>
                  </w:r>
                </w:p>
              </w:tc>
              <w:tc>
                <w:tcPr>
                  <w:tcW w:w="1878" w:type="dxa"/>
                </w:tcPr>
                <w:p w14:paraId="341B4619" w14:textId="13330021" w:rsidR="00D278EE" w:rsidRPr="005843F2" w:rsidRDefault="00D278EE" w:rsidP="0061121A">
                  <w:pPr>
                    <w:spacing w:line="240" w:lineRule="auto"/>
                    <w:rPr>
                      <w:rFonts w:eastAsia="Times New Roman"/>
                      <w:bCs/>
                      <w:color w:val="000000"/>
                      <w:sz w:val="20"/>
                      <w:szCs w:val="20"/>
                      <w:lang w:eastAsia="en-AU"/>
                    </w:rPr>
                  </w:pPr>
                  <w:r w:rsidRPr="005843F2">
                    <w:rPr>
                      <w:rFonts w:eastAsia="Times New Roman"/>
                      <w:bCs/>
                      <w:color w:val="000000"/>
                      <w:sz w:val="20"/>
                      <w:szCs w:val="20"/>
                      <w:lang w:eastAsia="en-AU"/>
                    </w:rPr>
                    <w:t>75</w:t>
                  </w:r>
                </w:p>
              </w:tc>
              <w:tc>
                <w:tcPr>
                  <w:tcW w:w="1878" w:type="dxa"/>
                </w:tcPr>
                <w:p w14:paraId="155CFFCE" w14:textId="3D731592" w:rsidR="00D278EE" w:rsidRPr="00D278EE" w:rsidRDefault="00D278EE" w:rsidP="0061121A">
                  <w:pPr>
                    <w:spacing w:line="240" w:lineRule="auto"/>
                    <w:rPr>
                      <w:rFonts w:eastAsia="Times New Roman"/>
                      <w:color w:val="000000"/>
                      <w:sz w:val="20"/>
                      <w:szCs w:val="20"/>
                      <w:lang w:eastAsia="en-AU"/>
                    </w:rPr>
                  </w:pPr>
                  <w:r w:rsidRPr="00D278EE">
                    <w:rPr>
                      <w:rFonts w:eastAsia="Times New Roman"/>
                      <w:color w:val="000000"/>
                      <w:sz w:val="20"/>
                      <w:szCs w:val="20"/>
                      <w:lang w:eastAsia="en-AU"/>
                    </w:rPr>
                    <w:t>70</w:t>
                  </w:r>
                </w:p>
              </w:tc>
            </w:tr>
          </w:tbl>
          <w:p w14:paraId="74BB7891" w14:textId="0F4DDE6A" w:rsidR="0061121A" w:rsidRPr="00396AFC" w:rsidRDefault="0061121A" w:rsidP="007474CE">
            <w:pPr>
              <w:spacing w:line="240" w:lineRule="auto"/>
              <w:rPr>
                <w:sz w:val="20"/>
                <w:szCs w:val="20"/>
              </w:rPr>
            </w:pPr>
            <w:r w:rsidRPr="00396AFC">
              <w:rPr>
                <w:sz w:val="20"/>
                <w:szCs w:val="20"/>
              </w:rPr>
              <w:t xml:space="preserve">Source: Lake Tuggeranong College Careers &amp; Transitions data set; Student Pathways notes </w:t>
            </w:r>
          </w:p>
          <w:p w14:paraId="1CCD5ED6" w14:textId="77777777" w:rsidR="0061121A" w:rsidRDefault="0061121A" w:rsidP="007474CE">
            <w:pPr>
              <w:spacing w:line="240" w:lineRule="auto"/>
              <w:rPr>
                <w:rFonts w:eastAsia="Times New Roman"/>
                <w:b/>
                <w:bCs/>
                <w:color w:val="000000"/>
                <w:sz w:val="20"/>
                <w:szCs w:val="20"/>
                <w:lang w:eastAsia="en-AU"/>
              </w:rPr>
            </w:pPr>
          </w:p>
          <w:p w14:paraId="0185A39E" w14:textId="195754F1" w:rsidR="0061121A" w:rsidRDefault="0061121A" w:rsidP="007474CE">
            <w:pPr>
              <w:spacing w:line="240" w:lineRule="auto"/>
              <w:rPr>
                <w:rFonts w:eastAsia="Times New Roman"/>
                <w:b/>
                <w:bCs/>
                <w:color w:val="000000"/>
                <w:sz w:val="20"/>
                <w:szCs w:val="20"/>
                <w:lang w:eastAsia="en-AU"/>
              </w:rPr>
            </w:pPr>
            <w:r>
              <w:rPr>
                <w:rFonts w:eastAsia="Times New Roman"/>
                <w:b/>
                <w:bCs/>
                <w:color w:val="000000"/>
                <w:sz w:val="20"/>
                <w:szCs w:val="20"/>
                <w:lang w:eastAsia="en-AU"/>
              </w:rPr>
              <w:t>Table:  Student attendance rates match or exceed the ACT college average, representing a 15% increase on 2015 rates</w:t>
            </w:r>
          </w:p>
          <w:tbl>
            <w:tblPr>
              <w:tblStyle w:val="TableGrid"/>
              <w:tblW w:w="0" w:type="auto"/>
              <w:tblLook w:val="04A0" w:firstRow="1" w:lastRow="0" w:firstColumn="1" w:lastColumn="0" w:noHBand="0" w:noVBand="1"/>
            </w:tblPr>
            <w:tblGrid>
              <w:gridCol w:w="1877"/>
              <w:gridCol w:w="1877"/>
              <w:gridCol w:w="1878"/>
              <w:gridCol w:w="1878"/>
            </w:tblGrid>
            <w:tr w:rsidR="00D278EE" w14:paraId="79A451C0" w14:textId="77777777" w:rsidTr="00AE3FD8">
              <w:tc>
                <w:tcPr>
                  <w:tcW w:w="1877" w:type="dxa"/>
                </w:tcPr>
                <w:p w14:paraId="5F45F4FB" w14:textId="01BF82E9" w:rsidR="00D278EE" w:rsidRDefault="00D278EE" w:rsidP="0061121A">
                  <w:pPr>
                    <w:spacing w:line="240" w:lineRule="auto"/>
                    <w:rPr>
                      <w:rFonts w:eastAsia="Times New Roman"/>
                      <w:b/>
                      <w:bCs/>
                      <w:color w:val="000000"/>
                      <w:sz w:val="20"/>
                      <w:szCs w:val="20"/>
                      <w:lang w:eastAsia="en-AU"/>
                    </w:rPr>
                  </w:pPr>
                  <w:r>
                    <w:rPr>
                      <w:rFonts w:eastAsia="Times New Roman"/>
                      <w:b/>
                      <w:bCs/>
                      <w:color w:val="000000"/>
                      <w:sz w:val="20"/>
                      <w:szCs w:val="20"/>
                      <w:lang w:eastAsia="en-AU"/>
                    </w:rPr>
                    <w:t>2015</w:t>
                  </w:r>
                </w:p>
              </w:tc>
              <w:tc>
                <w:tcPr>
                  <w:tcW w:w="1877" w:type="dxa"/>
                </w:tcPr>
                <w:p w14:paraId="3E06FEB9" w14:textId="02C8753A" w:rsidR="00D278EE" w:rsidRDefault="00D278EE" w:rsidP="0061121A">
                  <w:pPr>
                    <w:spacing w:line="240" w:lineRule="auto"/>
                    <w:rPr>
                      <w:rFonts w:eastAsia="Times New Roman"/>
                      <w:b/>
                      <w:bCs/>
                      <w:color w:val="000000"/>
                      <w:sz w:val="20"/>
                      <w:szCs w:val="20"/>
                      <w:lang w:eastAsia="en-AU"/>
                    </w:rPr>
                  </w:pPr>
                  <w:r>
                    <w:rPr>
                      <w:rFonts w:eastAsia="Times New Roman"/>
                      <w:b/>
                      <w:bCs/>
                      <w:color w:val="000000"/>
                      <w:sz w:val="20"/>
                      <w:szCs w:val="20"/>
                      <w:lang w:eastAsia="en-AU"/>
                    </w:rPr>
                    <w:t>2016</w:t>
                  </w:r>
                </w:p>
              </w:tc>
              <w:tc>
                <w:tcPr>
                  <w:tcW w:w="1878" w:type="dxa"/>
                </w:tcPr>
                <w:p w14:paraId="2D66DF31" w14:textId="77777777" w:rsidR="00D278EE" w:rsidRDefault="00D278EE" w:rsidP="0061121A">
                  <w:pPr>
                    <w:spacing w:line="240" w:lineRule="auto"/>
                    <w:rPr>
                      <w:rFonts w:eastAsia="Times New Roman"/>
                      <w:b/>
                      <w:bCs/>
                      <w:color w:val="000000"/>
                      <w:sz w:val="20"/>
                      <w:szCs w:val="20"/>
                      <w:lang w:eastAsia="en-AU"/>
                    </w:rPr>
                  </w:pPr>
                  <w:r>
                    <w:rPr>
                      <w:rFonts w:eastAsia="Times New Roman"/>
                      <w:b/>
                      <w:bCs/>
                      <w:color w:val="000000"/>
                      <w:sz w:val="20"/>
                      <w:szCs w:val="20"/>
                      <w:lang w:eastAsia="en-AU"/>
                    </w:rPr>
                    <w:t>2017</w:t>
                  </w:r>
                </w:p>
              </w:tc>
              <w:tc>
                <w:tcPr>
                  <w:tcW w:w="1878" w:type="dxa"/>
                </w:tcPr>
                <w:p w14:paraId="5E8D286D" w14:textId="77777777" w:rsidR="00D278EE" w:rsidRDefault="00D278EE" w:rsidP="0061121A">
                  <w:pPr>
                    <w:spacing w:line="240" w:lineRule="auto"/>
                    <w:rPr>
                      <w:rFonts w:eastAsia="Times New Roman"/>
                      <w:b/>
                      <w:bCs/>
                      <w:color w:val="000000"/>
                      <w:sz w:val="20"/>
                      <w:szCs w:val="20"/>
                      <w:lang w:eastAsia="en-AU"/>
                    </w:rPr>
                  </w:pPr>
                  <w:r>
                    <w:rPr>
                      <w:rFonts w:eastAsia="Times New Roman"/>
                      <w:b/>
                      <w:bCs/>
                      <w:color w:val="000000"/>
                      <w:sz w:val="20"/>
                      <w:szCs w:val="20"/>
                      <w:lang w:eastAsia="en-AU"/>
                    </w:rPr>
                    <w:t>2018</w:t>
                  </w:r>
                </w:p>
              </w:tc>
            </w:tr>
            <w:tr w:rsidR="00D278EE" w14:paraId="79F80B31" w14:textId="77777777" w:rsidTr="00AE3FD8">
              <w:tc>
                <w:tcPr>
                  <w:tcW w:w="1877" w:type="dxa"/>
                </w:tcPr>
                <w:p w14:paraId="7A4B7046" w14:textId="75AB2EDA" w:rsidR="00D278EE" w:rsidRPr="00D535E5" w:rsidRDefault="00D278EE" w:rsidP="0061121A">
                  <w:pPr>
                    <w:spacing w:line="240" w:lineRule="auto"/>
                    <w:rPr>
                      <w:rFonts w:eastAsia="Times New Roman"/>
                      <w:bCs/>
                      <w:color w:val="000000"/>
                      <w:sz w:val="20"/>
                      <w:szCs w:val="20"/>
                      <w:lang w:eastAsia="en-AU"/>
                    </w:rPr>
                  </w:pPr>
                  <w:r>
                    <w:rPr>
                      <w:rFonts w:eastAsia="Times New Roman"/>
                      <w:bCs/>
                      <w:color w:val="000000"/>
                      <w:sz w:val="20"/>
                      <w:szCs w:val="20"/>
                      <w:lang w:eastAsia="en-AU"/>
                    </w:rPr>
                    <w:t>86</w:t>
                  </w:r>
                </w:p>
              </w:tc>
              <w:tc>
                <w:tcPr>
                  <w:tcW w:w="1877" w:type="dxa"/>
                </w:tcPr>
                <w:p w14:paraId="2FE12372" w14:textId="19D422E5" w:rsidR="00D278EE" w:rsidRPr="00D535E5" w:rsidRDefault="00D278EE" w:rsidP="0061121A">
                  <w:pPr>
                    <w:spacing w:line="240" w:lineRule="auto"/>
                    <w:rPr>
                      <w:rFonts w:eastAsia="Times New Roman"/>
                      <w:bCs/>
                      <w:color w:val="000000"/>
                      <w:sz w:val="20"/>
                      <w:szCs w:val="20"/>
                      <w:lang w:eastAsia="en-AU"/>
                    </w:rPr>
                  </w:pPr>
                  <w:r w:rsidRPr="00D535E5">
                    <w:rPr>
                      <w:rFonts w:eastAsia="Times New Roman"/>
                      <w:bCs/>
                      <w:color w:val="000000"/>
                      <w:sz w:val="20"/>
                      <w:szCs w:val="20"/>
                      <w:lang w:eastAsia="en-AU"/>
                    </w:rPr>
                    <w:t>84</w:t>
                  </w:r>
                </w:p>
              </w:tc>
              <w:tc>
                <w:tcPr>
                  <w:tcW w:w="1878" w:type="dxa"/>
                </w:tcPr>
                <w:p w14:paraId="6B198715" w14:textId="3F106201" w:rsidR="00D278EE" w:rsidRPr="00D535E5" w:rsidRDefault="00D278EE" w:rsidP="0061121A">
                  <w:pPr>
                    <w:spacing w:line="240" w:lineRule="auto"/>
                    <w:rPr>
                      <w:rFonts w:eastAsia="Times New Roman"/>
                      <w:bCs/>
                      <w:color w:val="000000"/>
                      <w:sz w:val="20"/>
                      <w:szCs w:val="20"/>
                      <w:lang w:eastAsia="en-AU"/>
                    </w:rPr>
                  </w:pPr>
                  <w:r w:rsidRPr="00D535E5">
                    <w:rPr>
                      <w:rFonts w:eastAsia="Times New Roman"/>
                      <w:bCs/>
                      <w:color w:val="000000"/>
                      <w:sz w:val="20"/>
                      <w:szCs w:val="20"/>
                      <w:lang w:eastAsia="en-AU"/>
                    </w:rPr>
                    <w:t>84</w:t>
                  </w:r>
                </w:p>
              </w:tc>
              <w:tc>
                <w:tcPr>
                  <w:tcW w:w="1878" w:type="dxa"/>
                </w:tcPr>
                <w:p w14:paraId="4D601316" w14:textId="1A45C2F7" w:rsidR="00D278EE" w:rsidRPr="00D02B80" w:rsidRDefault="00D278EE" w:rsidP="0061121A">
                  <w:pPr>
                    <w:spacing w:line="240" w:lineRule="auto"/>
                    <w:rPr>
                      <w:rFonts w:eastAsia="Times New Roman"/>
                      <w:color w:val="000000"/>
                      <w:sz w:val="20"/>
                      <w:szCs w:val="20"/>
                      <w:lang w:eastAsia="en-AU"/>
                    </w:rPr>
                  </w:pPr>
                  <w:r w:rsidRPr="00D02B80">
                    <w:rPr>
                      <w:rFonts w:eastAsia="Times New Roman"/>
                      <w:color w:val="000000"/>
                      <w:sz w:val="20"/>
                      <w:szCs w:val="20"/>
                      <w:lang w:eastAsia="en-AU"/>
                    </w:rPr>
                    <w:t>Not available</w:t>
                  </w:r>
                </w:p>
              </w:tc>
            </w:tr>
          </w:tbl>
          <w:p w14:paraId="5C19C398" w14:textId="3F04BF5D" w:rsidR="0061121A" w:rsidRPr="00396AFC" w:rsidRDefault="0061121A" w:rsidP="007474CE">
            <w:pPr>
              <w:spacing w:line="240" w:lineRule="auto"/>
              <w:rPr>
                <w:sz w:val="20"/>
                <w:szCs w:val="20"/>
              </w:rPr>
            </w:pPr>
            <w:r w:rsidRPr="00396AFC">
              <w:rPr>
                <w:sz w:val="20"/>
                <w:szCs w:val="20"/>
              </w:rPr>
              <w:t xml:space="preserve">Source: MAZE data </w:t>
            </w:r>
          </w:p>
          <w:p w14:paraId="143FBBCE" w14:textId="77777777" w:rsidR="0061121A" w:rsidRDefault="0061121A" w:rsidP="007474CE">
            <w:pPr>
              <w:spacing w:line="240" w:lineRule="auto"/>
              <w:rPr>
                <w:rFonts w:eastAsia="Times New Roman"/>
                <w:b/>
                <w:bCs/>
                <w:color w:val="000000"/>
                <w:sz w:val="20"/>
                <w:szCs w:val="20"/>
                <w:lang w:eastAsia="en-AU"/>
              </w:rPr>
            </w:pPr>
          </w:p>
          <w:p w14:paraId="6C639FCA" w14:textId="3172C7B2" w:rsidR="0061121A" w:rsidRDefault="0061121A" w:rsidP="007474CE">
            <w:pPr>
              <w:spacing w:line="240" w:lineRule="auto"/>
              <w:rPr>
                <w:rFonts w:eastAsia="Times New Roman"/>
                <w:b/>
                <w:bCs/>
                <w:color w:val="000000"/>
                <w:sz w:val="20"/>
                <w:szCs w:val="20"/>
                <w:lang w:eastAsia="en-AU"/>
              </w:rPr>
            </w:pPr>
            <w:r w:rsidRPr="00BD1070">
              <w:rPr>
                <w:rFonts w:eastAsia="Times New Roman"/>
                <w:b/>
                <w:bCs/>
                <w:color w:val="000000"/>
                <w:sz w:val="20"/>
                <w:szCs w:val="20"/>
                <w:lang w:eastAsia="en-AU"/>
              </w:rPr>
              <w:t>Table: Student apparent retention rates match or exceed the ACT college averages, representing a 10% increase on 2015 rates</w:t>
            </w:r>
            <w:r w:rsidR="003B03BE">
              <w:rPr>
                <w:rFonts w:eastAsia="Times New Roman"/>
                <w:b/>
                <w:bCs/>
                <w:color w:val="000000"/>
                <w:sz w:val="20"/>
                <w:szCs w:val="20"/>
                <w:lang w:eastAsia="en-AU"/>
              </w:rPr>
              <w:t xml:space="preserve">  </w:t>
            </w:r>
          </w:p>
          <w:p w14:paraId="2DDC726E" w14:textId="77777777" w:rsidR="0061121A" w:rsidRDefault="0061121A" w:rsidP="007474CE">
            <w:pPr>
              <w:spacing w:line="240" w:lineRule="auto"/>
              <w:rPr>
                <w:rFonts w:eastAsia="Times New Roman"/>
                <w:b/>
                <w:bCs/>
                <w:color w:val="000000"/>
                <w:sz w:val="20"/>
                <w:szCs w:val="20"/>
                <w:lang w:eastAsia="en-AU"/>
              </w:rPr>
            </w:pPr>
          </w:p>
          <w:tbl>
            <w:tblPr>
              <w:tblStyle w:val="TableGrid"/>
              <w:tblW w:w="0" w:type="auto"/>
              <w:tblLook w:val="04A0" w:firstRow="1" w:lastRow="0" w:firstColumn="1" w:lastColumn="0" w:noHBand="0" w:noVBand="1"/>
            </w:tblPr>
            <w:tblGrid>
              <w:gridCol w:w="1877"/>
              <w:gridCol w:w="1877"/>
              <w:gridCol w:w="1878"/>
              <w:gridCol w:w="1878"/>
            </w:tblGrid>
            <w:tr w:rsidR="00D278EE" w14:paraId="5901B0FD" w14:textId="77777777" w:rsidTr="00AE3FD8">
              <w:tc>
                <w:tcPr>
                  <w:tcW w:w="1877" w:type="dxa"/>
                </w:tcPr>
                <w:p w14:paraId="0BF53878" w14:textId="73B2F343" w:rsidR="00D278EE" w:rsidRDefault="00D278EE" w:rsidP="0061121A">
                  <w:pPr>
                    <w:spacing w:line="240" w:lineRule="auto"/>
                    <w:rPr>
                      <w:rFonts w:eastAsia="Times New Roman"/>
                      <w:b/>
                      <w:bCs/>
                      <w:color w:val="000000"/>
                      <w:sz w:val="20"/>
                      <w:szCs w:val="20"/>
                      <w:lang w:eastAsia="en-AU"/>
                    </w:rPr>
                  </w:pPr>
                  <w:r>
                    <w:rPr>
                      <w:rFonts w:eastAsia="Times New Roman"/>
                      <w:b/>
                      <w:bCs/>
                      <w:color w:val="000000"/>
                      <w:sz w:val="20"/>
                      <w:szCs w:val="20"/>
                      <w:lang w:eastAsia="en-AU"/>
                    </w:rPr>
                    <w:t>2015</w:t>
                  </w:r>
                </w:p>
              </w:tc>
              <w:tc>
                <w:tcPr>
                  <w:tcW w:w="1877" w:type="dxa"/>
                </w:tcPr>
                <w:p w14:paraId="7D1EB2FC" w14:textId="3DFF7340" w:rsidR="00D278EE" w:rsidRDefault="00D278EE" w:rsidP="0061121A">
                  <w:pPr>
                    <w:spacing w:line="240" w:lineRule="auto"/>
                    <w:rPr>
                      <w:rFonts w:eastAsia="Times New Roman"/>
                      <w:b/>
                      <w:bCs/>
                      <w:color w:val="000000"/>
                      <w:sz w:val="20"/>
                      <w:szCs w:val="20"/>
                      <w:lang w:eastAsia="en-AU"/>
                    </w:rPr>
                  </w:pPr>
                  <w:r>
                    <w:rPr>
                      <w:rFonts w:eastAsia="Times New Roman"/>
                      <w:b/>
                      <w:bCs/>
                      <w:color w:val="000000"/>
                      <w:sz w:val="20"/>
                      <w:szCs w:val="20"/>
                      <w:lang w:eastAsia="en-AU"/>
                    </w:rPr>
                    <w:t>2016</w:t>
                  </w:r>
                </w:p>
              </w:tc>
              <w:tc>
                <w:tcPr>
                  <w:tcW w:w="1878" w:type="dxa"/>
                </w:tcPr>
                <w:p w14:paraId="1DC56343" w14:textId="77777777" w:rsidR="00D278EE" w:rsidRDefault="00D278EE" w:rsidP="0061121A">
                  <w:pPr>
                    <w:spacing w:line="240" w:lineRule="auto"/>
                    <w:rPr>
                      <w:rFonts w:eastAsia="Times New Roman"/>
                      <w:b/>
                      <w:bCs/>
                      <w:color w:val="000000"/>
                      <w:sz w:val="20"/>
                      <w:szCs w:val="20"/>
                      <w:lang w:eastAsia="en-AU"/>
                    </w:rPr>
                  </w:pPr>
                  <w:r w:rsidRPr="008D63C3">
                    <w:rPr>
                      <w:rFonts w:eastAsia="Times New Roman"/>
                      <w:b/>
                      <w:bCs/>
                      <w:color w:val="000000"/>
                      <w:sz w:val="20"/>
                      <w:szCs w:val="20"/>
                      <w:lang w:eastAsia="en-AU"/>
                    </w:rPr>
                    <w:t>2017</w:t>
                  </w:r>
                </w:p>
              </w:tc>
              <w:tc>
                <w:tcPr>
                  <w:tcW w:w="1878" w:type="dxa"/>
                </w:tcPr>
                <w:p w14:paraId="387DC29A" w14:textId="77777777" w:rsidR="00D278EE" w:rsidRDefault="00D278EE" w:rsidP="0061121A">
                  <w:pPr>
                    <w:spacing w:line="240" w:lineRule="auto"/>
                    <w:rPr>
                      <w:rFonts w:eastAsia="Times New Roman"/>
                      <w:b/>
                      <w:bCs/>
                      <w:color w:val="000000"/>
                      <w:sz w:val="20"/>
                      <w:szCs w:val="20"/>
                      <w:lang w:eastAsia="en-AU"/>
                    </w:rPr>
                  </w:pPr>
                  <w:r>
                    <w:rPr>
                      <w:rFonts w:eastAsia="Times New Roman"/>
                      <w:b/>
                      <w:bCs/>
                      <w:color w:val="000000"/>
                      <w:sz w:val="20"/>
                      <w:szCs w:val="20"/>
                      <w:lang w:eastAsia="en-AU"/>
                    </w:rPr>
                    <w:t>2018</w:t>
                  </w:r>
                </w:p>
              </w:tc>
            </w:tr>
            <w:tr w:rsidR="00D278EE" w14:paraId="05D81819" w14:textId="77777777" w:rsidTr="00AE3FD8">
              <w:tc>
                <w:tcPr>
                  <w:tcW w:w="1877" w:type="dxa"/>
                </w:tcPr>
                <w:p w14:paraId="374FA363" w14:textId="7BC7CAA2" w:rsidR="00D278EE" w:rsidRPr="00D535E5" w:rsidRDefault="00F00CEF" w:rsidP="0061121A">
                  <w:pPr>
                    <w:spacing w:line="240" w:lineRule="auto"/>
                    <w:rPr>
                      <w:rFonts w:eastAsia="Times New Roman"/>
                      <w:bCs/>
                      <w:color w:val="000000"/>
                      <w:sz w:val="20"/>
                      <w:szCs w:val="20"/>
                      <w:lang w:eastAsia="en-AU"/>
                    </w:rPr>
                  </w:pPr>
                  <w:r>
                    <w:rPr>
                      <w:rFonts w:eastAsia="Times New Roman"/>
                      <w:bCs/>
                      <w:color w:val="000000"/>
                      <w:sz w:val="20"/>
                      <w:szCs w:val="20"/>
                      <w:lang w:eastAsia="en-AU"/>
                    </w:rPr>
                    <w:t>93</w:t>
                  </w:r>
                </w:p>
              </w:tc>
              <w:tc>
                <w:tcPr>
                  <w:tcW w:w="1877" w:type="dxa"/>
                </w:tcPr>
                <w:p w14:paraId="30EFD039" w14:textId="5983FB61" w:rsidR="00D278EE" w:rsidRPr="00D535E5" w:rsidRDefault="00D278EE" w:rsidP="0061121A">
                  <w:pPr>
                    <w:spacing w:line="240" w:lineRule="auto"/>
                    <w:rPr>
                      <w:rFonts w:eastAsia="Times New Roman"/>
                      <w:bCs/>
                      <w:color w:val="000000"/>
                      <w:sz w:val="20"/>
                      <w:szCs w:val="20"/>
                      <w:lang w:eastAsia="en-AU"/>
                    </w:rPr>
                  </w:pPr>
                  <w:r w:rsidRPr="00D535E5">
                    <w:rPr>
                      <w:rFonts w:eastAsia="Times New Roman"/>
                      <w:bCs/>
                      <w:color w:val="000000"/>
                      <w:sz w:val="20"/>
                      <w:szCs w:val="20"/>
                      <w:lang w:eastAsia="en-AU"/>
                    </w:rPr>
                    <w:t>92</w:t>
                  </w:r>
                </w:p>
              </w:tc>
              <w:tc>
                <w:tcPr>
                  <w:tcW w:w="1878" w:type="dxa"/>
                </w:tcPr>
                <w:p w14:paraId="7B13ED46" w14:textId="108D2A52" w:rsidR="00D278EE" w:rsidRPr="006126C2" w:rsidRDefault="00D278EE" w:rsidP="0061121A">
                  <w:pPr>
                    <w:spacing w:line="240" w:lineRule="auto"/>
                    <w:rPr>
                      <w:rFonts w:eastAsia="Times New Roman"/>
                      <w:bCs/>
                      <w:color w:val="000000"/>
                      <w:sz w:val="20"/>
                      <w:szCs w:val="20"/>
                      <w:lang w:eastAsia="en-AU"/>
                    </w:rPr>
                  </w:pPr>
                  <w:r w:rsidRPr="006126C2">
                    <w:rPr>
                      <w:rFonts w:eastAsia="Times New Roman"/>
                      <w:bCs/>
                      <w:color w:val="000000"/>
                      <w:sz w:val="20"/>
                      <w:szCs w:val="20"/>
                      <w:lang w:eastAsia="en-AU"/>
                    </w:rPr>
                    <w:t>92</w:t>
                  </w:r>
                </w:p>
              </w:tc>
              <w:tc>
                <w:tcPr>
                  <w:tcW w:w="1878" w:type="dxa"/>
                </w:tcPr>
                <w:p w14:paraId="46829D13" w14:textId="563EBC32" w:rsidR="00D278EE" w:rsidRPr="00F00CEF" w:rsidRDefault="00BD1070" w:rsidP="0061121A">
                  <w:pPr>
                    <w:spacing w:line="240" w:lineRule="auto"/>
                    <w:rPr>
                      <w:rFonts w:eastAsia="Times New Roman"/>
                      <w:color w:val="000000"/>
                      <w:sz w:val="20"/>
                      <w:szCs w:val="20"/>
                      <w:lang w:eastAsia="en-AU"/>
                    </w:rPr>
                  </w:pPr>
                  <w:r>
                    <w:rPr>
                      <w:rFonts w:eastAsia="Times New Roman"/>
                      <w:color w:val="000000"/>
                      <w:sz w:val="20"/>
                      <w:szCs w:val="20"/>
                      <w:lang w:eastAsia="en-AU"/>
                    </w:rPr>
                    <w:t>90</w:t>
                  </w:r>
                  <w:bookmarkStart w:id="0" w:name="_GoBack"/>
                  <w:bookmarkEnd w:id="0"/>
                </w:p>
              </w:tc>
            </w:tr>
          </w:tbl>
          <w:p w14:paraId="647B5E3C" w14:textId="6F3A3481" w:rsidR="0061121A" w:rsidRPr="00396AFC" w:rsidRDefault="0061121A" w:rsidP="007474CE">
            <w:pPr>
              <w:spacing w:line="240" w:lineRule="auto"/>
              <w:rPr>
                <w:sz w:val="20"/>
                <w:szCs w:val="20"/>
              </w:rPr>
            </w:pPr>
            <w:r w:rsidRPr="00396AFC">
              <w:rPr>
                <w:sz w:val="20"/>
                <w:szCs w:val="20"/>
              </w:rPr>
              <w:t>Source: MAZE data</w:t>
            </w:r>
          </w:p>
          <w:p w14:paraId="4DFBA876" w14:textId="77777777" w:rsidR="0061121A" w:rsidRDefault="0061121A" w:rsidP="007474CE">
            <w:pPr>
              <w:spacing w:line="240" w:lineRule="auto"/>
              <w:rPr>
                <w:rFonts w:eastAsia="Times New Roman"/>
                <w:b/>
                <w:bCs/>
                <w:color w:val="000000"/>
                <w:sz w:val="20"/>
                <w:szCs w:val="20"/>
                <w:lang w:eastAsia="en-AU"/>
              </w:rPr>
            </w:pPr>
          </w:p>
          <w:p w14:paraId="776D8F6B" w14:textId="77777777" w:rsidR="0061121A" w:rsidRDefault="0061121A" w:rsidP="007474CE">
            <w:pPr>
              <w:spacing w:line="240" w:lineRule="auto"/>
              <w:rPr>
                <w:rFonts w:eastAsia="Times New Roman"/>
                <w:b/>
                <w:bCs/>
                <w:color w:val="000000"/>
                <w:sz w:val="20"/>
                <w:szCs w:val="20"/>
                <w:lang w:eastAsia="en-AU"/>
              </w:rPr>
            </w:pPr>
          </w:p>
          <w:p w14:paraId="250CC4A4" w14:textId="737F585B" w:rsidR="0061121A" w:rsidRDefault="0061121A" w:rsidP="007474CE">
            <w:pPr>
              <w:spacing w:line="240" w:lineRule="auto"/>
              <w:rPr>
                <w:rFonts w:eastAsia="Times New Roman"/>
                <w:b/>
                <w:bCs/>
                <w:color w:val="000000"/>
                <w:sz w:val="20"/>
                <w:szCs w:val="20"/>
                <w:lang w:eastAsia="en-AU"/>
              </w:rPr>
            </w:pPr>
            <w:r>
              <w:rPr>
                <w:rFonts w:eastAsia="Times New Roman"/>
                <w:b/>
                <w:bCs/>
                <w:color w:val="000000"/>
                <w:sz w:val="20"/>
                <w:szCs w:val="20"/>
                <w:lang w:eastAsia="en-AU"/>
              </w:rPr>
              <w:lastRenderedPageBreak/>
              <w:t>Table:  Student reportage of wellbeing increases by 30% on levels reported in 2015 (base rate = 55%) – i.e. the rate will be 85%</w:t>
            </w:r>
          </w:p>
          <w:p w14:paraId="27FE6678" w14:textId="77777777" w:rsidR="0061121A" w:rsidRDefault="0061121A" w:rsidP="007474CE">
            <w:pPr>
              <w:spacing w:line="240" w:lineRule="auto"/>
              <w:rPr>
                <w:rFonts w:eastAsia="Times New Roman"/>
                <w:b/>
                <w:bCs/>
                <w:color w:val="000000"/>
                <w:sz w:val="20"/>
                <w:szCs w:val="20"/>
                <w:lang w:eastAsia="en-AU"/>
              </w:rPr>
            </w:pPr>
          </w:p>
          <w:tbl>
            <w:tblPr>
              <w:tblStyle w:val="TableGrid"/>
              <w:tblW w:w="0" w:type="auto"/>
              <w:tblLook w:val="04A0" w:firstRow="1" w:lastRow="0" w:firstColumn="1" w:lastColumn="0" w:noHBand="0" w:noVBand="1"/>
            </w:tblPr>
            <w:tblGrid>
              <w:gridCol w:w="1877"/>
              <w:gridCol w:w="1877"/>
              <w:gridCol w:w="1878"/>
              <w:gridCol w:w="1878"/>
            </w:tblGrid>
            <w:tr w:rsidR="00D278EE" w14:paraId="060C003D" w14:textId="77777777" w:rsidTr="00AE3FD8">
              <w:tc>
                <w:tcPr>
                  <w:tcW w:w="1877" w:type="dxa"/>
                </w:tcPr>
                <w:p w14:paraId="3EDA2644" w14:textId="403CCFFD" w:rsidR="00D278EE" w:rsidRPr="008D63C3" w:rsidRDefault="00D278EE" w:rsidP="0061121A">
                  <w:pPr>
                    <w:spacing w:line="240" w:lineRule="auto"/>
                    <w:rPr>
                      <w:rFonts w:eastAsia="Times New Roman"/>
                      <w:b/>
                      <w:bCs/>
                      <w:color w:val="000000"/>
                      <w:sz w:val="20"/>
                      <w:szCs w:val="20"/>
                      <w:lang w:eastAsia="en-AU"/>
                    </w:rPr>
                  </w:pPr>
                  <w:r>
                    <w:rPr>
                      <w:rFonts w:eastAsia="Times New Roman"/>
                      <w:b/>
                      <w:bCs/>
                      <w:color w:val="000000"/>
                      <w:sz w:val="20"/>
                      <w:szCs w:val="20"/>
                      <w:lang w:eastAsia="en-AU"/>
                    </w:rPr>
                    <w:t>2015</w:t>
                  </w:r>
                </w:p>
              </w:tc>
              <w:tc>
                <w:tcPr>
                  <w:tcW w:w="1877" w:type="dxa"/>
                </w:tcPr>
                <w:p w14:paraId="75E07D4C" w14:textId="405959E3" w:rsidR="00D278EE" w:rsidRPr="00D535E5" w:rsidRDefault="00D278EE" w:rsidP="0061121A">
                  <w:pPr>
                    <w:spacing w:line="240" w:lineRule="auto"/>
                    <w:rPr>
                      <w:rFonts w:eastAsia="Times New Roman"/>
                      <w:b/>
                      <w:bCs/>
                      <w:color w:val="000000"/>
                      <w:sz w:val="20"/>
                      <w:szCs w:val="20"/>
                      <w:highlight w:val="yellow"/>
                      <w:lang w:eastAsia="en-AU"/>
                    </w:rPr>
                  </w:pPr>
                  <w:r w:rsidRPr="008D63C3">
                    <w:rPr>
                      <w:rFonts w:eastAsia="Times New Roman"/>
                      <w:b/>
                      <w:bCs/>
                      <w:color w:val="000000"/>
                      <w:sz w:val="20"/>
                      <w:szCs w:val="20"/>
                      <w:lang w:eastAsia="en-AU"/>
                    </w:rPr>
                    <w:t>2016</w:t>
                  </w:r>
                </w:p>
              </w:tc>
              <w:tc>
                <w:tcPr>
                  <w:tcW w:w="1878" w:type="dxa"/>
                </w:tcPr>
                <w:p w14:paraId="4033D5E1" w14:textId="77777777" w:rsidR="00D278EE" w:rsidRPr="00D535E5" w:rsidRDefault="00D278EE" w:rsidP="0061121A">
                  <w:pPr>
                    <w:spacing w:line="240" w:lineRule="auto"/>
                    <w:rPr>
                      <w:rFonts w:eastAsia="Times New Roman"/>
                      <w:b/>
                      <w:bCs/>
                      <w:color w:val="000000"/>
                      <w:sz w:val="20"/>
                      <w:szCs w:val="20"/>
                      <w:highlight w:val="yellow"/>
                      <w:lang w:eastAsia="en-AU"/>
                    </w:rPr>
                  </w:pPr>
                  <w:r w:rsidRPr="008D63C3">
                    <w:rPr>
                      <w:rFonts w:eastAsia="Times New Roman"/>
                      <w:b/>
                      <w:bCs/>
                      <w:color w:val="000000"/>
                      <w:sz w:val="20"/>
                      <w:szCs w:val="20"/>
                      <w:lang w:eastAsia="en-AU"/>
                    </w:rPr>
                    <w:t>2017</w:t>
                  </w:r>
                </w:p>
              </w:tc>
              <w:tc>
                <w:tcPr>
                  <w:tcW w:w="1878" w:type="dxa"/>
                </w:tcPr>
                <w:p w14:paraId="1FA0E997" w14:textId="77777777" w:rsidR="00D278EE" w:rsidRDefault="00D278EE" w:rsidP="0061121A">
                  <w:pPr>
                    <w:spacing w:line="240" w:lineRule="auto"/>
                    <w:rPr>
                      <w:rFonts w:eastAsia="Times New Roman"/>
                      <w:b/>
                      <w:bCs/>
                      <w:color w:val="000000"/>
                      <w:sz w:val="20"/>
                      <w:szCs w:val="20"/>
                      <w:lang w:eastAsia="en-AU"/>
                    </w:rPr>
                  </w:pPr>
                  <w:r>
                    <w:rPr>
                      <w:rFonts w:eastAsia="Times New Roman"/>
                      <w:b/>
                      <w:bCs/>
                      <w:color w:val="000000"/>
                      <w:sz w:val="20"/>
                      <w:szCs w:val="20"/>
                      <w:lang w:eastAsia="en-AU"/>
                    </w:rPr>
                    <w:t>2018</w:t>
                  </w:r>
                </w:p>
              </w:tc>
            </w:tr>
            <w:tr w:rsidR="00D278EE" w14:paraId="2B258E0C" w14:textId="77777777" w:rsidTr="00AE3FD8">
              <w:tc>
                <w:tcPr>
                  <w:tcW w:w="1877" w:type="dxa"/>
                </w:tcPr>
                <w:p w14:paraId="205D7225" w14:textId="4988A7A8" w:rsidR="00D278EE" w:rsidRPr="00EA2918" w:rsidRDefault="00D278EE" w:rsidP="0061121A">
                  <w:pPr>
                    <w:spacing w:line="240" w:lineRule="auto"/>
                    <w:rPr>
                      <w:rFonts w:eastAsia="Times New Roman"/>
                      <w:bCs/>
                      <w:color w:val="000000"/>
                      <w:sz w:val="20"/>
                      <w:szCs w:val="20"/>
                      <w:lang w:eastAsia="en-AU"/>
                    </w:rPr>
                  </w:pPr>
                  <w:r w:rsidRPr="00EA2918">
                    <w:rPr>
                      <w:rFonts w:eastAsia="Times New Roman"/>
                      <w:bCs/>
                      <w:color w:val="000000"/>
                      <w:sz w:val="20"/>
                      <w:szCs w:val="20"/>
                      <w:lang w:eastAsia="en-AU"/>
                    </w:rPr>
                    <w:t>55</w:t>
                  </w:r>
                </w:p>
              </w:tc>
              <w:tc>
                <w:tcPr>
                  <w:tcW w:w="1877" w:type="dxa"/>
                </w:tcPr>
                <w:p w14:paraId="1571D11F" w14:textId="51FADF82" w:rsidR="00D278EE" w:rsidRPr="00EA2918" w:rsidRDefault="00D278EE" w:rsidP="0061121A">
                  <w:pPr>
                    <w:spacing w:line="240" w:lineRule="auto"/>
                    <w:rPr>
                      <w:rFonts w:eastAsia="Times New Roman"/>
                      <w:bCs/>
                      <w:color w:val="000000"/>
                      <w:sz w:val="20"/>
                      <w:szCs w:val="20"/>
                      <w:lang w:eastAsia="en-AU"/>
                    </w:rPr>
                  </w:pPr>
                  <w:r w:rsidRPr="00EA2918">
                    <w:rPr>
                      <w:rFonts w:eastAsia="Times New Roman"/>
                      <w:bCs/>
                      <w:color w:val="000000"/>
                      <w:sz w:val="20"/>
                      <w:szCs w:val="20"/>
                      <w:lang w:eastAsia="en-AU"/>
                    </w:rPr>
                    <w:t>58</w:t>
                  </w:r>
                </w:p>
              </w:tc>
              <w:tc>
                <w:tcPr>
                  <w:tcW w:w="1878" w:type="dxa"/>
                </w:tcPr>
                <w:p w14:paraId="4A704523" w14:textId="79E4007F" w:rsidR="00D278EE" w:rsidRPr="00EA2918" w:rsidRDefault="00D278EE" w:rsidP="0061121A">
                  <w:pPr>
                    <w:spacing w:line="240" w:lineRule="auto"/>
                    <w:rPr>
                      <w:rFonts w:eastAsia="Times New Roman"/>
                      <w:bCs/>
                      <w:color w:val="000000"/>
                      <w:sz w:val="20"/>
                      <w:szCs w:val="20"/>
                      <w:lang w:eastAsia="en-AU"/>
                    </w:rPr>
                  </w:pPr>
                  <w:r w:rsidRPr="00EA2918">
                    <w:rPr>
                      <w:rFonts w:eastAsia="Times New Roman"/>
                      <w:bCs/>
                      <w:color w:val="000000"/>
                      <w:sz w:val="20"/>
                      <w:szCs w:val="20"/>
                      <w:lang w:eastAsia="en-AU"/>
                    </w:rPr>
                    <w:t>54</w:t>
                  </w:r>
                </w:p>
              </w:tc>
              <w:tc>
                <w:tcPr>
                  <w:tcW w:w="1878" w:type="dxa"/>
                </w:tcPr>
                <w:p w14:paraId="5019365E" w14:textId="4548EB6B" w:rsidR="00D278EE" w:rsidRPr="002E4595" w:rsidRDefault="002E4595" w:rsidP="0061121A">
                  <w:pPr>
                    <w:spacing w:line="240" w:lineRule="auto"/>
                    <w:rPr>
                      <w:rFonts w:eastAsia="Times New Roman"/>
                      <w:color w:val="000000"/>
                      <w:sz w:val="20"/>
                      <w:szCs w:val="20"/>
                      <w:lang w:eastAsia="en-AU"/>
                    </w:rPr>
                  </w:pPr>
                  <w:r w:rsidRPr="002E4595">
                    <w:rPr>
                      <w:rFonts w:eastAsia="Times New Roman"/>
                      <w:color w:val="000000"/>
                      <w:sz w:val="20"/>
                      <w:szCs w:val="20"/>
                      <w:lang w:eastAsia="en-AU"/>
                    </w:rPr>
                    <w:t>47</w:t>
                  </w:r>
                </w:p>
              </w:tc>
            </w:tr>
          </w:tbl>
          <w:p w14:paraId="2AA486EC" w14:textId="0E2088A7" w:rsidR="0061121A" w:rsidRPr="00396AFC" w:rsidRDefault="0061121A" w:rsidP="007474CE">
            <w:pPr>
              <w:spacing w:line="240" w:lineRule="auto"/>
              <w:rPr>
                <w:sz w:val="20"/>
                <w:szCs w:val="20"/>
              </w:rPr>
            </w:pPr>
            <w:r w:rsidRPr="00396AFC">
              <w:rPr>
                <w:sz w:val="20"/>
                <w:szCs w:val="20"/>
              </w:rPr>
              <w:t xml:space="preserve">Source:  Student Satisfaction Survey, </w:t>
            </w:r>
            <w:r w:rsidR="00FE16A9" w:rsidRPr="00396AFC">
              <w:rPr>
                <w:sz w:val="20"/>
                <w:szCs w:val="20"/>
              </w:rPr>
              <w:t>ASCSIMT</w:t>
            </w:r>
          </w:p>
          <w:p w14:paraId="0C03B715" w14:textId="77777777" w:rsidR="0061121A" w:rsidRDefault="0061121A" w:rsidP="007474CE">
            <w:pPr>
              <w:spacing w:line="240" w:lineRule="auto"/>
              <w:rPr>
                <w:rFonts w:eastAsia="Times New Roman"/>
                <w:b/>
                <w:bCs/>
                <w:color w:val="000000"/>
                <w:sz w:val="20"/>
                <w:szCs w:val="20"/>
                <w:lang w:eastAsia="en-AU"/>
              </w:rPr>
            </w:pPr>
          </w:p>
          <w:p w14:paraId="77DA1111" w14:textId="3C639DC4" w:rsidR="0061121A" w:rsidRDefault="0061121A" w:rsidP="007474CE">
            <w:pPr>
              <w:spacing w:line="240" w:lineRule="auto"/>
              <w:rPr>
                <w:rFonts w:eastAsia="Times New Roman"/>
                <w:b/>
                <w:bCs/>
                <w:color w:val="000000"/>
                <w:sz w:val="20"/>
                <w:szCs w:val="20"/>
                <w:lang w:eastAsia="en-AU"/>
              </w:rPr>
            </w:pPr>
            <w:r>
              <w:rPr>
                <w:rFonts w:eastAsia="Times New Roman"/>
                <w:b/>
                <w:bCs/>
                <w:color w:val="000000"/>
                <w:sz w:val="20"/>
                <w:szCs w:val="20"/>
                <w:lang w:eastAsia="en-AU"/>
              </w:rPr>
              <w:t>Table:  The proportion of students undertaking college community service/leadership experiences increases by 25% on the levels in 2015 (base rate = 38%) i.e. the proportion will be 63%.</w:t>
            </w:r>
          </w:p>
          <w:p w14:paraId="54A83707" w14:textId="77777777" w:rsidR="0061121A" w:rsidRDefault="0061121A" w:rsidP="007474CE">
            <w:pPr>
              <w:spacing w:line="240" w:lineRule="auto"/>
              <w:rPr>
                <w:rFonts w:eastAsia="Times New Roman"/>
                <w:b/>
                <w:bCs/>
                <w:color w:val="000000"/>
                <w:sz w:val="20"/>
                <w:szCs w:val="20"/>
                <w:lang w:eastAsia="en-AU"/>
              </w:rPr>
            </w:pPr>
          </w:p>
          <w:tbl>
            <w:tblPr>
              <w:tblStyle w:val="TableGrid"/>
              <w:tblW w:w="0" w:type="auto"/>
              <w:tblLook w:val="04A0" w:firstRow="1" w:lastRow="0" w:firstColumn="1" w:lastColumn="0" w:noHBand="0" w:noVBand="1"/>
            </w:tblPr>
            <w:tblGrid>
              <w:gridCol w:w="1877"/>
              <w:gridCol w:w="1877"/>
              <w:gridCol w:w="1878"/>
              <w:gridCol w:w="1878"/>
            </w:tblGrid>
            <w:tr w:rsidR="00D278EE" w14:paraId="18325EAB" w14:textId="77777777" w:rsidTr="00AE3FD8">
              <w:tc>
                <w:tcPr>
                  <w:tcW w:w="1877" w:type="dxa"/>
                </w:tcPr>
                <w:p w14:paraId="7C2CAFFA" w14:textId="7BC6A1F1" w:rsidR="00D278EE" w:rsidRDefault="00D278EE" w:rsidP="0061121A">
                  <w:pPr>
                    <w:spacing w:line="240" w:lineRule="auto"/>
                    <w:rPr>
                      <w:rFonts w:eastAsia="Times New Roman"/>
                      <w:b/>
                      <w:bCs/>
                      <w:color w:val="000000"/>
                      <w:sz w:val="20"/>
                      <w:szCs w:val="20"/>
                      <w:lang w:eastAsia="en-AU"/>
                    </w:rPr>
                  </w:pPr>
                  <w:r>
                    <w:rPr>
                      <w:rFonts w:eastAsia="Times New Roman"/>
                      <w:b/>
                      <w:bCs/>
                      <w:color w:val="000000"/>
                      <w:sz w:val="20"/>
                      <w:szCs w:val="20"/>
                      <w:lang w:eastAsia="en-AU"/>
                    </w:rPr>
                    <w:t>2015</w:t>
                  </w:r>
                </w:p>
              </w:tc>
              <w:tc>
                <w:tcPr>
                  <w:tcW w:w="1877" w:type="dxa"/>
                </w:tcPr>
                <w:p w14:paraId="613648A5" w14:textId="0AA52297" w:rsidR="00D278EE" w:rsidRDefault="00D278EE" w:rsidP="0061121A">
                  <w:pPr>
                    <w:spacing w:line="240" w:lineRule="auto"/>
                    <w:rPr>
                      <w:rFonts w:eastAsia="Times New Roman"/>
                      <w:b/>
                      <w:bCs/>
                      <w:color w:val="000000"/>
                      <w:sz w:val="20"/>
                      <w:szCs w:val="20"/>
                      <w:lang w:eastAsia="en-AU"/>
                    </w:rPr>
                  </w:pPr>
                  <w:r>
                    <w:rPr>
                      <w:rFonts w:eastAsia="Times New Roman"/>
                      <w:b/>
                      <w:bCs/>
                      <w:color w:val="000000"/>
                      <w:sz w:val="20"/>
                      <w:szCs w:val="20"/>
                      <w:lang w:eastAsia="en-AU"/>
                    </w:rPr>
                    <w:t>2016</w:t>
                  </w:r>
                </w:p>
              </w:tc>
              <w:tc>
                <w:tcPr>
                  <w:tcW w:w="1878" w:type="dxa"/>
                </w:tcPr>
                <w:p w14:paraId="7A8DBCFA" w14:textId="77777777" w:rsidR="00D278EE" w:rsidRDefault="00D278EE" w:rsidP="0061121A">
                  <w:pPr>
                    <w:spacing w:line="240" w:lineRule="auto"/>
                    <w:rPr>
                      <w:rFonts w:eastAsia="Times New Roman"/>
                      <w:b/>
                      <w:bCs/>
                      <w:color w:val="000000"/>
                      <w:sz w:val="20"/>
                      <w:szCs w:val="20"/>
                      <w:lang w:eastAsia="en-AU"/>
                    </w:rPr>
                  </w:pPr>
                  <w:r>
                    <w:rPr>
                      <w:rFonts w:eastAsia="Times New Roman"/>
                      <w:b/>
                      <w:bCs/>
                      <w:color w:val="000000"/>
                      <w:sz w:val="20"/>
                      <w:szCs w:val="20"/>
                      <w:lang w:eastAsia="en-AU"/>
                    </w:rPr>
                    <w:t>2017</w:t>
                  </w:r>
                </w:p>
              </w:tc>
              <w:tc>
                <w:tcPr>
                  <w:tcW w:w="1878" w:type="dxa"/>
                </w:tcPr>
                <w:p w14:paraId="2A97B743" w14:textId="77777777" w:rsidR="00D278EE" w:rsidRDefault="00D278EE" w:rsidP="0061121A">
                  <w:pPr>
                    <w:spacing w:line="240" w:lineRule="auto"/>
                    <w:rPr>
                      <w:rFonts w:eastAsia="Times New Roman"/>
                      <w:b/>
                      <w:bCs/>
                      <w:color w:val="000000"/>
                      <w:sz w:val="20"/>
                      <w:szCs w:val="20"/>
                      <w:lang w:eastAsia="en-AU"/>
                    </w:rPr>
                  </w:pPr>
                  <w:r>
                    <w:rPr>
                      <w:rFonts w:eastAsia="Times New Roman"/>
                      <w:b/>
                      <w:bCs/>
                      <w:color w:val="000000"/>
                      <w:sz w:val="20"/>
                      <w:szCs w:val="20"/>
                      <w:lang w:eastAsia="en-AU"/>
                    </w:rPr>
                    <w:t>2018</w:t>
                  </w:r>
                </w:p>
              </w:tc>
            </w:tr>
            <w:tr w:rsidR="00D278EE" w14:paraId="21405758" w14:textId="77777777" w:rsidTr="00AE3FD8">
              <w:tc>
                <w:tcPr>
                  <w:tcW w:w="1877" w:type="dxa"/>
                </w:tcPr>
                <w:p w14:paraId="06164836" w14:textId="37C7BF61" w:rsidR="00D278EE" w:rsidRPr="00D535E5" w:rsidRDefault="00D278EE" w:rsidP="0061121A">
                  <w:pPr>
                    <w:spacing w:line="240" w:lineRule="auto"/>
                    <w:rPr>
                      <w:rFonts w:eastAsia="Times New Roman"/>
                      <w:bCs/>
                      <w:color w:val="000000"/>
                      <w:sz w:val="20"/>
                      <w:szCs w:val="20"/>
                      <w:lang w:eastAsia="en-AU"/>
                    </w:rPr>
                  </w:pPr>
                  <w:r>
                    <w:rPr>
                      <w:rFonts w:eastAsia="Times New Roman"/>
                      <w:bCs/>
                      <w:color w:val="000000"/>
                      <w:sz w:val="20"/>
                      <w:szCs w:val="20"/>
                      <w:lang w:eastAsia="en-AU"/>
                    </w:rPr>
                    <w:t>38</w:t>
                  </w:r>
                </w:p>
              </w:tc>
              <w:tc>
                <w:tcPr>
                  <w:tcW w:w="1877" w:type="dxa"/>
                </w:tcPr>
                <w:p w14:paraId="5F667C11" w14:textId="596801B4" w:rsidR="00D278EE" w:rsidRPr="00D535E5" w:rsidRDefault="00D278EE" w:rsidP="0061121A">
                  <w:pPr>
                    <w:spacing w:line="240" w:lineRule="auto"/>
                    <w:rPr>
                      <w:rFonts w:eastAsia="Times New Roman"/>
                      <w:bCs/>
                      <w:color w:val="000000"/>
                      <w:sz w:val="20"/>
                      <w:szCs w:val="20"/>
                      <w:lang w:eastAsia="en-AU"/>
                    </w:rPr>
                  </w:pPr>
                  <w:r w:rsidRPr="00D535E5">
                    <w:rPr>
                      <w:rFonts w:eastAsia="Times New Roman"/>
                      <w:bCs/>
                      <w:color w:val="000000"/>
                      <w:sz w:val="20"/>
                      <w:szCs w:val="20"/>
                      <w:lang w:eastAsia="en-AU"/>
                    </w:rPr>
                    <w:t>36</w:t>
                  </w:r>
                </w:p>
              </w:tc>
              <w:tc>
                <w:tcPr>
                  <w:tcW w:w="1878" w:type="dxa"/>
                </w:tcPr>
                <w:p w14:paraId="79B28FFC" w14:textId="490A8C49" w:rsidR="00D278EE" w:rsidRPr="00D535E5" w:rsidRDefault="00D278EE" w:rsidP="0061121A">
                  <w:pPr>
                    <w:spacing w:line="240" w:lineRule="auto"/>
                    <w:rPr>
                      <w:rFonts w:eastAsia="Times New Roman"/>
                      <w:bCs/>
                      <w:color w:val="000000"/>
                      <w:sz w:val="20"/>
                      <w:szCs w:val="20"/>
                      <w:lang w:eastAsia="en-AU"/>
                    </w:rPr>
                  </w:pPr>
                  <w:r>
                    <w:rPr>
                      <w:rFonts w:eastAsia="Times New Roman"/>
                      <w:bCs/>
                      <w:color w:val="000000"/>
                      <w:sz w:val="20"/>
                      <w:szCs w:val="20"/>
                      <w:lang w:eastAsia="en-AU"/>
                    </w:rPr>
                    <w:t>3</w:t>
                  </w:r>
                  <w:r w:rsidRPr="00D535E5">
                    <w:rPr>
                      <w:rFonts w:eastAsia="Times New Roman"/>
                      <w:bCs/>
                      <w:color w:val="000000"/>
                      <w:sz w:val="20"/>
                      <w:szCs w:val="20"/>
                      <w:lang w:eastAsia="en-AU"/>
                    </w:rPr>
                    <w:t>3</w:t>
                  </w:r>
                </w:p>
              </w:tc>
              <w:tc>
                <w:tcPr>
                  <w:tcW w:w="1878" w:type="dxa"/>
                </w:tcPr>
                <w:p w14:paraId="524AA165" w14:textId="7A7E7DDF" w:rsidR="00D278EE" w:rsidRPr="00F00CEF" w:rsidRDefault="004436F1" w:rsidP="0061121A">
                  <w:pPr>
                    <w:spacing w:line="240" w:lineRule="auto"/>
                    <w:rPr>
                      <w:rFonts w:eastAsia="Times New Roman"/>
                      <w:color w:val="000000"/>
                      <w:sz w:val="20"/>
                      <w:szCs w:val="20"/>
                      <w:lang w:eastAsia="en-AU"/>
                    </w:rPr>
                  </w:pPr>
                  <w:r>
                    <w:rPr>
                      <w:rFonts w:eastAsia="Times New Roman"/>
                      <w:color w:val="000000"/>
                      <w:sz w:val="20"/>
                      <w:szCs w:val="20"/>
                      <w:lang w:eastAsia="en-AU"/>
                    </w:rPr>
                    <w:t>42</w:t>
                  </w:r>
                </w:p>
              </w:tc>
            </w:tr>
          </w:tbl>
          <w:p w14:paraId="13D3E1DD" w14:textId="77777777" w:rsidR="0061121A" w:rsidRDefault="00D535E5" w:rsidP="00396AFC">
            <w:pPr>
              <w:spacing w:line="240" w:lineRule="auto"/>
              <w:rPr>
                <w:sz w:val="20"/>
                <w:szCs w:val="20"/>
              </w:rPr>
            </w:pPr>
            <w:r w:rsidRPr="00396AFC">
              <w:rPr>
                <w:sz w:val="20"/>
                <w:szCs w:val="20"/>
              </w:rPr>
              <w:t>Source:  Lake Tuggeranong College Community Service register, Student Leadership Group records</w:t>
            </w:r>
          </w:p>
          <w:p w14:paraId="65B1C6D2" w14:textId="04E0FCBB" w:rsidR="00B73165" w:rsidRPr="0061121A" w:rsidRDefault="00B73165" w:rsidP="00396AFC">
            <w:pPr>
              <w:spacing w:line="240" w:lineRule="auto"/>
              <w:rPr>
                <w:rFonts w:eastAsia="Times New Roman"/>
                <w:sz w:val="20"/>
                <w:szCs w:val="20"/>
                <w:lang w:eastAsia="en-AU"/>
              </w:rPr>
            </w:pPr>
          </w:p>
        </w:tc>
      </w:tr>
    </w:tbl>
    <w:p w14:paraId="165269BF" w14:textId="1CB52BE4" w:rsidR="00017064" w:rsidRPr="00017064" w:rsidRDefault="0092648D" w:rsidP="00017064">
      <w:pPr>
        <w:pStyle w:val="Heading4"/>
      </w:pPr>
      <w:r w:rsidRPr="0092648D">
        <w:lastRenderedPageBreak/>
        <w:t>D</w:t>
      </w:r>
      <w:r w:rsidR="00017064" w:rsidRPr="00017064">
        <w:t>iscussion</w:t>
      </w:r>
    </w:p>
    <w:p w14:paraId="3DDADE31" w14:textId="01F104D1" w:rsidR="002E799F" w:rsidRDefault="00443098" w:rsidP="00FB0ACA">
      <w:pPr>
        <w:pStyle w:val="BodyText"/>
        <w:rPr>
          <w:lang w:val="en-AU" w:eastAsia="en-US"/>
        </w:rPr>
      </w:pPr>
      <w:r>
        <w:rPr>
          <w:lang w:val="en-AU" w:eastAsia="en-US"/>
        </w:rPr>
        <w:t xml:space="preserve">The </w:t>
      </w:r>
      <w:r w:rsidR="00FB0ACA">
        <w:rPr>
          <w:lang w:val="en-AU" w:eastAsia="en-US"/>
        </w:rPr>
        <w:t xml:space="preserve">two </w:t>
      </w:r>
      <w:r w:rsidR="00332194">
        <w:rPr>
          <w:lang w:val="en-AU" w:eastAsia="en-US"/>
        </w:rPr>
        <w:t>Key Improvement Strategies</w:t>
      </w:r>
      <w:r>
        <w:rPr>
          <w:lang w:val="en-AU" w:eastAsia="en-US"/>
        </w:rPr>
        <w:t xml:space="preserve"> deployed against this priority </w:t>
      </w:r>
      <w:r w:rsidR="00FB0ACA">
        <w:rPr>
          <w:lang w:val="en-AU" w:eastAsia="en-US"/>
        </w:rPr>
        <w:t xml:space="preserve">in 2017 were </w:t>
      </w:r>
      <w:r>
        <w:rPr>
          <w:lang w:val="en-AU" w:eastAsia="en-US"/>
        </w:rPr>
        <w:t xml:space="preserve"> </w:t>
      </w:r>
    </w:p>
    <w:p w14:paraId="108ADA0A" w14:textId="2A5E848F" w:rsidR="002E799F" w:rsidRDefault="00443098" w:rsidP="002E799F">
      <w:pPr>
        <w:pStyle w:val="ListParagraph"/>
        <w:numPr>
          <w:ilvl w:val="0"/>
          <w:numId w:val="16"/>
        </w:numPr>
      </w:pPr>
      <w:r w:rsidRPr="00443098">
        <w:t xml:space="preserve">KIS </w:t>
      </w:r>
      <w:r w:rsidR="00F00CEF">
        <w:t>5</w:t>
      </w:r>
      <w:r>
        <w:t xml:space="preserve"> </w:t>
      </w:r>
      <w:r w:rsidR="00716FED">
        <w:t xml:space="preserve">- </w:t>
      </w:r>
      <w:r w:rsidR="00F00CEF">
        <w:t>Student voice informs improvement processes</w:t>
      </w:r>
      <w:r w:rsidR="00FB0ACA">
        <w:t>; and</w:t>
      </w:r>
    </w:p>
    <w:p w14:paraId="34352D24" w14:textId="3D3545A7" w:rsidR="00E14542" w:rsidRDefault="00FB0ACA" w:rsidP="00E14542">
      <w:pPr>
        <w:pStyle w:val="ListParagraph"/>
        <w:numPr>
          <w:ilvl w:val="0"/>
          <w:numId w:val="16"/>
        </w:numPr>
      </w:pPr>
      <w:r>
        <w:t xml:space="preserve">KIS </w:t>
      </w:r>
      <w:r w:rsidR="00F00CEF">
        <w:t>8</w:t>
      </w:r>
      <w:r>
        <w:t xml:space="preserve"> </w:t>
      </w:r>
      <w:r w:rsidR="00716FED">
        <w:t xml:space="preserve">- </w:t>
      </w:r>
      <w:r w:rsidR="00F00CEF">
        <w:t>Build capability in student wellbeing</w:t>
      </w:r>
      <w:r>
        <w:t>.</w:t>
      </w:r>
    </w:p>
    <w:p w14:paraId="3FBDE658" w14:textId="77777777" w:rsidR="00D02B80" w:rsidRPr="00D02B80" w:rsidRDefault="00D02B80" w:rsidP="00D02B80">
      <w:pPr>
        <w:pStyle w:val="ListParagraph"/>
        <w:ind w:left="720"/>
      </w:pPr>
    </w:p>
    <w:p w14:paraId="15D26D38" w14:textId="07102E01" w:rsidR="00716FED" w:rsidRDefault="00716FED" w:rsidP="00E14542">
      <w:pPr>
        <w:pStyle w:val="BodyText"/>
        <w:rPr>
          <w:lang w:val="en-AU" w:eastAsia="en-US"/>
        </w:rPr>
      </w:pPr>
      <w:r>
        <w:rPr>
          <w:lang w:val="en-AU" w:eastAsia="en-US"/>
        </w:rPr>
        <w:t xml:space="preserve">Student voice and building staff capacity in responding to student need were the two identified areas of focus in 2018.  </w:t>
      </w:r>
    </w:p>
    <w:p w14:paraId="4A4DEFFD" w14:textId="0A7DF33B" w:rsidR="00D02B80" w:rsidRDefault="00716FED" w:rsidP="00E14542">
      <w:pPr>
        <w:pStyle w:val="BodyText"/>
        <w:rPr>
          <w:lang w:val="en-AU" w:eastAsia="en-US"/>
        </w:rPr>
      </w:pPr>
      <w:r>
        <w:rPr>
          <w:lang w:val="en-AU" w:eastAsia="en-US"/>
        </w:rPr>
        <w:t xml:space="preserve">A revitalised effort to form a sustainable student leadership group again resulted in a less formal student leadership layer operating across the college.  Whilst it was easy to engage students in whole-of-school social and celebratory events, it became clear by the middle of the year that students were reluctant to be part of a ‘labelled’ </w:t>
      </w:r>
      <w:r w:rsidR="004436F1">
        <w:rPr>
          <w:lang w:val="en-AU" w:eastAsia="en-US"/>
        </w:rPr>
        <w:t xml:space="preserve">working group.  As in previous years, a small group of students were regular participants in leadership opportunities, ably representing the college; and a much larger segment of the student population involved themselves in market days, success assemblies and promotional events such as Open Night. </w:t>
      </w:r>
    </w:p>
    <w:p w14:paraId="1CE8E4F2" w14:textId="1A37CF83" w:rsidR="00D02B80" w:rsidRDefault="00D02B80" w:rsidP="00E14542">
      <w:pPr>
        <w:pStyle w:val="BodyText"/>
        <w:rPr>
          <w:lang w:val="en-AU" w:eastAsia="en-US"/>
        </w:rPr>
      </w:pPr>
      <w:r>
        <w:rPr>
          <w:lang w:val="en-AU" w:eastAsia="en-US"/>
        </w:rPr>
        <w:t>The college invested significantly in strengthened supports for students, as delivered by College Life teams.  Under new leadership, a common set of values and goals were defined and road-tested with the broader school community.  As part of this, roles and responsibilities, referral and flow-charts were developed, resulting in improved communications and awareness for staff, students and families. Work also took place to draw the disability education team into the new referral and monitoring processes. This work will continue into 2019. Identified staff undertook professional learning and regularly engaged with external partners, such as Headspace.</w:t>
      </w:r>
    </w:p>
    <w:p w14:paraId="1B6D0FCF" w14:textId="11272704" w:rsidR="00434310" w:rsidRDefault="00017064" w:rsidP="00FE16A9">
      <w:pPr>
        <w:pStyle w:val="Heading4"/>
      </w:pPr>
      <w:r w:rsidRPr="00017064">
        <w:t>Analysis</w:t>
      </w:r>
    </w:p>
    <w:p w14:paraId="4839CCFA" w14:textId="448290AE" w:rsidR="00D02B80" w:rsidRDefault="00D02B80" w:rsidP="00D02B80">
      <w:pPr>
        <w:pStyle w:val="BodyText"/>
        <w:rPr>
          <w:lang w:val="en-AU" w:eastAsia="en-US"/>
        </w:rPr>
      </w:pPr>
      <w:r>
        <w:rPr>
          <w:lang w:val="en-AU" w:eastAsia="en-US"/>
        </w:rPr>
        <w:t xml:space="preserve">Of the indicators monitored against this priority, only community service rates improved on previous years’ results.  The college leadership group remains challenged by a dip in completion rates, with only 86 percent of </w:t>
      </w:r>
      <w:r w:rsidR="00D41CB7">
        <w:rPr>
          <w:lang w:val="en-AU" w:eastAsia="en-US"/>
        </w:rPr>
        <w:t xml:space="preserve">the 2018 </w:t>
      </w:r>
      <w:r>
        <w:rPr>
          <w:lang w:val="en-AU" w:eastAsia="en-US"/>
        </w:rPr>
        <w:t xml:space="preserve">year 12 </w:t>
      </w:r>
      <w:r w:rsidR="00D41CB7">
        <w:rPr>
          <w:lang w:val="en-AU" w:eastAsia="en-US"/>
        </w:rPr>
        <w:t>cohort</w:t>
      </w:r>
      <w:r>
        <w:rPr>
          <w:lang w:val="en-AU" w:eastAsia="en-US"/>
        </w:rPr>
        <w:t xml:space="preserve"> gaining a senior secondary certificate.  The college holds data suggesting that early leavers moved predominantly into full-time work, seeking paid employment over school education. </w:t>
      </w:r>
      <w:r w:rsidR="00AE3FD8">
        <w:rPr>
          <w:lang w:val="en-AU" w:eastAsia="en-US"/>
        </w:rPr>
        <w:t xml:space="preserve"> </w:t>
      </w:r>
    </w:p>
    <w:p w14:paraId="09AC7864" w14:textId="4AA66B1C" w:rsidR="00D41CB7" w:rsidRDefault="00D41CB7" w:rsidP="00D02B80">
      <w:pPr>
        <w:pStyle w:val="BodyText"/>
        <w:rPr>
          <w:lang w:val="en-AU" w:eastAsia="en-US"/>
        </w:rPr>
      </w:pPr>
      <w:r>
        <w:rPr>
          <w:lang w:val="en-AU" w:eastAsia="en-US"/>
        </w:rPr>
        <w:t xml:space="preserve">Beyond the ongoing work taking place inside classrooms to have our students thrive at college, the leadership group pinpointed two issues which could have contributed to lower levels of student engagement:  firstly, the challenges of providing a suitable relief teacher to classes in times of teacher absence (and thereby disrupting the continuity of learning); and the decline in reported </w:t>
      </w:r>
      <w:r>
        <w:rPr>
          <w:lang w:val="en-AU" w:eastAsia="en-US"/>
        </w:rPr>
        <w:lastRenderedPageBreak/>
        <w:t xml:space="preserve">student readiness to self-manage and to understand the requirements of the senior secondary landscape.  These </w:t>
      </w:r>
      <w:r w:rsidR="00CC675D">
        <w:rPr>
          <w:lang w:val="en-AU" w:eastAsia="en-US"/>
        </w:rPr>
        <w:t>two matters</w:t>
      </w:r>
      <w:r>
        <w:rPr>
          <w:lang w:val="en-AU" w:eastAsia="en-US"/>
        </w:rPr>
        <w:t xml:space="preserve"> </w:t>
      </w:r>
      <w:r w:rsidR="00CC675D">
        <w:rPr>
          <w:lang w:val="en-AU" w:eastAsia="en-US"/>
        </w:rPr>
        <w:t>were</w:t>
      </w:r>
      <w:r>
        <w:rPr>
          <w:lang w:val="en-AU" w:eastAsia="en-US"/>
        </w:rPr>
        <w:t xml:space="preserve"> </w:t>
      </w:r>
      <w:r w:rsidR="00CC675D">
        <w:rPr>
          <w:lang w:val="en-AU" w:eastAsia="en-US"/>
        </w:rPr>
        <w:t>workshopped with the leadership group in the latter part of 2018, as part of drafting the 2019 Action Plan.</w:t>
      </w:r>
    </w:p>
    <w:p w14:paraId="6C7974AD" w14:textId="04009E5F" w:rsidR="00D02B80" w:rsidRDefault="00D02B80" w:rsidP="00D02B80">
      <w:pPr>
        <w:pStyle w:val="BodyText"/>
        <w:rPr>
          <w:lang w:val="en-AU" w:eastAsia="en-US"/>
        </w:rPr>
      </w:pPr>
      <w:r>
        <w:rPr>
          <w:lang w:val="en-AU" w:eastAsia="en-US"/>
        </w:rPr>
        <w:t xml:space="preserve">Consistent with previous years, and triangulated against college-generated wellbeing data, students reporting with wellbeing concerns constitutes a large proportion of the </w:t>
      </w:r>
      <w:r w:rsidR="00CC675D">
        <w:rPr>
          <w:lang w:val="en-AU" w:eastAsia="en-US"/>
        </w:rPr>
        <w:t>college</w:t>
      </w:r>
      <w:r>
        <w:rPr>
          <w:lang w:val="en-AU" w:eastAsia="en-US"/>
        </w:rPr>
        <w:t xml:space="preserve"> population:  students are increasingly indicating stresses associated with school (assessment tasks, challenging workloads) and beyond (for example, part-time work commitments, friendship pressures, carer responsibilities).</w:t>
      </w:r>
      <w:r w:rsidR="00CC675D">
        <w:rPr>
          <w:lang w:val="en-AU" w:eastAsia="en-US"/>
        </w:rPr>
        <w:t xml:space="preserve"> A direct response to this </w:t>
      </w:r>
      <w:r w:rsidR="00FB2382">
        <w:rPr>
          <w:lang w:val="en-AU" w:eastAsia="en-US"/>
        </w:rPr>
        <w:t>has been the decision to increase resource allocations to College Life, including dedicated academic progress officers to work alongside student wellbeing coordinators.  An additional school leader was also identified to bolster capacity.  Significant work was undertaken to define roles and to signal the proactive aspects sought under the new model for 2019.</w:t>
      </w:r>
    </w:p>
    <w:p w14:paraId="61C2414D" w14:textId="1E3C557E" w:rsidR="00D02B80" w:rsidRDefault="00FB2382" w:rsidP="00017064">
      <w:pPr>
        <w:pStyle w:val="BodyText"/>
      </w:pPr>
      <w:r>
        <w:t xml:space="preserve">Regular evaluations of the College Life model continued in 2018, with pleasing feedback suggesting a strong commitment to the service delivery model </w:t>
      </w:r>
      <w:r w:rsidR="00AE3FD8">
        <w:t>on the part of staff and families.  Students anecdotally reported positive levels of support, although there was some uncertainty as to how best to access staff</w:t>
      </w:r>
      <w:r w:rsidR="00A537BF">
        <w:t xml:space="preserve">, due to </w:t>
      </w:r>
      <w:proofErr w:type="gramStart"/>
      <w:r w:rsidR="00A537BF">
        <w:t>a number of</w:t>
      </w:r>
      <w:proofErr w:type="gramEnd"/>
      <w:r w:rsidR="00A537BF">
        <w:t xml:space="preserve"> locations operating across college</w:t>
      </w:r>
      <w:r w:rsidR="00AE3FD8">
        <w:t xml:space="preserve">.  This is something the leadership group also identified in the satisfaction survey results for 2018.  </w:t>
      </w:r>
    </w:p>
    <w:p w14:paraId="40103122" w14:textId="34085049" w:rsidR="00D02B80" w:rsidRDefault="00AE3FD8" w:rsidP="00017064">
      <w:pPr>
        <w:pStyle w:val="BodyText"/>
      </w:pPr>
      <w:r>
        <w:t xml:space="preserve">The evaluations, coupled with the increased resourcing for a fully integrated model for 2019, saw the decision to remove LinC from the college landscape and replace it with a </w:t>
      </w:r>
      <w:r w:rsidR="00A537BF">
        <w:t>‘H</w:t>
      </w:r>
      <w:r>
        <w:t>elpdesk</w:t>
      </w:r>
      <w:r w:rsidR="00A537BF">
        <w:t>’/triage</w:t>
      </w:r>
      <w:r>
        <w:t xml:space="preserve"> model, and the proactive components of the various College Life teams. </w:t>
      </w:r>
    </w:p>
    <w:p w14:paraId="13686503" w14:textId="27B428F8" w:rsidR="007355B1" w:rsidRDefault="00AE3FD8" w:rsidP="00017064">
      <w:pPr>
        <w:pStyle w:val="BodyText"/>
      </w:pPr>
      <w:r>
        <w:t>The continued strengthening of students involved in volunteering and/or c</w:t>
      </w:r>
      <w:r w:rsidR="007355B1">
        <w:t xml:space="preserve">ommunity service </w:t>
      </w:r>
      <w:r>
        <w:t>is a pleasing result for the college.  Major events were keenly taken up by students, providing an invaluable promotional opportunity.  Families consistently commented on the authenticity of this approach.</w:t>
      </w:r>
      <w:r w:rsidR="007355B1">
        <w:t xml:space="preserve">  </w:t>
      </w:r>
    </w:p>
    <w:p w14:paraId="42043CC2" w14:textId="77777777" w:rsidR="00434310" w:rsidRDefault="00434310" w:rsidP="00434310"/>
    <w:p w14:paraId="18BDD4B0" w14:textId="77777777" w:rsidR="00434310" w:rsidRDefault="00434310" w:rsidP="00E14542">
      <w:pPr>
        <w:pStyle w:val="BodyText"/>
        <w:rPr>
          <w:lang w:val="en-AU" w:eastAsia="en-US"/>
        </w:rPr>
      </w:pPr>
    </w:p>
    <w:p w14:paraId="790C4365" w14:textId="77777777" w:rsidR="004F397F" w:rsidRDefault="004F397F" w:rsidP="00E14542">
      <w:pPr>
        <w:pStyle w:val="BodyText"/>
        <w:rPr>
          <w:lang w:val="en-AU" w:eastAsia="en-US"/>
        </w:rPr>
      </w:pPr>
    </w:p>
    <w:p w14:paraId="668264E9" w14:textId="77777777" w:rsidR="004F397F" w:rsidRDefault="004F397F" w:rsidP="00E14542">
      <w:pPr>
        <w:pStyle w:val="BodyText"/>
        <w:rPr>
          <w:lang w:val="en-AU" w:eastAsia="en-US"/>
        </w:rPr>
      </w:pPr>
    </w:p>
    <w:p w14:paraId="33663C27" w14:textId="77777777" w:rsidR="004F397F" w:rsidRDefault="004F397F" w:rsidP="00E14542">
      <w:pPr>
        <w:pStyle w:val="BodyText"/>
        <w:rPr>
          <w:lang w:val="en-AU" w:eastAsia="en-US"/>
        </w:rPr>
      </w:pPr>
    </w:p>
    <w:p w14:paraId="741E6128" w14:textId="77777777" w:rsidR="004F397F" w:rsidRDefault="004F397F">
      <w:pPr>
        <w:spacing w:line="240" w:lineRule="auto"/>
        <w:rPr>
          <w:rFonts w:asciiTheme="minorHAnsi" w:eastAsia="Times New Roman" w:hAnsiTheme="minorHAnsi"/>
        </w:rPr>
      </w:pPr>
      <w:r>
        <w:br w:type="page"/>
      </w:r>
    </w:p>
    <w:p w14:paraId="4C823630" w14:textId="77777777" w:rsidR="004F397F" w:rsidRPr="00E14542" w:rsidRDefault="004F397F" w:rsidP="004F397F">
      <w:pPr>
        <w:pStyle w:val="Heading2"/>
      </w:pPr>
      <w:r w:rsidRPr="00E14542">
        <w:lastRenderedPageBreak/>
        <w:t>Priority</w:t>
      </w:r>
    </w:p>
    <w:p w14:paraId="3A65B69D" w14:textId="77777777" w:rsidR="004F397F" w:rsidRPr="004F397F" w:rsidRDefault="004F397F" w:rsidP="004F397F">
      <w:pPr>
        <w:pStyle w:val="ListParagraph"/>
        <w:framePr w:hSpace="180" w:wrap="around" w:vAnchor="text" w:hAnchor="margin" w:xAlign="center" w:y="1"/>
        <w:rPr>
          <w:bCs/>
          <w:sz w:val="24"/>
          <w:szCs w:val="24"/>
        </w:rPr>
      </w:pPr>
      <w:r>
        <w:t>CONNECT:  Authentic partnerships with our community.</w:t>
      </w:r>
    </w:p>
    <w:p w14:paraId="6B1B8371" w14:textId="77777777" w:rsidR="004F397F" w:rsidRDefault="004F397F" w:rsidP="004F397F">
      <w:pPr>
        <w:framePr w:hSpace="180" w:wrap="around" w:vAnchor="text" w:hAnchor="margin" w:xAlign="center" w:y="1"/>
      </w:pPr>
    </w:p>
    <w:p w14:paraId="198E8129" w14:textId="77777777" w:rsidR="004F397F" w:rsidRPr="004F397F" w:rsidRDefault="004F397F" w:rsidP="004F397F">
      <w:pPr>
        <w:pStyle w:val="Heading3"/>
        <w:rPr>
          <w:lang w:val="en-AU"/>
        </w:rPr>
      </w:pPr>
      <w:r w:rsidRPr="00E14542">
        <w:t>Target</w:t>
      </w:r>
      <w:r>
        <w:t>s</w:t>
      </w:r>
    </w:p>
    <w:p w14:paraId="0AFDC628" w14:textId="77777777" w:rsidR="004F397F" w:rsidRDefault="004F397F" w:rsidP="004F397F">
      <w:pPr>
        <w:framePr w:hSpace="180" w:wrap="around" w:vAnchor="text" w:hAnchor="margin" w:xAlign="center" w:y="1"/>
      </w:pPr>
      <w:r>
        <w:t>By the end of 2020 the college will achieve:</w:t>
      </w:r>
    </w:p>
    <w:p w14:paraId="44A7B237" w14:textId="77777777" w:rsidR="004F397F" w:rsidRDefault="004F397F" w:rsidP="004F397F">
      <w:pPr>
        <w:pStyle w:val="ListParagraph"/>
        <w:framePr w:hSpace="180" w:wrap="around" w:vAnchor="text" w:hAnchor="margin" w:xAlign="center" w:y="1"/>
        <w:widowControl/>
        <w:numPr>
          <w:ilvl w:val="0"/>
          <w:numId w:val="15"/>
        </w:numPr>
        <w:spacing w:after="200" w:line="276" w:lineRule="auto"/>
        <w:contextualSpacing/>
        <w:rPr>
          <w:rFonts w:cs="Calibri"/>
          <w:b/>
          <w:bCs/>
        </w:rPr>
      </w:pPr>
      <w:r>
        <w:rPr>
          <w:rFonts w:cs="Calibri"/>
        </w:rPr>
        <w:t>The proportion of incoming students reporting high levels of satisfaction with their transition to college increases by 15% on 2015 levels (currently at 74%)</w:t>
      </w:r>
    </w:p>
    <w:p w14:paraId="706CBEF8" w14:textId="77777777" w:rsidR="004F397F" w:rsidRDefault="004F397F" w:rsidP="004F397F">
      <w:pPr>
        <w:pStyle w:val="ListParagraph"/>
        <w:framePr w:hSpace="180" w:wrap="around" w:vAnchor="text" w:hAnchor="margin" w:xAlign="center" w:y="1"/>
        <w:widowControl/>
        <w:numPr>
          <w:ilvl w:val="0"/>
          <w:numId w:val="15"/>
        </w:numPr>
        <w:spacing w:after="200" w:line="276" w:lineRule="auto"/>
        <w:contextualSpacing/>
        <w:rPr>
          <w:rFonts w:cs="Calibri"/>
          <w:b/>
          <w:bCs/>
        </w:rPr>
      </w:pPr>
      <w:r>
        <w:rPr>
          <w:rFonts w:cs="Calibri"/>
        </w:rPr>
        <w:t xml:space="preserve">The proportion of Year 11 students receiving one or more semester one void units (v-grades) decreases by 15% on 2015 levels </w:t>
      </w:r>
    </w:p>
    <w:p w14:paraId="16E72BE1" w14:textId="77777777" w:rsidR="004F397F" w:rsidRDefault="004F397F" w:rsidP="004F397F">
      <w:pPr>
        <w:pStyle w:val="ListParagraph"/>
        <w:framePr w:hSpace="180" w:wrap="around" w:vAnchor="text" w:hAnchor="margin" w:xAlign="center" w:y="1"/>
        <w:widowControl/>
        <w:numPr>
          <w:ilvl w:val="0"/>
          <w:numId w:val="15"/>
        </w:numPr>
        <w:spacing w:after="200" w:line="276" w:lineRule="auto"/>
        <w:contextualSpacing/>
        <w:rPr>
          <w:rFonts w:cs="Calibri"/>
          <w:b/>
          <w:bCs/>
        </w:rPr>
      </w:pPr>
      <w:r>
        <w:rPr>
          <w:rFonts w:cs="Calibri"/>
        </w:rPr>
        <w:t>The proportion of students with packages reflecting engagement with external partners increases by 15% on 2015 levels (currently at 18%)</w:t>
      </w:r>
    </w:p>
    <w:p w14:paraId="3D8B0CE9" w14:textId="4E20D706" w:rsidR="004F397F" w:rsidRDefault="004F397F" w:rsidP="004F397F">
      <w:pPr>
        <w:pStyle w:val="ListParagraph"/>
        <w:framePr w:hSpace="180" w:wrap="around" w:vAnchor="text" w:hAnchor="margin" w:xAlign="center" w:y="1"/>
        <w:widowControl/>
        <w:numPr>
          <w:ilvl w:val="0"/>
          <w:numId w:val="15"/>
        </w:numPr>
        <w:spacing w:after="200" w:line="276" w:lineRule="auto"/>
        <w:contextualSpacing/>
        <w:rPr>
          <w:rFonts w:cs="Calibri"/>
          <w:b/>
          <w:bCs/>
        </w:rPr>
      </w:pPr>
      <w:r>
        <w:rPr>
          <w:rFonts w:cs="Calibri"/>
        </w:rPr>
        <w:t>The proportion of families and carers reporting high levels of satisfaction with the college represent</w:t>
      </w:r>
      <w:r w:rsidR="007E10C8">
        <w:rPr>
          <w:rFonts w:cs="Calibri"/>
        </w:rPr>
        <w:t>s</w:t>
      </w:r>
      <w:r>
        <w:rPr>
          <w:rFonts w:cs="Calibri"/>
        </w:rPr>
        <w:t xml:space="preserve"> an increase of 10% on 2015 levels</w:t>
      </w:r>
    </w:p>
    <w:p w14:paraId="027A1120" w14:textId="3200A405" w:rsidR="002F1C1A" w:rsidRDefault="004F397F" w:rsidP="008841D3">
      <w:pPr>
        <w:pStyle w:val="Heading4"/>
      </w:pPr>
      <w:r>
        <w:t>Progress</w:t>
      </w:r>
    </w:p>
    <w:p w14:paraId="5DA112FB" w14:textId="4399789F" w:rsidR="006178A5" w:rsidRDefault="006178A5" w:rsidP="006178A5">
      <w:pPr>
        <w:spacing w:line="240" w:lineRule="auto"/>
        <w:rPr>
          <w:rFonts w:eastAsia="Times New Roman"/>
          <w:b/>
          <w:bCs/>
          <w:color w:val="000000"/>
          <w:sz w:val="20"/>
          <w:szCs w:val="20"/>
          <w:lang w:eastAsia="en-AU"/>
        </w:rPr>
      </w:pPr>
      <w:r w:rsidRPr="006178A5">
        <w:rPr>
          <w:rFonts w:eastAsia="Times New Roman"/>
          <w:b/>
          <w:bCs/>
          <w:color w:val="000000"/>
          <w:sz w:val="20"/>
          <w:szCs w:val="20"/>
          <w:lang w:eastAsia="en-AU"/>
        </w:rPr>
        <w:t xml:space="preserve">Table:  </w:t>
      </w:r>
      <w:r>
        <w:rPr>
          <w:rFonts w:eastAsia="Times New Roman"/>
          <w:b/>
          <w:bCs/>
          <w:color w:val="000000"/>
          <w:sz w:val="20"/>
          <w:szCs w:val="20"/>
          <w:lang w:eastAsia="en-AU"/>
        </w:rPr>
        <w:t>The proportion of incoming students reporting high levels of satisfaction with their transition to college increases by 15% on 2015 levels (currently at 74%)</w:t>
      </w:r>
    </w:p>
    <w:p w14:paraId="71B55555" w14:textId="77777777" w:rsidR="006178A5" w:rsidRPr="006178A5" w:rsidRDefault="006178A5" w:rsidP="006178A5">
      <w:pPr>
        <w:spacing w:line="240" w:lineRule="auto"/>
        <w:rPr>
          <w:rFonts w:eastAsia="Times New Roman"/>
          <w:b/>
          <w:bCs/>
          <w:color w:val="000000"/>
          <w:sz w:val="20"/>
          <w:szCs w:val="20"/>
          <w:lang w:eastAsia="en-AU"/>
        </w:rPr>
      </w:pPr>
    </w:p>
    <w:tbl>
      <w:tblPr>
        <w:tblStyle w:val="TableGrid"/>
        <w:tblW w:w="0" w:type="auto"/>
        <w:tblLook w:val="04A0" w:firstRow="1" w:lastRow="0" w:firstColumn="1" w:lastColumn="0" w:noHBand="0" w:noVBand="1"/>
      </w:tblPr>
      <w:tblGrid>
        <w:gridCol w:w="1803"/>
        <w:gridCol w:w="1803"/>
        <w:gridCol w:w="1804"/>
        <w:gridCol w:w="1803"/>
      </w:tblGrid>
      <w:tr w:rsidR="007E10C8" w14:paraId="58156554" w14:textId="77777777" w:rsidTr="00AE3FD8">
        <w:tc>
          <w:tcPr>
            <w:tcW w:w="1803" w:type="dxa"/>
          </w:tcPr>
          <w:p w14:paraId="7013CBFC" w14:textId="677A4D50" w:rsidR="007E10C8" w:rsidRDefault="007E10C8" w:rsidP="007474CE">
            <w:pPr>
              <w:spacing w:line="240" w:lineRule="auto"/>
              <w:rPr>
                <w:rFonts w:eastAsia="Times New Roman"/>
                <w:b/>
                <w:bCs/>
                <w:color w:val="000000"/>
                <w:sz w:val="20"/>
                <w:szCs w:val="20"/>
                <w:lang w:eastAsia="en-AU"/>
              </w:rPr>
            </w:pPr>
            <w:r>
              <w:rPr>
                <w:rFonts w:eastAsia="Times New Roman"/>
                <w:b/>
                <w:bCs/>
                <w:color w:val="000000"/>
                <w:sz w:val="20"/>
                <w:szCs w:val="20"/>
                <w:lang w:eastAsia="en-AU"/>
              </w:rPr>
              <w:t>2015</w:t>
            </w:r>
          </w:p>
        </w:tc>
        <w:tc>
          <w:tcPr>
            <w:tcW w:w="1803" w:type="dxa"/>
          </w:tcPr>
          <w:p w14:paraId="1BCEF707" w14:textId="7EAA8DED" w:rsidR="007E10C8" w:rsidRDefault="007E10C8" w:rsidP="007474CE">
            <w:pPr>
              <w:spacing w:line="240" w:lineRule="auto"/>
              <w:rPr>
                <w:rFonts w:eastAsia="Times New Roman"/>
                <w:b/>
                <w:bCs/>
                <w:color w:val="000000"/>
                <w:sz w:val="20"/>
                <w:szCs w:val="20"/>
                <w:lang w:eastAsia="en-AU"/>
              </w:rPr>
            </w:pPr>
            <w:r>
              <w:rPr>
                <w:rFonts w:eastAsia="Times New Roman"/>
                <w:b/>
                <w:bCs/>
                <w:color w:val="000000"/>
                <w:sz w:val="20"/>
                <w:szCs w:val="20"/>
                <w:lang w:eastAsia="en-AU"/>
              </w:rPr>
              <w:t>2016</w:t>
            </w:r>
          </w:p>
        </w:tc>
        <w:tc>
          <w:tcPr>
            <w:tcW w:w="1804" w:type="dxa"/>
          </w:tcPr>
          <w:p w14:paraId="6DE780F0" w14:textId="77777777" w:rsidR="007E10C8" w:rsidRDefault="007E10C8" w:rsidP="007474CE">
            <w:pPr>
              <w:spacing w:line="240" w:lineRule="auto"/>
              <w:rPr>
                <w:rFonts w:eastAsia="Times New Roman"/>
                <w:b/>
                <w:bCs/>
                <w:color w:val="000000"/>
                <w:sz w:val="20"/>
                <w:szCs w:val="20"/>
                <w:lang w:eastAsia="en-AU"/>
              </w:rPr>
            </w:pPr>
            <w:r>
              <w:rPr>
                <w:rFonts w:eastAsia="Times New Roman"/>
                <w:b/>
                <w:bCs/>
                <w:color w:val="000000"/>
                <w:sz w:val="20"/>
                <w:szCs w:val="20"/>
                <w:lang w:eastAsia="en-AU"/>
              </w:rPr>
              <w:t>2017</w:t>
            </w:r>
          </w:p>
        </w:tc>
        <w:tc>
          <w:tcPr>
            <w:tcW w:w="1803" w:type="dxa"/>
          </w:tcPr>
          <w:p w14:paraId="654A6D46" w14:textId="77777777" w:rsidR="007E10C8" w:rsidRDefault="007E10C8" w:rsidP="007474CE">
            <w:pPr>
              <w:spacing w:line="240" w:lineRule="auto"/>
              <w:rPr>
                <w:rFonts w:eastAsia="Times New Roman"/>
                <w:b/>
                <w:bCs/>
                <w:color w:val="000000"/>
                <w:sz w:val="20"/>
                <w:szCs w:val="20"/>
                <w:lang w:eastAsia="en-AU"/>
              </w:rPr>
            </w:pPr>
            <w:r>
              <w:rPr>
                <w:rFonts w:eastAsia="Times New Roman"/>
                <w:b/>
                <w:bCs/>
                <w:color w:val="000000"/>
                <w:sz w:val="20"/>
                <w:szCs w:val="20"/>
                <w:lang w:eastAsia="en-AU"/>
              </w:rPr>
              <w:t>2018</w:t>
            </w:r>
          </w:p>
        </w:tc>
      </w:tr>
      <w:tr w:rsidR="007E10C8" w14:paraId="57EAACA2" w14:textId="77777777" w:rsidTr="00AE3FD8">
        <w:tc>
          <w:tcPr>
            <w:tcW w:w="1803" w:type="dxa"/>
          </w:tcPr>
          <w:p w14:paraId="1374F9D9" w14:textId="2237274E" w:rsidR="007E10C8" w:rsidRPr="002A48FA" w:rsidRDefault="007E10C8" w:rsidP="007474CE">
            <w:pPr>
              <w:spacing w:line="240" w:lineRule="auto"/>
              <w:rPr>
                <w:rFonts w:eastAsia="Times New Roman"/>
                <w:bCs/>
                <w:color w:val="000000"/>
                <w:sz w:val="20"/>
                <w:szCs w:val="20"/>
                <w:lang w:eastAsia="en-AU"/>
              </w:rPr>
            </w:pPr>
            <w:r>
              <w:rPr>
                <w:rFonts w:eastAsia="Times New Roman"/>
                <w:bCs/>
                <w:color w:val="000000"/>
                <w:sz w:val="20"/>
                <w:szCs w:val="20"/>
                <w:lang w:eastAsia="en-AU"/>
              </w:rPr>
              <w:t>74</w:t>
            </w:r>
          </w:p>
        </w:tc>
        <w:tc>
          <w:tcPr>
            <w:tcW w:w="1803" w:type="dxa"/>
          </w:tcPr>
          <w:p w14:paraId="47DD3044" w14:textId="42856B5F" w:rsidR="007E10C8" w:rsidRPr="002A48FA" w:rsidRDefault="007E10C8" w:rsidP="007474CE">
            <w:pPr>
              <w:spacing w:line="240" w:lineRule="auto"/>
              <w:rPr>
                <w:rFonts w:eastAsia="Times New Roman"/>
                <w:bCs/>
                <w:color w:val="000000"/>
                <w:sz w:val="20"/>
                <w:szCs w:val="20"/>
                <w:lang w:eastAsia="en-AU"/>
              </w:rPr>
            </w:pPr>
            <w:r w:rsidRPr="002A48FA">
              <w:rPr>
                <w:rFonts w:eastAsia="Times New Roman"/>
                <w:bCs/>
                <w:color w:val="000000"/>
                <w:sz w:val="20"/>
                <w:szCs w:val="20"/>
                <w:lang w:eastAsia="en-AU"/>
              </w:rPr>
              <w:t>71</w:t>
            </w:r>
          </w:p>
        </w:tc>
        <w:tc>
          <w:tcPr>
            <w:tcW w:w="1804" w:type="dxa"/>
          </w:tcPr>
          <w:p w14:paraId="0B917800" w14:textId="14BF8A93" w:rsidR="007E10C8" w:rsidRPr="002A48FA" w:rsidRDefault="007E10C8" w:rsidP="007474CE">
            <w:pPr>
              <w:spacing w:line="240" w:lineRule="auto"/>
              <w:rPr>
                <w:rFonts w:eastAsia="Times New Roman"/>
                <w:bCs/>
                <w:color w:val="000000"/>
                <w:sz w:val="20"/>
                <w:szCs w:val="20"/>
                <w:lang w:eastAsia="en-AU"/>
              </w:rPr>
            </w:pPr>
            <w:r w:rsidRPr="002A48FA">
              <w:rPr>
                <w:rFonts w:eastAsia="Times New Roman"/>
                <w:bCs/>
                <w:color w:val="000000"/>
                <w:sz w:val="20"/>
                <w:szCs w:val="20"/>
                <w:lang w:eastAsia="en-AU"/>
              </w:rPr>
              <w:t>79</w:t>
            </w:r>
          </w:p>
        </w:tc>
        <w:tc>
          <w:tcPr>
            <w:tcW w:w="1803" w:type="dxa"/>
          </w:tcPr>
          <w:p w14:paraId="66B53C90" w14:textId="6871B834" w:rsidR="007E10C8" w:rsidRPr="00C80DE1" w:rsidRDefault="00C80DE1" w:rsidP="007474CE">
            <w:pPr>
              <w:spacing w:line="240" w:lineRule="auto"/>
              <w:rPr>
                <w:rFonts w:eastAsia="Times New Roman"/>
                <w:color w:val="000000"/>
                <w:sz w:val="20"/>
                <w:szCs w:val="20"/>
                <w:lang w:eastAsia="en-AU"/>
              </w:rPr>
            </w:pPr>
            <w:r w:rsidRPr="00C80DE1">
              <w:rPr>
                <w:rFonts w:eastAsia="Times New Roman"/>
                <w:color w:val="000000"/>
                <w:sz w:val="20"/>
                <w:szCs w:val="20"/>
                <w:lang w:eastAsia="en-AU"/>
              </w:rPr>
              <w:t>7</w:t>
            </w:r>
            <w:r w:rsidR="0037706B">
              <w:rPr>
                <w:rFonts w:eastAsia="Times New Roman"/>
                <w:color w:val="000000"/>
                <w:sz w:val="20"/>
                <w:szCs w:val="20"/>
                <w:lang w:eastAsia="en-AU"/>
              </w:rPr>
              <w:t>3</w:t>
            </w:r>
          </w:p>
        </w:tc>
      </w:tr>
    </w:tbl>
    <w:p w14:paraId="56832CB4" w14:textId="583BEA98" w:rsidR="006178A5" w:rsidRPr="00396AFC" w:rsidRDefault="006178A5" w:rsidP="00396AFC">
      <w:pPr>
        <w:spacing w:line="240" w:lineRule="auto"/>
        <w:rPr>
          <w:sz w:val="20"/>
          <w:szCs w:val="20"/>
        </w:rPr>
      </w:pPr>
      <w:r w:rsidRPr="00396AFC">
        <w:rPr>
          <w:sz w:val="20"/>
          <w:szCs w:val="20"/>
        </w:rPr>
        <w:t xml:space="preserve">Source:  </w:t>
      </w:r>
      <w:r w:rsidR="00634072" w:rsidRPr="00396AFC">
        <w:rPr>
          <w:sz w:val="20"/>
          <w:szCs w:val="20"/>
        </w:rPr>
        <w:t>Student Satisfaction Survey</w:t>
      </w:r>
      <w:r w:rsidR="00EC6BB0">
        <w:rPr>
          <w:sz w:val="20"/>
          <w:szCs w:val="20"/>
        </w:rPr>
        <w:t>; LTC Settling Survey</w:t>
      </w:r>
      <w:r w:rsidR="00634072" w:rsidRPr="00396AFC">
        <w:rPr>
          <w:sz w:val="20"/>
          <w:szCs w:val="20"/>
        </w:rPr>
        <w:t xml:space="preserve"> data sets </w:t>
      </w:r>
    </w:p>
    <w:p w14:paraId="49991E93" w14:textId="77777777" w:rsidR="00073C05" w:rsidRDefault="00073C05" w:rsidP="00073C05">
      <w:pPr>
        <w:pStyle w:val="BodyText"/>
        <w:spacing w:after="120"/>
        <w:rPr>
          <w:b/>
          <w:bCs/>
          <w:color w:val="000000"/>
          <w:sz w:val="20"/>
          <w:szCs w:val="20"/>
          <w:lang w:eastAsia="en-AU"/>
        </w:rPr>
      </w:pPr>
    </w:p>
    <w:p w14:paraId="01F6180A" w14:textId="6797E781" w:rsidR="0000267A" w:rsidRDefault="0000267A" w:rsidP="006178A5">
      <w:pPr>
        <w:pStyle w:val="BodyText"/>
        <w:rPr>
          <w:b/>
          <w:bCs/>
          <w:color w:val="000000"/>
          <w:sz w:val="20"/>
          <w:szCs w:val="20"/>
          <w:lang w:eastAsia="en-AU"/>
        </w:rPr>
      </w:pPr>
      <w:r w:rsidRPr="008D63C3">
        <w:rPr>
          <w:b/>
          <w:bCs/>
          <w:color w:val="000000"/>
          <w:sz w:val="20"/>
          <w:szCs w:val="20"/>
          <w:lang w:eastAsia="en-AU"/>
        </w:rPr>
        <w:t>Table:</w:t>
      </w:r>
      <w:r w:rsidRPr="008D63C3">
        <w:rPr>
          <w:lang w:val="en-AU"/>
        </w:rPr>
        <w:t xml:space="preserve"> </w:t>
      </w:r>
      <w:r w:rsidRPr="008D63C3">
        <w:rPr>
          <w:b/>
          <w:bCs/>
          <w:color w:val="000000"/>
          <w:sz w:val="20"/>
          <w:szCs w:val="20"/>
          <w:lang w:eastAsia="en-AU"/>
        </w:rPr>
        <w:t>The proportion of Year 11 students receiving one or more semester one void units (v-grades) decreases by 15% on 2015 levels - i.e. the rate will be 12%</w:t>
      </w:r>
    </w:p>
    <w:tbl>
      <w:tblPr>
        <w:tblStyle w:val="TableGrid"/>
        <w:tblW w:w="0" w:type="auto"/>
        <w:tblLook w:val="04A0" w:firstRow="1" w:lastRow="0" w:firstColumn="1" w:lastColumn="0" w:noHBand="0" w:noVBand="1"/>
      </w:tblPr>
      <w:tblGrid>
        <w:gridCol w:w="1803"/>
        <w:gridCol w:w="1803"/>
        <w:gridCol w:w="1804"/>
        <w:gridCol w:w="1803"/>
      </w:tblGrid>
      <w:tr w:rsidR="007E10C8" w14:paraId="00FC922B" w14:textId="77777777" w:rsidTr="00AE3FD8">
        <w:tc>
          <w:tcPr>
            <w:tcW w:w="1803" w:type="dxa"/>
          </w:tcPr>
          <w:p w14:paraId="17990B22" w14:textId="03A190C5" w:rsidR="007E10C8" w:rsidRDefault="007E10C8" w:rsidP="007474CE">
            <w:pPr>
              <w:spacing w:line="240" w:lineRule="auto"/>
              <w:rPr>
                <w:rFonts w:eastAsia="Times New Roman"/>
                <w:b/>
                <w:bCs/>
                <w:color w:val="000000"/>
                <w:sz w:val="20"/>
                <w:szCs w:val="20"/>
                <w:lang w:eastAsia="en-AU"/>
              </w:rPr>
            </w:pPr>
            <w:r>
              <w:rPr>
                <w:rFonts w:eastAsia="Times New Roman"/>
                <w:b/>
                <w:bCs/>
                <w:color w:val="000000"/>
                <w:sz w:val="20"/>
                <w:szCs w:val="20"/>
                <w:lang w:eastAsia="en-AU"/>
              </w:rPr>
              <w:t>2015</w:t>
            </w:r>
          </w:p>
        </w:tc>
        <w:tc>
          <w:tcPr>
            <w:tcW w:w="1803" w:type="dxa"/>
          </w:tcPr>
          <w:p w14:paraId="475AAD60" w14:textId="66C46664" w:rsidR="007E10C8" w:rsidRDefault="007E10C8" w:rsidP="007474CE">
            <w:pPr>
              <w:spacing w:line="240" w:lineRule="auto"/>
              <w:rPr>
                <w:rFonts w:eastAsia="Times New Roman"/>
                <w:b/>
                <w:bCs/>
                <w:color w:val="000000"/>
                <w:sz w:val="20"/>
                <w:szCs w:val="20"/>
                <w:lang w:eastAsia="en-AU"/>
              </w:rPr>
            </w:pPr>
            <w:r>
              <w:rPr>
                <w:rFonts w:eastAsia="Times New Roman"/>
                <w:b/>
                <w:bCs/>
                <w:color w:val="000000"/>
                <w:sz w:val="20"/>
                <w:szCs w:val="20"/>
                <w:lang w:eastAsia="en-AU"/>
              </w:rPr>
              <w:t>2016</w:t>
            </w:r>
          </w:p>
        </w:tc>
        <w:tc>
          <w:tcPr>
            <w:tcW w:w="1804" w:type="dxa"/>
          </w:tcPr>
          <w:p w14:paraId="7CBA1E41" w14:textId="77777777" w:rsidR="007E10C8" w:rsidRDefault="007E10C8" w:rsidP="007474CE">
            <w:pPr>
              <w:spacing w:line="240" w:lineRule="auto"/>
              <w:rPr>
                <w:rFonts w:eastAsia="Times New Roman"/>
                <w:b/>
                <w:bCs/>
                <w:color w:val="000000"/>
                <w:sz w:val="20"/>
                <w:szCs w:val="20"/>
                <w:lang w:eastAsia="en-AU"/>
              </w:rPr>
            </w:pPr>
            <w:r>
              <w:rPr>
                <w:rFonts w:eastAsia="Times New Roman"/>
                <w:b/>
                <w:bCs/>
                <w:color w:val="000000"/>
                <w:sz w:val="20"/>
                <w:szCs w:val="20"/>
                <w:lang w:eastAsia="en-AU"/>
              </w:rPr>
              <w:t>2017</w:t>
            </w:r>
          </w:p>
        </w:tc>
        <w:tc>
          <w:tcPr>
            <w:tcW w:w="1803" w:type="dxa"/>
          </w:tcPr>
          <w:p w14:paraId="0B27906A" w14:textId="77777777" w:rsidR="007E10C8" w:rsidRDefault="007E10C8" w:rsidP="007474CE">
            <w:pPr>
              <w:spacing w:line="240" w:lineRule="auto"/>
              <w:rPr>
                <w:rFonts w:eastAsia="Times New Roman"/>
                <w:b/>
                <w:bCs/>
                <w:color w:val="000000"/>
                <w:sz w:val="20"/>
                <w:szCs w:val="20"/>
                <w:lang w:eastAsia="en-AU"/>
              </w:rPr>
            </w:pPr>
            <w:r>
              <w:rPr>
                <w:rFonts w:eastAsia="Times New Roman"/>
                <w:b/>
                <w:bCs/>
                <w:color w:val="000000"/>
                <w:sz w:val="20"/>
                <w:szCs w:val="20"/>
                <w:lang w:eastAsia="en-AU"/>
              </w:rPr>
              <w:t>2018</w:t>
            </w:r>
          </w:p>
        </w:tc>
      </w:tr>
      <w:tr w:rsidR="007E10C8" w14:paraId="3F9383EA" w14:textId="77777777" w:rsidTr="00AE3FD8">
        <w:tc>
          <w:tcPr>
            <w:tcW w:w="1803" w:type="dxa"/>
          </w:tcPr>
          <w:p w14:paraId="4F6F88C8" w14:textId="1840EA4E" w:rsidR="007E10C8" w:rsidRDefault="00B700A3" w:rsidP="007474CE">
            <w:pPr>
              <w:spacing w:line="240" w:lineRule="auto"/>
              <w:rPr>
                <w:rFonts w:eastAsia="Times New Roman"/>
                <w:bCs/>
                <w:color w:val="000000"/>
                <w:sz w:val="20"/>
                <w:szCs w:val="20"/>
                <w:lang w:eastAsia="en-AU"/>
              </w:rPr>
            </w:pPr>
            <w:r>
              <w:rPr>
                <w:rFonts w:eastAsia="Times New Roman"/>
                <w:bCs/>
                <w:color w:val="000000"/>
                <w:sz w:val="20"/>
                <w:szCs w:val="20"/>
                <w:lang w:eastAsia="en-AU"/>
              </w:rPr>
              <w:t>13.5</w:t>
            </w:r>
          </w:p>
        </w:tc>
        <w:tc>
          <w:tcPr>
            <w:tcW w:w="1803" w:type="dxa"/>
          </w:tcPr>
          <w:p w14:paraId="74803EC1" w14:textId="654CD40B" w:rsidR="007E10C8" w:rsidRPr="008D63C3" w:rsidRDefault="007E10C8" w:rsidP="007474CE">
            <w:pPr>
              <w:spacing w:line="240" w:lineRule="auto"/>
              <w:rPr>
                <w:rFonts w:eastAsia="Times New Roman"/>
                <w:bCs/>
                <w:color w:val="000000"/>
                <w:sz w:val="20"/>
                <w:szCs w:val="20"/>
                <w:lang w:eastAsia="en-AU"/>
              </w:rPr>
            </w:pPr>
            <w:r>
              <w:rPr>
                <w:rFonts w:eastAsia="Times New Roman"/>
                <w:bCs/>
                <w:color w:val="000000"/>
                <w:sz w:val="20"/>
                <w:szCs w:val="20"/>
                <w:lang w:eastAsia="en-AU"/>
              </w:rPr>
              <w:t>16.2</w:t>
            </w:r>
          </w:p>
        </w:tc>
        <w:tc>
          <w:tcPr>
            <w:tcW w:w="1804" w:type="dxa"/>
          </w:tcPr>
          <w:p w14:paraId="76F468B9" w14:textId="167D384F" w:rsidR="007E10C8" w:rsidRPr="008D63C3" w:rsidRDefault="007E10C8" w:rsidP="007474CE">
            <w:pPr>
              <w:spacing w:line="240" w:lineRule="auto"/>
              <w:rPr>
                <w:rFonts w:eastAsia="Times New Roman"/>
                <w:bCs/>
                <w:color w:val="000000"/>
                <w:sz w:val="20"/>
                <w:szCs w:val="20"/>
                <w:lang w:eastAsia="en-AU"/>
              </w:rPr>
            </w:pPr>
            <w:r w:rsidRPr="008D63C3">
              <w:rPr>
                <w:rFonts w:eastAsia="Times New Roman"/>
                <w:bCs/>
                <w:color w:val="000000"/>
                <w:sz w:val="20"/>
                <w:szCs w:val="20"/>
                <w:lang w:eastAsia="en-AU"/>
              </w:rPr>
              <w:t>12.5</w:t>
            </w:r>
          </w:p>
        </w:tc>
        <w:tc>
          <w:tcPr>
            <w:tcW w:w="1803" w:type="dxa"/>
          </w:tcPr>
          <w:p w14:paraId="19627B45" w14:textId="59C96951" w:rsidR="007E10C8" w:rsidRPr="001364F7" w:rsidRDefault="001364F7" w:rsidP="007474CE">
            <w:pPr>
              <w:spacing w:line="240" w:lineRule="auto"/>
              <w:rPr>
                <w:rFonts w:eastAsia="Times New Roman"/>
                <w:color w:val="000000"/>
                <w:sz w:val="20"/>
                <w:szCs w:val="20"/>
                <w:lang w:eastAsia="en-AU"/>
              </w:rPr>
            </w:pPr>
            <w:r w:rsidRPr="001364F7">
              <w:rPr>
                <w:rFonts w:eastAsia="Times New Roman"/>
                <w:color w:val="000000"/>
                <w:sz w:val="20"/>
                <w:szCs w:val="20"/>
                <w:lang w:eastAsia="en-AU"/>
              </w:rPr>
              <w:t>18.9</w:t>
            </w:r>
          </w:p>
        </w:tc>
      </w:tr>
    </w:tbl>
    <w:p w14:paraId="0E0A974A" w14:textId="5150AB32" w:rsidR="0000267A" w:rsidRPr="00396AFC" w:rsidRDefault="0000267A" w:rsidP="00396AFC">
      <w:pPr>
        <w:spacing w:line="240" w:lineRule="auto"/>
        <w:rPr>
          <w:sz w:val="20"/>
          <w:szCs w:val="20"/>
        </w:rPr>
      </w:pPr>
      <w:r w:rsidRPr="00396AFC">
        <w:rPr>
          <w:sz w:val="20"/>
          <w:szCs w:val="20"/>
        </w:rPr>
        <w:t xml:space="preserve">Source:  ACS </w:t>
      </w:r>
      <w:proofErr w:type="spellStart"/>
      <w:r w:rsidRPr="00396AFC">
        <w:rPr>
          <w:sz w:val="20"/>
          <w:szCs w:val="20"/>
        </w:rPr>
        <w:t>Markbook</w:t>
      </w:r>
      <w:proofErr w:type="spellEnd"/>
      <w:r w:rsidRPr="00396AFC">
        <w:rPr>
          <w:sz w:val="20"/>
          <w:szCs w:val="20"/>
        </w:rPr>
        <w:t>, MAZE, BSSS</w:t>
      </w:r>
    </w:p>
    <w:p w14:paraId="52CB9820" w14:textId="77777777" w:rsidR="00073C05" w:rsidRDefault="00073C05" w:rsidP="00073C05">
      <w:pPr>
        <w:pStyle w:val="BodyText"/>
        <w:spacing w:after="120"/>
        <w:rPr>
          <w:b/>
          <w:bCs/>
          <w:color w:val="000000"/>
          <w:sz w:val="20"/>
          <w:szCs w:val="20"/>
          <w:lang w:eastAsia="en-AU"/>
        </w:rPr>
      </w:pPr>
    </w:p>
    <w:p w14:paraId="172EB819" w14:textId="4DC9D3B5" w:rsidR="0000267A" w:rsidRPr="006178A5" w:rsidRDefault="0000267A" w:rsidP="006178A5">
      <w:pPr>
        <w:pStyle w:val="BodyText"/>
        <w:rPr>
          <w:lang w:val="en-AU"/>
        </w:rPr>
      </w:pPr>
      <w:r w:rsidRPr="0000267A">
        <w:rPr>
          <w:b/>
          <w:bCs/>
          <w:color w:val="000000"/>
          <w:sz w:val="20"/>
          <w:szCs w:val="20"/>
          <w:lang w:eastAsia="en-AU"/>
        </w:rPr>
        <w:t xml:space="preserve">Table: </w:t>
      </w:r>
      <w:r>
        <w:rPr>
          <w:b/>
          <w:bCs/>
          <w:color w:val="000000"/>
          <w:sz w:val="20"/>
          <w:szCs w:val="20"/>
          <w:lang w:eastAsia="en-AU"/>
        </w:rPr>
        <w:t>The proportion of students with packages reflecting engagement with external partners increases by 15% on 2015 levels (currently at 18%)</w:t>
      </w:r>
    </w:p>
    <w:tbl>
      <w:tblPr>
        <w:tblStyle w:val="TableGrid"/>
        <w:tblW w:w="0" w:type="auto"/>
        <w:tblLook w:val="04A0" w:firstRow="1" w:lastRow="0" w:firstColumn="1" w:lastColumn="0" w:noHBand="0" w:noVBand="1"/>
      </w:tblPr>
      <w:tblGrid>
        <w:gridCol w:w="1803"/>
        <w:gridCol w:w="1803"/>
        <w:gridCol w:w="1804"/>
        <w:gridCol w:w="1803"/>
      </w:tblGrid>
      <w:tr w:rsidR="007E10C8" w14:paraId="640E83B9" w14:textId="77777777" w:rsidTr="00365ED3">
        <w:tc>
          <w:tcPr>
            <w:tcW w:w="1803" w:type="dxa"/>
          </w:tcPr>
          <w:p w14:paraId="6DEFD941" w14:textId="1A9E0933" w:rsidR="007E10C8" w:rsidRDefault="007E10C8" w:rsidP="007474CE">
            <w:pPr>
              <w:spacing w:line="240" w:lineRule="auto"/>
              <w:rPr>
                <w:rFonts w:eastAsia="Times New Roman"/>
                <w:b/>
                <w:bCs/>
                <w:color w:val="000000"/>
                <w:sz w:val="20"/>
                <w:szCs w:val="20"/>
                <w:lang w:eastAsia="en-AU"/>
              </w:rPr>
            </w:pPr>
            <w:r>
              <w:rPr>
                <w:rFonts w:eastAsia="Times New Roman"/>
                <w:b/>
                <w:bCs/>
                <w:color w:val="000000"/>
                <w:sz w:val="20"/>
                <w:szCs w:val="20"/>
                <w:lang w:eastAsia="en-AU"/>
              </w:rPr>
              <w:t>2015</w:t>
            </w:r>
          </w:p>
        </w:tc>
        <w:tc>
          <w:tcPr>
            <w:tcW w:w="1803" w:type="dxa"/>
          </w:tcPr>
          <w:p w14:paraId="018AF56C" w14:textId="159E1DF4" w:rsidR="007E10C8" w:rsidRDefault="007E10C8" w:rsidP="007474CE">
            <w:pPr>
              <w:spacing w:line="240" w:lineRule="auto"/>
              <w:rPr>
                <w:rFonts w:eastAsia="Times New Roman"/>
                <w:b/>
                <w:bCs/>
                <w:color w:val="000000"/>
                <w:sz w:val="20"/>
                <w:szCs w:val="20"/>
                <w:lang w:eastAsia="en-AU"/>
              </w:rPr>
            </w:pPr>
            <w:r>
              <w:rPr>
                <w:rFonts w:eastAsia="Times New Roman"/>
                <w:b/>
                <w:bCs/>
                <w:color w:val="000000"/>
                <w:sz w:val="20"/>
                <w:szCs w:val="20"/>
                <w:lang w:eastAsia="en-AU"/>
              </w:rPr>
              <w:t>2016</w:t>
            </w:r>
          </w:p>
        </w:tc>
        <w:tc>
          <w:tcPr>
            <w:tcW w:w="1804" w:type="dxa"/>
          </w:tcPr>
          <w:p w14:paraId="4AF5D074" w14:textId="77777777" w:rsidR="007E10C8" w:rsidRDefault="007E10C8" w:rsidP="007474CE">
            <w:pPr>
              <w:spacing w:line="240" w:lineRule="auto"/>
              <w:rPr>
                <w:rFonts w:eastAsia="Times New Roman"/>
                <w:b/>
                <w:bCs/>
                <w:color w:val="000000"/>
                <w:sz w:val="20"/>
                <w:szCs w:val="20"/>
                <w:lang w:eastAsia="en-AU"/>
              </w:rPr>
            </w:pPr>
            <w:r>
              <w:rPr>
                <w:rFonts w:eastAsia="Times New Roman"/>
                <w:b/>
                <w:bCs/>
                <w:color w:val="000000"/>
                <w:sz w:val="20"/>
                <w:szCs w:val="20"/>
                <w:lang w:eastAsia="en-AU"/>
              </w:rPr>
              <w:t>2017</w:t>
            </w:r>
          </w:p>
        </w:tc>
        <w:tc>
          <w:tcPr>
            <w:tcW w:w="1803" w:type="dxa"/>
          </w:tcPr>
          <w:p w14:paraId="534AD007" w14:textId="77777777" w:rsidR="007E10C8" w:rsidRDefault="007E10C8" w:rsidP="007474CE">
            <w:pPr>
              <w:spacing w:line="240" w:lineRule="auto"/>
              <w:rPr>
                <w:rFonts w:eastAsia="Times New Roman"/>
                <w:b/>
                <w:bCs/>
                <w:color w:val="000000"/>
                <w:sz w:val="20"/>
                <w:szCs w:val="20"/>
                <w:lang w:eastAsia="en-AU"/>
              </w:rPr>
            </w:pPr>
            <w:r>
              <w:rPr>
                <w:rFonts w:eastAsia="Times New Roman"/>
                <w:b/>
                <w:bCs/>
                <w:color w:val="000000"/>
                <w:sz w:val="20"/>
                <w:szCs w:val="20"/>
                <w:lang w:eastAsia="en-AU"/>
              </w:rPr>
              <w:t>2018</w:t>
            </w:r>
          </w:p>
        </w:tc>
      </w:tr>
      <w:tr w:rsidR="007E10C8" w14:paraId="091EE746" w14:textId="77777777" w:rsidTr="00365ED3">
        <w:tc>
          <w:tcPr>
            <w:tcW w:w="1803" w:type="dxa"/>
          </w:tcPr>
          <w:p w14:paraId="197CC1B8" w14:textId="43237F8A" w:rsidR="007E10C8" w:rsidRPr="002A48FA" w:rsidRDefault="007E10C8" w:rsidP="007474CE">
            <w:pPr>
              <w:spacing w:line="240" w:lineRule="auto"/>
              <w:rPr>
                <w:rFonts w:eastAsia="Times New Roman"/>
                <w:bCs/>
                <w:color w:val="000000"/>
                <w:sz w:val="20"/>
                <w:szCs w:val="20"/>
                <w:lang w:eastAsia="en-AU"/>
              </w:rPr>
            </w:pPr>
            <w:r>
              <w:rPr>
                <w:rFonts w:eastAsia="Times New Roman"/>
                <w:bCs/>
                <w:color w:val="000000"/>
                <w:sz w:val="20"/>
                <w:szCs w:val="20"/>
                <w:lang w:eastAsia="en-AU"/>
              </w:rPr>
              <w:t>18</w:t>
            </w:r>
          </w:p>
        </w:tc>
        <w:tc>
          <w:tcPr>
            <w:tcW w:w="1803" w:type="dxa"/>
          </w:tcPr>
          <w:p w14:paraId="1BE03091" w14:textId="256E749F" w:rsidR="007E10C8" w:rsidRPr="002A48FA" w:rsidRDefault="007E10C8" w:rsidP="007474CE">
            <w:pPr>
              <w:spacing w:line="240" w:lineRule="auto"/>
              <w:rPr>
                <w:rFonts w:eastAsia="Times New Roman"/>
                <w:bCs/>
                <w:color w:val="000000"/>
                <w:sz w:val="20"/>
                <w:szCs w:val="20"/>
                <w:lang w:eastAsia="en-AU"/>
              </w:rPr>
            </w:pPr>
            <w:r w:rsidRPr="002A48FA">
              <w:rPr>
                <w:rFonts w:eastAsia="Times New Roman"/>
                <w:bCs/>
                <w:color w:val="000000"/>
                <w:sz w:val="20"/>
                <w:szCs w:val="20"/>
                <w:lang w:eastAsia="en-AU"/>
              </w:rPr>
              <w:t>16</w:t>
            </w:r>
          </w:p>
        </w:tc>
        <w:tc>
          <w:tcPr>
            <w:tcW w:w="1804" w:type="dxa"/>
          </w:tcPr>
          <w:p w14:paraId="02B3F4C9" w14:textId="462F269C" w:rsidR="007E10C8" w:rsidRPr="002A48FA" w:rsidRDefault="007E10C8" w:rsidP="007474CE">
            <w:pPr>
              <w:spacing w:line="240" w:lineRule="auto"/>
              <w:rPr>
                <w:rFonts w:eastAsia="Times New Roman"/>
                <w:bCs/>
                <w:color w:val="000000"/>
                <w:sz w:val="20"/>
                <w:szCs w:val="20"/>
                <w:lang w:eastAsia="en-AU"/>
              </w:rPr>
            </w:pPr>
            <w:r w:rsidRPr="002A48FA">
              <w:rPr>
                <w:rFonts w:eastAsia="Times New Roman"/>
                <w:bCs/>
                <w:color w:val="000000"/>
                <w:sz w:val="20"/>
                <w:szCs w:val="20"/>
                <w:lang w:eastAsia="en-AU"/>
              </w:rPr>
              <w:t>18</w:t>
            </w:r>
          </w:p>
        </w:tc>
        <w:tc>
          <w:tcPr>
            <w:tcW w:w="1803" w:type="dxa"/>
          </w:tcPr>
          <w:p w14:paraId="4CC268C8" w14:textId="7DDAD181" w:rsidR="007E10C8" w:rsidRPr="001364F7" w:rsidRDefault="001364F7" w:rsidP="007474CE">
            <w:pPr>
              <w:spacing w:line="240" w:lineRule="auto"/>
              <w:rPr>
                <w:rFonts w:eastAsia="Times New Roman"/>
                <w:color w:val="000000"/>
                <w:sz w:val="20"/>
                <w:szCs w:val="20"/>
                <w:lang w:eastAsia="en-AU"/>
              </w:rPr>
            </w:pPr>
            <w:r w:rsidRPr="001364F7">
              <w:rPr>
                <w:rFonts w:eastAsia="Times New Roman"/>
                <w:color w:val="000000"/>
                <w:sz w:val="20"/>
                <w:szCs w:val="20"/>
                <w:lang w:eastAsia="en-AU"/>
              </w:rPr>
              <w:t>2</w:t>
            </w:r>
            <w:r>
              <w:rPr>
                <w:rFonts w:eastAsia="Times New Roman"/>
                <w:color w:val="000000"/>
                <w:sz w:val="20"/>
                <w:szCs w:val="20"/>
                <w:lang w:eastAsia="en-AU"/>
              </w:rPr>
              <w:t>4</w:t>
            </w:r>
          </w:p>
        </w:tc>
      </w:tr>
    </w:tbl>
    <w:p w14:paraId="7B9DAD7D" w14:textId="4C0BAA58" w:rsidR="006178A5" w:rsidRPr="00396AFC" w:rsidRDefault="0000267A" w:rsidP="00396AFC">
      <w:pPr>
        <w:spacing w:line="240" w:lineRule="auto"/>
        <w:rPr>
          <w:sz w:val="20"/>
          <w:szCs w:val="20"/>
        </w:rPr>
      </w:pPr>
      <w:r w:rsidRPr="00396AFC">
        <w:rPr>
          <w:sz w:val="20"/>
          <w:szCs w:val="20"/>
        </w:rPr>
        <w:t>Source:  Lake Tuggeranong College Careers &amp; Transition data, VET data</w:t>
      </w:r>
    </w:p>
    <w:p w14:paraId="231DC0A2" w14:textId="77777777" w:rsidR="00073C05" w:rsidRDefault="00073C05" w:rsidP="00073C05">
      <w:pPr>
        <w:pStyle w:val="BodyText"/>
        <w:spacing w:after="120"/>
        <w:rPr>
          <w:b/>
          <w:bCs/>
          <w:color w:val="000000"/>
          <w:sz w:val="20"/>
          <w:szCs w:val="20"/>
          <w:lang w:eastAsia="en-AU"/>
        </w:rPr>
      </w:pPr>
    </w:p>
    <w:p w14:paraId="5D9D2450" w14:textId="1EAB1CB6" w:rsidR="0000267A" w:rsidRDefault="0000267A" w:rsidP="006178A5">
      <w:pPr>
        <w:pStyle w:val="BodyText"/>
        <w:rPr>
          <w:b/>
          <w:bCs/>
          <w:color w:val="000000"/>
          <w:sz w:val="20"/>
          <w:szCs w:val="20"/>
          <w:lang w:eastAsia="en-AU"/>
        </w:rPr>
      </w:pPr>
      <w:r w:rsidRPr="0000267A">
        <w:rPr>
          <w:b/>
          <w:bCs/>
          <w:color w:val="000000"/>
          <w:sz w:val="20"/>
          <w:szCs w:val="20"/>
          <w:lang w:eastAsia="en-AU"/>
        </w:rPr>
        <w:t>Table:</w:t>
      </w:r>
      <w:r>
        <w:rPr>
          <w:lang w:val="en-AU"/>
        </w:rPr>
        <w:t xml:space="preserve">  </w:t>
      </w:r>
      <w:r>
        <w:rPr>
          <w:b/>
          <w:bCs/>
          <w:color w:val="000000"/>
          <w:sz w:val="20"/>
          <w:szCs w:val="20"/>
          <w:lang w:eastAsia="en-AU"/>
        </w:rPr>
        <w:t>The proportion of families and carers reporting high levels of satisfaction with the college represent</w:t>
      </w:r>
      <w:r w:rsidR="00EC6BB0">
        <w:rPr>
          <w:b/>
          <w:bCs/>
          <w:color w:val="000000"/>
          <w:sz w:val="20"/>
          <w:szCs w:val="20"/>
          <w:lang w:eastAsia="en-AU"/>
        </w:rPr>
        <w:t>s</w:t>
      </w:r>
      <w:r>
        <w:rPr>
          <w:b/>
          <w:bCs/>
          <w:color w:val="000000"/>
          <w:sz w:val="20"/>
          <w:szCs w:val="20"/>
          <w:lang w:eastAsia="en-AU"/>
        </w:rPr>
        <w:t xml:space="preserve"> an increase of 10% on 2015 levels</w:t>
      </w:r>
    </w:p>
    <w:tbl>
      <w:tblPr>
        <w:tblStyle w:val="TableGrid"/>
        <w:tblW w:w="0" w:type="auto"/>
        <w:tblLook w:val="04A0" w:firstRow="1" w:lastRow="0" w:firstColumn="1" w:lastColumn="0" w:noHBand="0" w:noVBand="1"/>
      </w:tblPr>
      <w:tblGrid>
        <w:gridCol w:w="1801"/>
        <w:gridCol w:w="1801"/>
        <w:gridCol w:w="1803"/>
        <w:gridCol w:w="1804"/>
      </w:tblGrid>
      <w:tr w:rsidR="007E10C8" w14:paraId="0394B6AE" w14:textId="77777777" w:rsidTr="009C5EB3">
        <w:tc>
          <w:tcPr>
            <w:tcW w:w="1801" w:type="dxa"/>
          </w:tcPr>
          <w:p w14:paraId="2A1B5093" w14:textId="60F40482" w:rsidR="007E10C8" w:rsidRDefault="007E10C8" w:rsidP="007474CE">
            <w:pPr>
              <w:spacing w:line="240" w:lineRule="auto"/>
              <w:rPr>
                <w:rFonts w:eastAsia="Times New Roman"/>
                <w:b/>
                <w:bCs/>
                <w:color w:val="000000"/>
                <w:sz w:val="20"/>
                <w:szCs w:val="20"/>
                <w:lang w:eastAsia="en-AU"/>
              </w:rPr>
            </w:pPr>
            <w:r>
              <w:rPr>
                <w:rFonts w:eastAsia="Times New Roman"/>
                <w:b/>
                <w:bCs/>
                <w:color w:val="000000"/>
                <w:sz w:val="20"/>
                <w:szCs w:val="20"/>
                <w:lang w:eastAsia="en-AU"/>
              </w:rPr>
              <w:t>2015</w:t>
            </w:r>
          </w:p>
        </w:tc>
        <w:tc>
          <w:tcPr>
            <w:tcW w:w="1801" w:type="dxa"/>
          </w:tcPr>
          <w:p w14:paraId="616141DF" w14:textId="56919559" w:rsidR="007E10C8" w:rsidRDefault="007E10C8" w:rsidP="007474CE">
            <w:pPr>
              <w:spacing w:line="240" w:lineRule="auto"/>
              <w:rPr>
                <w:rFonts w:eastAsia="Times New Roman"/>
                <w:b/>
                <w:bCs/>
                <w:color w:val="000000"/>
                <w:sz w:val="20"/>
                <w:szCs w:val="20"/>
                <w:lang w:eastAsia="en-AU"/>
              </w:rPr>
            </w:pPr>
            <w:r>
              <w:rPr>
                <w:rFonts w:eastAsia="Times New Roman"/>
                <w:b/>
                <w:bCs/>
                <w:color w:val="000000"/>
                <w:sz w:val="20"/>
                <w:szCs w:val="20"/>
                <w:lang w:eastAsia="en-AU"/>
              </w:rPr>
              <w:t>2016</w:t>
            </w:r>
          </w:p>
        </w:tc>
        <w:tc>
          <w:tcPr>
            <w:tcW w:w="1803" w:type="dxa"/>
          </w:tcPr>
          <w:p w14:paraId="6B29042A" w14:textId="77777777" w:rsidR="007E10C8" w:rsidRDefault="007E10C8" w:rsidP="007474CE">
            <w:pPr>
              <w:spacing w:line="240" w:lineRule="auto"/>
              <w:rPr>
                <w:rFonts w:eastAsia="Times New Roman"/>
                <w:b/>
                <w:bCs/>
                <w:color w:val="000000"/>
                <w:sz w:val="20"/>
                <w:szCs w:val="20"/>
                <w:lang w:eastAsia="en-AU"/>
              </w:rPr>
            </w:pPr>
            <w:r>
              <w:rPr>
                <w:rFonts w:eastAsia="Times New Roman"/>
                <w:b/>
                <w:bCs/>
                <w:color w:val="000000"/>
                <w:sz w:val="20"/>
                <w:szCs w:val="20"/>
                <w:lang w:eastAsia="en-AU"/>
              </w:rPr>
              <w:t>2017</w:t>
            </w:r>
          </w:p>
        </w:tc>
        <w:tc>
          <w:tcPr>
            <w:tcW w:w="1804" w:type="dxa"/>
          </w:tcPr>
          <w:p w14:paraId="1F91BEA3" w14:textId="77777777" w:rsidR="007E10C8" w:rsidRDefault="007E10C8" w:rsidP="007474CE">
            <w:pPr>
              <w:spacing w:line="240" w:lineRule="auto"/>
              <w:rPr>
                <w:rFonts w:eastAsia="Times New Roman"/>
                <w:b/>
                <w:bCs/>
                <w:color w:val="000000"/>
                <w:sz w:val="20"/>
                <w:szCs w:val="20"/>
                <w:lang w:eastAsia="en-AU"/>
              </w:rPr>
            </w:pPr>
            <w:r>
              <w:rPr>
                <w:rFonts w:eastAsia="Times New Roman"/>
                <w:b/>
                <w:bCs/>
                <w:color w:val="000000"/>
                <w:sz w:val="20"/>
                <w:szCs w:val="20"/>
                <w:lang w:eastAsia="en-AU"/>
              </w:rPr>
              <w:t>2018</w:t>
            </w:r>
          </w:p>
        </w:tc>
      </w:tr>
      <w:tr w:rsidR="007E10C8" w14:paraId="33636844" w14:textId="77777777" w:rsidTr="009C5EB3">
        <w:tc>
          <w:tcPr>
            <w:tcW w:w="1801" w:type="dxa"/>
          </w:tcPr>
          <w:p w14:paraId="09D5754D" w14:textId="151AB2DA" w:rsidR="007E10C8" w:rsidRPr="002A48FA" w:rsidRDefault="00C80DE1" w:rsidP="007474CE">
            <w:pPr>
              <w:spacing w:line="240" w:lineRule="auto"/>
              <w:rPr>
                <w:rFonts w:eastAsia="Times New Roman"/>
                <w:bCs/>
                <w:color w:val="000000"/>
                <w:sz w:val="20"/>
                <w:szCs w:val="20"/>
                <w:lang w:eastAsia="en-AU"/>
              </w:rPr>
            </w:pPr>
            <w:r>
              <w:rPr>
                <w:rFonts w:eastAsia="Times New Roman"/>
                <w:bCs/>
                <w:color w:val="000000"/>
                <w:sz w:val="20"/>
                <w:szCs w:val="20"/>
                <w:lang w:eastAsia="en-AU"/>
              </w:rPr>
              <w:t>83</w:t>
            </w:r>
          </w:p>
        </w:tc>
        <w:tc>
          <w:tcPr>
            <w:tcW w:w="1801" w:type="dxa"/>
          </w:tcPr>
          <w:p w14:paraId="7B30D6F9" w14:textId="744DCD5B" w:rsidR="007E10C8" w:rsidRPr="002A48FA" w:rsidRDefault="00C80DE1" w:rsidP="007474CE">
            <w:pPr>
              <w:spacing w:line="240" w:lineRule="auto"/>
              <w:rPr>
                <w:rFonts w:eastAsia="Times New Roman"/>
                <w:bCs/>
                <w:color w:val="000000"/>
                <w:sz w:val="20"/>
                <w:szCs w:val="20"/>
                <w:lang w:eastAsia="en-AU"/>
              </w:rPr>
            </w:pPr>
            <w:r>
              <w:rPr>
                <w:rFonts w:eastAsia="Times New Roman"/>
                <w:bCs/>
                <w:color w:val="000000"/>
                <w:sz w:val="20"/>
                <w:szCs w:val="20"/>
                <w:lang w:eastAsia="en-AU"/>
              </w:rPr>
              <w:t>82</w:t>
            </w:r>
          </w:p>
        </w:tc>
        <w:tc>
          <w:tcPr>
            <w:tcW w:w="1803" w:type="dxa"/>
          </w:tcPr>
          <w:p w14:paraId="1BB3FD47" w14:textId="033C2267" w:rsidR="007E10C8" w:rsidRPr="002A48FA" w:rsidRDefault="00C80DE1" w:rsidP="007474CE">
            <w:pPr>
              <w:spacing w:line="240" w:lineRule="auto"/>
              <w:rPr>
                <w:rFonts w:eastAsia="Times New Roman"/>
                <w:bCs/>
                <w:color w:val="000000"/>
                <w:sz w:val="20"/>
                <w:szCs w:val="20"/>
                <w:lang w:eastAsia="en-AU"/>
              </w:rPr>
            </w:pPr>
            <w:r>
              <w:rPr>
                <w:rFonts w:eastAsia="Times New Roman"/>
                <w:bCs/>
                <w:color w:val="000000"/>
                <w:sz w:val="20"/>
                <w:szCs w:val="20"/>
                <w:lang w:eastAsia="en-AU"/>
              </w:rPr>
              <w:t>82</w:t>
            </w:r>
          </w:p>
        </w:tc>
        <w:tc>
          <w:tcPr>
            <w:tcW w:w="1804" w:type="dxa"/>
          </w:tcPr>
          <w:p w14:paraId="63085925" w14:textId="6FDDE230" w:rsidR="007E10C8" w:rsidRPr="00C80DE1" w:rsidRDefault="00C80DE1" w:rsidP="007474CE">
            <w:pPr>
              <w:spacing w:line="240" w:lineRule="auto"/>
              <w:rPr>
                <w:rFonts w:eastAsia="Times New Roman"/>
                <w:color w:val="000000"/>
                <w:sz w:val="20"/>
                <w:szCs w:val="20"/>
                <w:lang w:eastAsia="en-AU"/>
              </w:rPr>
            </w:pPr>
            <w:r w:rsidRPr="00C80DE1">
              <w:rPr>
                <w:rFonts w:eastAsia="Times New Roman"/>
                <w:color w:val="000000"/>
                <w:sz w:val="20"/>
                <w:szCs w:val="20"/>
                <w:lang w:eastAsia="en-AU"/>
              </w:rPr>
              <w:t>81</w:t>
            </w:r>
          </w:p>
        </w:tc>
      </w:tr>
    </w:tbl>
    <w:p w14:paraId="51DD0B2E" w14:textId="2E3B4DF7" w:rsidR="0000267A" w:rsidRPr="00396AFC" w:rsidRDefault="0000267A" w:rsidP="00396AFC">
      <w:pPr>
        <w:spacing w:line="240" w:lineRule="auto"/>
        <w:rPr>
          <w:sz w:val="20"/>
          <w:szCs w:val="20"/>
        </w:rPr>
      </w:pPr>
      <w:r w:rsidRPr="00396AFC">
        <w:rPr>
          <w:sz w:val="20"/>
          <w:szCs w:val="20"/>
        </w:rPr>
        <w:t>Source:  Parents &amp; Carers Satisfaction Surveys</w:t>
      </w:r>
      <w:r w:rsidR="00C80DE1">
        <w:rPr>
          <w:sz w:val="20"/>
          <w:szCs w:val="20"/>
        </w:rPr>
        <w:t xml:space="preserve"> (average across 14 common items)</w:t>
      </w:r>
    </w:p>
    <w:p w14:paraId="672396FD" w14:textId="77777777" w:rsidR="00C80DE1" w:rsidRDefault="00C80DE1" w:rsidP="00017064">
      <w:pPr>
        <w:pStyle w:val="Heading4"/>
        <w:rPr>
          <w:lang w:val="en-AU"/>
        </w:rPr>
      </w:pPr>
    </w:p>
    <w:p w14:paraId="34BEC06F" w14:textId="77777777" w:rsidR="00C80DE1" w:rsidRDefault="00C80DE1" w:rsidP="00017064">
      <w:pPr>
        <w:pStyle w:val="Heading4"/>
        <w:rPr>
          <w:lang w:val="en-AU"/>
        </w:rPr>
      </w:pPr>
    </w:p>
    <w:p w14:paraId="600A5B61" w14:textId="5B645FDE" w:rsidR="00332194" w:rsidRPr="00017064" w:rsidRDefault="00017064" w:rsidP="00017064">
      <w:pPr>
        <w:pStyle w:val="Heading4"/>
        <w:rPr>
          <w:lang w:val="en-AU"/>
        </w:rPr>
      </w:pPr>
      <w:r>
        <w:rPr>
          <w:lang w:val="en-AU"/>
        </w:rPr>
        <w:lastRenderedPageBreak/>
        <w:t>Discussion</w:t>
      </w:r>
    </w:p>
    <w:p w14:paraId="5DE2B0A6" w14:textId="3AE5B1CD" w:rsidR="00332194" w:rsidRDefault="00332194" w:rsidP="00332194">
      <w:pPr>
        <w:pStyle w:val="BodyText"/>
        <w:rPr>
          <w:lang w:val="en-AU" w:eastAsia="en-US"/>
        </w:rPr>
      </w:pPr>
      <w:r>
        <w:rPr>
          <w:lang w:val="en-AU" w:eastAsia="en-US"/>
        </w:rPr>
        <w:t>The two Key Improvement Strategies list against this priority in 201</w:t>
      </w:r>
      <w:r w:rsidR="00C80DE1">
        <w:rPr>
          <w:lang w:val="en-AU" w:eastAsia="en-US"/>
        </w:rPr>
        <w:t>8</w:t>
      </w:r>
      <w:r>
        <w:rPr>
          <w:lang w:val="en-AU" w:eastAsia="en-US"/>
        </w:rPr>
        <w:t xml:space="preserve"> were  </w:t>
      </w:r>
    </w:p>
    <w:p w14:paraId="11C6226F" w14:textId="77777777" w:rsidR="00B46192" w:rsidRDefault="00B46192" w:rsidP="00B46192">
      <w:pPr>
        <w:pStyle w:val="ListParagraph"/>
        <w:numPr>
          <w:ilvl w:val="0"/>
          <w:numId w:val="16"/>
        </w:numPr>
      </w:pPr>
      <w:r>
        <w:t>KIS 10:  Build authentic extensions of our reach back into our high schools and forward to our alumni</w:t>
      </w:r>
    </w:p>
    <w:p w14:paraId="7923C441" w14:textId="77777777" w:rsidR="00B46192" w:rsidRDefault="00B46192" w:rsidP="00B46192">
      <w:pPr>
        <w:pStyle w:val="ListParagraph"/>
        <w:numPr>
          <w:ilvl w:val="0"/>
          <w:numId w:val="16"/>
        </w:numPr>
      </w:pPr>
      <w:r>
        <w:t xml:space="preserve">KIS 12:  Create partnerships with other education and training institutions, industry and community organisations to strengthen our student pathways </w:t>
      </w:r>
    </w:p>
    <w:p w14:paraId="6EEE0024" w14:textId="77777777" w:rsidR="001364F7" w:rsidRDefault="001364F7" w:rsidP="00D535E5"/>
    <w:p w14:paraId="0FB25E93" w14:textId="0C91AFA3" w:rsidR="00A537BF" w:rsidRDefault="001364F7" w:rsidP="00D535E5">
      <w:r>
        <w:t xml:space="preserve">The college led the southside </w:t>
      </w:r>
      <w:r w:rsidR="00A537BF">
        <w:t>schools’</w:t>
      </w:r>
      <w:r>
        <w:t xml:space="preserve"> transitions program in 2018, </w:t>
      </w:r>
      <w:r w:rsidR="00A537BF">
        <w:t>giving added focus on the efforts of staff in reaching back to high schools and tailoring transition programs.  The intent was to run workshops for students on ‘college readiness’ traits, although this did not eventuate due to the staffing challenges experienced.</w:t>
      </w:r>
    </w:p>
    <w:p w14:paraId="5AEA4504" w14:textId="77777777" w:rsidR="00A537BF" w:rsidRDefault="00A537BF" w:rsidP="00D535E5"/>
    <w:p w14:paraId="0EB7DD19" w14:textId="17D94C37" w:rsidR="00D535E5" w:rsidRDefault="00A537BF" w:rsidP="00D535E5">
      <w:r>
        <w:t xml:space="preserve">The college alumni presence was a very positive initiative, resulting in a Facebook page for past students.  The staff member who coordinated this work focused questions to allow for the collation of strong stories of connection and ongoing contribution.  It is planned to use the messages of past students in the orientation program at the start of 2019. </w:t>
      </w:r>
      <w:r w:rsidR="001364F7">
        <w:t xml:space="preserve">  </w:t>
      </w:r>
      <w:r>
        <w:t>A series of guest speaking sessions were held whereby alumni shared their post-college experiences with current students.</w:t>
      </w:r>
    </w:p>
    <w:p w14:paraId="33C1E621" w14:textId="78D994E2" w:rsidR="00B97060" w:rsidRDefault="00B97060" w:rsidP="008841D3"/>
    <w:p w14:paraId="7D97B145" w14:textId="367A4973" w:rsidR="00D535E5" w:rsidRDefault="00A537BF" w:rsidP="008841D3">
      <w:r>
        <w:t xml:space="preserve">Ongoing efforts related to the Registered Training Organisation ensured strong partnering opportunities with outside agencies and trainers.  </w:t>
      </w:r>
    </w:p>
    <w:p w14:paraId="2B04F6D6" w14:textId="77777777" w:rsidR="00396AFC" w:rsidRDefault="00396AFC" w:rsidP="00396AFC">
      <w:pPr>
        <w:spacing w:line="240" w:lineRule="auto"/>
        <w:rPr>
          <w:sz w:val="20"/>
          <w:szCs w:val="20"/>
        </w:rPr>
      </w:pPr>
    </w:p>
    <w:p w14:paraId="6D22DFC6" w14:textId="24A0801E" w:rsidR="00434310" w:rsidRPr="00017064" w:rsidRDefault="00017064" w:rsidP="00017064">
      <w:pPr>
        <w:pStyle w:val="Heading4"/>
        <w:rPr>
          <w:lang w:val="en-AU"/>
        </w:rPr>
      </w:pPr>
      <w:r w:rsidRPr="00017064">
        <w:rPr>
          <w:lang w:val="en-AU"/>
        </w:rPr>
        <w:t>Analysis</w:t>
      </w:r>
    </w:p>
    <w:p w14:paraId="64A6C304" w14:textId="26C1767A" w:rsidR="0037706B" w:rsidRDefault="0037706B" w:rsidP="008841D3">
      <w:r>
        <w:t>Generally, incoming students reported strong satisfaction levels at their induction to college although their academic performance in the first semester of college suggests the need for more nuanced and personalised transition strategies. Evaluation of these two indicators suggest that by the time of the settling survey, students have experienced the challenges of college workload and requirements, as distinct from the increased personal freedoms.  This speaks to working more closely with high school</w:t>
      </w:r>
      <w:r w:rsidR="00DC1550">
        <w:t xml:space="preserve"> colleagues</w:t>
      </w:r>
      <w:r>
        <w:t xml:space="preserve"> on </w:t>
      </w:r>
      <w:r w:rsidR="00DC1550">
        <w:t xml:space="preserve">curriculum and assessment continuity; and with incoming students on </w:t>
      </w:r>
      <w:r>
        <w:t>time management, self-direction and stress management skills</w:t>
      </w:r>
      <w:r w:rsidR="00DC1550">
        <w:t>.  I</w:t>
      </w:r>
      <w:r>
        <w:t xml:space="preserve">t also speaks to the need for extended transition activities and interventions once students join the college. </w:t>
      </w:r>
    </w:p>
    <w:p w14:paraId="237D079C" w14:textId="77777777" w:rsidR="00DC1550" w:rsidRDefault="00DC1550" w:rsidP="008841D3"/>
    <w:p w14:paraId="5CBA815F" w14:textId="6E0A2BDB" w:rsidR="00DC1550" w:rsidRDefault="00A537BF" w:rsidP="008841D3">
      <w:r>
        <w:t xml:space="preserve">In 2018, </w:t>
      </w:r>
      <w:r w:rsidRPr="001364F7">
        <w:t>24 percent</w:t>
      </w:r>
      <w:r>
        <w:t xml:space="preserve"> of all students engaged in learning in an employment or career setting.  This overall figure accounts for commitments to Work Experience (WEX) by our students, as well as strong student engagement with Australian School-Based Apprenticeships (ASBAs). </w:t>
      </w:r>
      <w:r w:rsidR="0037706B">
        <w:t xml:space="preserve">Again, because of the very high rates of part-time work being undertaken by our students, we continue to be challenged to expand WEX. </w:t>
      </w:r>
    </w:p>
    <w:p w14:paraId="17416B4B" w14:textId="77777777" w:rsidR="00DC1550" w:rsidRDefault="00DC1550" w:rsidP="008841D3"/>
    <w:p w14:paraId="653886E1" w14:textId="0D10AA64" w:rsidR="00434310" w:rsidRPr="008841D3" w:rsidRDefault="00DC1550" w:rsidP="008841D3">
      <w:pPr>
        <w:rPr>
          <w:lang w:val="en-US"/>
        </w:rPr>
      </w:pPr>
      <w:r>
        <w:t>The reconfiguration of careers and transition services into Connect Central served to focus student engagement and to make accessibility easy for them.  Although there were challenges in continuity of approach due to staff changes, the services remained well received by students. The long-term goal of College Life was to co-locate key service teams in pavilion 6.  It became clear through 2018 that the dislocation between Connect Central and the rest of College Life was preventing more holistic service delivery.  The full relocation and integration were announced at the end of 2018.</w:t>
      </w:r>
    </w:p>
    <w:sectPr w:rsidR="00434310" w:rsidRPr="008841D3" w:rsidSect="00A003A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1FBBC6" w14:textId="77777777" w:rsidR="00EC2571" w:rsidRDefault="00EC2571" w:rsidP="00BE27A0">
      <w:pPr>
        <w:spacing w:line="240" w:lineRule="auto"/>
      </w:pPr>
      <w:r>
        <w:separator/>
      </w:r>
    </w:p>
  </w:endnote>
  <w:endnote w:type="continuationSeparator" w:id="0">
    <w:p w14:paraId="12FE18AC" w14:textId="77777777" w:rsidR="00EC2571" w:rsidRDefault="00EC2571" w:rsidP="00BE27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0030051"/>
      <w:docPartObj>
        <w:docPartGallery w:val="Page Numbers (Bottom of Page)"/>
        <w:docPartUnique/>
      </w:docPartObj>
    </w:sdtPr>
    <w:sdtEndPr>
      <w:rPr>
        <w:noProof/>
      </w:rPr>
    </w:sdtEndPr>
    <w:sdtContent>
      <w:p w14:paraId="033B9591" w14:textId="19A75CFE" w:rsidR="00AE3FD8" w:rsidRDefault="00AE3FD8" w:rsidP="00820E01">
        <w:pPr>
          <w:pStyle w:val="Footer"/>
          <w:jc w:val="center"/>
        </w:pPr>
        <w:r>
          <w:t xml:space="preserve">Page | </w:t>
        </w:r>
        <w:r>
          <w:fldChar w:fldCharType="begin"/>
        </w:r>
        <w:r>
          <w:instrText xml:space="preserve"> PAGE   \* MERGEFORMAT </w:instrText>
        </w:r>
        <w:r>
          <w:fldChar w:fldCharType="separate"/>
        </w:r>
        <w:r>
          <w:rPr>
            <w:noProof/>
          </w:rPr>
          <w:t>7</w:t>
        </w:r>
        <w:r>
          <w:rPr>
            <w:noProof/>
          </w:rPr>
          <w:fldChar w:fldCharType="end"/>
        </w:r>
      </w:p>
    </w:sdtContent>
  </w:sdt>
  <w:p w14:paraId="1FE591B4" w14:textId="77777777" w:rsidR="00AE3FD8" w:rsidRDefault="00AE3FD8" w:rsidP="00410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902A7" w14:textId="77777777" w:rsidR="00EC2571" w:rsidRDefault="00EC2571" w:rsidP="00BE27A0">
      <w:pPr>
        <w:spacing w:line="240" w:lineRule="auto"/>
      </w:pPr>
      <w:r>
        <w:separator/>
      </w:r>
    </w:p>
  </w:footnote>
  <w:footnote w:type="continuationSeparator" w:id="0">
    <w:p w14:paraId="61B05EEA" w14:textId="77777777" w:rsidR="00EC2571" w:rsidRDefault="00EC2571" w:rsidP="00BE27A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FA0E2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4A51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FCBA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AE7C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F297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FA07F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C2067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74D7AE"/>
    <w:lvl w:ilvl="0">
      <w:numFmt w:val="bullet"/>
      <w:pStyle w:val="ListBullet2"/>
      <w:lvlText w:val="&gt;"/>
      <w:lvlJc w:val="left"/>
      <w:pPr>
        <w:ind w:left="643" w:hanging="360"/>
      </w:pPr>
      <w:rPr>
        <w:rFonts w:ascii="Calibri" w:eastAsiaTheme="minorHAnsi" w:hAnsi="Calibri" w:cstheme="minorBidi" w:hint="default"/>
      </w:rPr>
    </w:lvl>
  </w:abstractNum>
  <w:abstractNum w:abstractNumId="8" w15:restartNumberingAfterBreak="0">
    <w:nsid w:val="FFFFFF88"/>
    <w:multiLevelType w:val="singleLevel"/>
    <w:tmpl w:val="4BCAF0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A98DC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946EBF"/>
    <w:multiLevelType w:val="hybridMultilevel"/>
    <w:tmpl w:val="C3901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A4698F"/>
    <w:multiLevelType w:val="hybridMultilevel"/>
    <w:tmpl w:val="288E235A"/>
    <w:lvl w:ilvl="0" w:tplc="74AA04E4">
      <w:start w:val="1"/>
      <w:numFmt w:val="bullet"/>
      <w:pStyle w:val="List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2A85EFB"/>
    <w:multiLevelType w:val="hybridMultilevel"/>
    <w:tmpl w:val="07C46D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7FC50E7"/>
    <w:multiLevelType w:val="hybridMultilevel"/>
    <w:tmpl w:val="E6AE3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8697A8A"/>
    <w:multiLevelType w:val="hybridMultilevel"/>
    <w:tmpl w:val="B1F20F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05850B8"/>
    <w:multiLevelType w:val="hybridMultilevel"/>
    <w:tmpl w:val="C3DC6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322A10"/>
    <w:multiLevelType w:val="hybridMultilevel"/>
    <w:tmpl w:val="B73E60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 w:numId="14">
    <w:abstractNumId w:val="16"/>
  </w:num>
  <w:num w:numId="15">
    <w:abstractNumId w:val="15"/>
  </w:num>
  <w:num w:numId="16">
    <w:abstractNumId w:val="12"/>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D2E"/>
    <w:rsid w:val="0000267A"/>
    <w:rsid w:val="00017064"/>
    <w:rsid w:val="0002157B"/>
    <w:rsid w:val="00033EF6"/>
    <w:rsid w:val="000443D7"/>
    <w:rsid w:val="00047BEC"/>
    <w:rsid w:val="000639C7"/>
    <w:rsid w:val="00073C05"/>
    <w:rsid w:val="00075871"/>
    <w:rsid w:val="000A7FDD"/>
    <w:rsid w:val="000C33F1"/>
    <w:rsid w:val="000D5BEC"/>
    <w:rsid w:val="00105769"/>
    <w:rsid w:val="00110CA5"/>
    <w:rsid w:val="001205F6"/>
    <w:rsid w:val="001225DA"/>
    <w:rsid w:val="001364F7"/>
    <w:rsid w:val="00137EFB"/>
    <w:rsid w:val="00154AB1"/>
    <w:rsid w:val="001619BA"/>
    <w:rsid w:val="0016711F"/>
    <w:rsid w:val="001677C0"/>
    <w:rsid w:val="0017235F"/>
    <w:rsid w:val="00193584"/>
    <w:rsid w:val="001B0088"/>
    <w:rsid w:val="001C224C"/>
    <w:rsid w:val="001E7B01"/>
    <w:rsid w:val="001F5E7B"/>
    <w:rsid w:val="001F7100"/>
    <w:rsid w:val="002471F7"/>
    <w:rsid w:val="002537B0"/>
    <w:rsid w:val="0025473A"/>
    <w:rsid w:val="002576D6"/>
    <w:rsid w:val="002636B7"/>
    <w:rsid w:val="00272B13"/>
    <w:rsid w:val="0027615F"/>
    <w:rsid w:val="0028037B"/>
    <w:rsid w:val="00282FFD"/>
    <w:rsid w:val="002979B7"/>
    <w:rsid w:val="002A48FA"/>
    <w:rsid w:val="002C05EF"/>
    <w:rsid w:val="002C310E"/>
    <w:rsid w:val="002E3232"/>
    <w:rsid w:val="002E4595"/>
    <w:rsid w:val="002E5D96"/>
    <w:rsid w:val="002E799F"/>
    <w:rsid w:val="002F1C1A"/>
    <w:rsid w:val="002F689B"/>
    <w:rsid w:val="00300DE6"/>
    <w:rsid w:val="00305197"/>
    <w:rsid w:val="00325822"/>
    <w:rsid w:val="00332194"/>
    <w:rsid w:val="00360BAE"/>
    <w:rsid w:val="003659B3"/>
    <w:rsid w:val="00366436"/>
    <w:rsid w:val="00370BBF"/>
    <w:rsid w:val="0037706B"/>
    <w:rsid w:val="0038074C"/>
    <w:rsid w:val="00390A3E"/>
    <w:rsid w:val="00396AFC"/>
    <w:rsid w:val="003B03BE"/>
    <w:rsid w:val="003B163D"/>
    <w:rsid w:val="003B3E36"/>
    <w:rsid w:val="003C05B8"/>
    <w:rsid w:val="003C7B83"/>
    <w:rsid w:val="003E22DD"/>
    <w:rsid w:val="003F4B19"/>
    <w:rsid w:val="00401824"/>
    <w:rsid w:val="00410177"/>
    <w:rsid w:val="00427C10"/>
    <w:rsid w:val="00434310"/>
    <w:rsid w:val="00443098"/>
    <w:rsid w:val="004436F1"/>
    <w:rsid w:val="00444758"/>
    <w:rsid w:val="00450B2F"/>
    <w:rsid w:val="00455823"/>
    <w:rsid w:val="00481F3B"/>
    <w:rsid w:val="00482F34"/>
    <w:rsid w:val="00486B15"/>
    <w:rsid w:val="00496621"/>
    <w:rsid w:val="004A1AB8"/>
    <w:rsid w:val="004C6048"/>
    <w:rsid w:val="004F397F"/>
    <w:rsid w:val="004F7925"/>
    <w:rsid w:val="00502089"/>
    <w:rsid w:val="00515C02"/>
    <w:rsid w:val="00540EFE"/>
    <w:rsid w:val="005459E6"/>
    <w:rsid w:val="00546DA0"/>
    <w:rsid w:val="00551484"/>
    <w:rsid w:val="005516B2"/>
    <w:rsid w:val="005647F9"/>
    <w:rsid w:val="0057497E"/>
    <w:rsid w:val="005843F2"/>
    <w:rsid w:val="00594C35"/>
    <w:rsid w:val="00595B80"/>
    <w:rsid w:val="005B53FF"/>
    <w:rsid w:val="0061121A"/>
    <w:rsid w:val="006126C2"/>
    <w:rsid w:val="00613E48"/>
    <w:rsid w:val="006178A5"/>
    <w:rsid w:val="00622EC8"/>
    <w:rsid w:val="00634072"/>
    <w:rsid w:val="006459EE"/>
    <w:rsid w:val="0064777A"/>
    <w:rsid w:val="00662881"/>
    <w:rsid w:val="00677C46"/>
    <w:rsid w:val="00681220"/>
    <w:rsid w:val="006924E9"/>
    <w:rsid w:val="00692DF0"/>
    <w:rsid w:val="006A4357"/>
    <w:rsid w:val="006D4174"/>
    <w:rsid w:val="006F45C9"/>
    <w:rsid w:val="00713C79"/>
    <w:rsid w:val="00716FED"/>
    <w:rsid w:val="00720B16"/>
    <w:rsid w:val="00725868"/>
    <w:rsid w:val="00730339"/>
    <w:rsid w:val="007355B1"/>
    <w:rsid w:val="00735D3C"/>
    <w:rsid w:val="007474CE"/>
    <w:rsid w:val="00752882"/>
    <w:rsid w:val="00756050"/>
    <w:rsid w:val="00760A50"/>
    <w:rsid w:val="00764EB5"/>
    <w:rsid w:val="0077097B"/>
    <w:rsid w:val="007967D2"/>
    <w:rsid w:val="007B1EC7"/>
    <w:rsid w:val="007D36B1"/>
    <w:rsid w:val="007E10C8"/>
    <w:rsid w:val="007E1190"/>
    <w:rsid w:val="007E37D6"/>
    <w:rsid w:val="007E749D"/>
    <w:rsid w:val="007F5D4D"/>
    <w:rsid w:val="00804ACA"/>
    <w:rsid w:val="00820E01"/>
    <w:rsid w:val="008238EA"/>
    <w:rsid w:val="00827259"/>
    <w:rsid w:val="00831819"/>
    <w:rsid w:val="008324B9"/>
    <w:rsid w:val="008465C1"/>
    <w:rsid w:val="00856D8E"/>
    <w:rsid w:val="00863D6B"/>
    <w:rsid w:val="00871E02"/>
    <w:rsid w:val="008731B9"/>
    <w:rsid w:val="00873B88"/>
    <w:rsid w:val="008841D3"/>
    <w:rsid w:val="008D63C3"/>
    <w:rsid w:val="008D67D8"/>
    <w:rsid w:val="008E44EF"/>
    <w:rsid w:val="008E4A92"/>
    <w:rsid w:val="008F6A00"/>
    <w:rsid w:val="008F6D2E"/>
    <w:rsid w:val="00900FDC"/>
    <w:rsid w:val="00906FD5"/>
    <w:rsid w:val="00914B7D"/>
    <w:rsid w:val="0092648D"/>
    <w:rsid w:val="00926BE8"/>
    <w:rsid w:val="00941C9B"/>
    <w:rsid w:val="00943C57"/>
    <w:rsid w:val="00943DA1"/>
    <w:rsid w:val="00951C35"/>
    <w:rsid w:val="00955BC3"/>
    <w:rsid w:val="0096285F"/>
    <w:rsid w:val="009734D3"/>
    <w:rsid w:val="00974703"/>
    <w:rsid w:val="009876DA"/>
    <w:rsid w:val="00997B53"/>
    <w:rsid w:val="009A1213"/>
    <w:rsid w:val="009B7256"/>
    <w:rsid w:val="009D5F85"/>
    <w:rsid w:val="009D7936"/>
    <w:rsid w:val="00A003A0"/>
    <w:rsid w:val="00A07FD7"/>
    <w:rsid w:val="00A20F6F"/>
    <w:rsid w:val="00A21DD5"/>
    <w:rsid w:val="00A30B32"/>
    <w:rsid w:val="00A42F6D"/>
    <w:rsid w:val="00A4783B"/>
    <w:rsid w:val="00A537BF"/>
    <w:rsid w:val="00A56CCF"/>
    <w:rsid w:val="00A6151C"/>
    <w:rsid w:val="00A76F1D"/>
    <w:rsid w:val="00AA1A91"/>
    <w:rsid w:val="00AA391C"/>
    <w:rsid w:val="00AD110E"/>
    <w:rsid w:val="00AE3FD8"/>
    <w:rsid w:val="00AE79E9"/>
    <w:rsid w:val="00B24E21"/>
    <w:rsid w:val="00B2720D"/>
    <w:rsid w:val="00B428A3"/>
    <w:rsid w:val="00B43D35"/>
    <w:rsid w:val="00B46192"/>
    <w:rsid w:val="00B50816"/>
    <w:rsid w:val="00B56E20"/>
    <w:rsid w:val="00B5742E"/>
    <w:rsid w:val="00B700A3"/>
    <w:rsid w:val="00B73165"/>
    <w:rsid w:val="00B9538F"/>
    <w:rsid w:val="00B97060"/>
    <w:rsid w:val="00BD1070"/>
    <w:rsid w:val="00BD5F11"/>
    <w:rsid w:val="00BD5F64"/>
    <w:rsid w:val="00BE27A0"/>
    <w:rsid w:val="00BE4A52"/>
    <w:rsid w:val="00BE564F"/>
    <w:rsid w:val="00C114E8"/>
    <w:rsid w:val="00C11D69"/>
    <w:rsid w:val="00C1592B"/>
    <w:rsid w:val="00C31B96"/>
    <w:rsid w:val="00C35789"/>
    <w:rsid w:val="00C447BE"/>
    <w:rsid w:val="00C44B9F"/>
    <w:rsid w:val="00C568AF"/>
    <w:rsid w:val="00C80DE1"/>
    <w:rsid w:val="00C8476A"/>
    <w:rsid w:val="00C9468A"/>
    <w:rsid w:val="00C94F8A"/>
    <w:rsid w:val="00CA1696"/>
    <w:rsid w:val="00CC675D"/>
    <w:rsid w:val="00CC68A3"/>
    <w:rsid w:val="00CC7B93"/>
    <w:rsid w:val="00CD5632"/>
    <w:rsid w:val="00CF4138"/>
    <w:rsid w:val="00D02B80"/>
    <w:rsid w:val="00D278EE"/>
    <w:rsid w:val="00D3347A"/>
    <w:rsid w:val="00D41CB7"/>
    <w:rsid w:val="00D535E5"/>
    <w:rsid w:val="00D65638"/>
    <w:rsid w:val="00D700C9"/>
    <w:rsid w:val="00D7403E"/>
    <w:rsid w:val="00D74776"/>
    <w:rsid w:val="00D97E2C"/>
    <w:rsid w:val="00DA73FA"/>
    <w:rsid w:val="00DB69AA"/>
    <w:rsid w:val="00DC1550"/>
    <w:rsid w:val="00DF5239"/>
    <w:rsid w:val="00DF6052"/>
    <w:rsid w:val="00E14542"/>
    <w:rsid w:val="00E14959"/>
    <w:rsid w:val="00E32D20"/>
    <w:rsid w:val="00E35300"/>
    <w:rsid w:val="00E3732E"/>
    <w:rsid w:val="00E444C7"/>
    <w:rsid w:val="00E5313A"/>
    <w:rsid w:val="00E600E4"/>
    <w:rsid w:val="00E72C23"/>
    <w:rsid w:val="00E73FC3"/>
    <w:rsid w:val="00E85652"/>
    <w:rsid w:val="00EA1668"/>
    <w:rsid w:val="00EA2293"/>
    <w:rsid w:val="00EA2918"/>
    <w:rsid w:val="00EA5C81"/>
    <w:rsid w:val="00EB2FD9"/>
    <w:rsid w:val="00EB71F6"/>
    <w:rsid w:val="00EC2571"/>
    <w:rsid w:val="00EC6BB0"/>
    <w:rsid w:val="00ED360E"/>
    <w:rsid w:val="00ED470E"/>
    <w:rsid w:val="00EE69E3"/>
    <w:rsid w:val="00EE7F54"/>
    <w:rsid w:val="00F00CEF"/>
    <w:rsid w:val="00F04668"/>
    <w:rsid w:val="00F0621A"/>
    <w:rsid w:val="00F13379"/>
    <w:rsid w:val="00F44C89"/>
    <w:rsid w:val="00F52E3C"/>
    <w:rsid w:val="00F638C0"/>
    <w:rsid w:val="00F8264F"/>
    <w:rsid w:val="00F864DF"/>
    <w:rsid w:val="00FB0ACA"/>
    <w:rsid w:val="00FB0ED6"/>
    <w:rsid w:val="00FB2382"/>
    <w:rsid w:val="00FB7ECF"/>
    <w:rsid w:val="00FE16A9"/>
    <w:rsid w:val="00FE3AAA"/>
    <w:rsid w:val="00FF0D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47584"/>
  <w15:docId w15:val="{38D7819F-6225-442A-BB9A-52C50ABBB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D5632"/>
    <w:pPr>
      <w:spacing w:line="276" w:lineRule="auto"/>
    </w:pPr>
    <w:rPr>
      <w:sz w:val="22"/>
      <w:szCs w:val="22"/>
      <w:lang w:eastAsia="en-US"/>
    </w:rPr>
  </w:style>
  <w:style w:type="paragraph" w:styleId="Heading1">
    <w:name w:val="heading 1"/>
    <w:next w:val="BodyText"/>
    <w:link w:val="Heading1Char"/>
    <w:uiPriority w:val="1"/>
    <w:qFormat/>
    <w:rsid w:val="00CD5632"/>
    <w:pPr>
      <w:keepNext/>
      <w:keepLines/>
      <w:pBdr>
        <w:bottom w:val="single" w:sz="4" w:space="1" w:color="auto"/>
      </w:pBdr>
      <w:spacing w:before="360" w:after="240"/>
      <w:outlineLvl w:val="0"/>
    </w:pPr>
    <w:rPr>
      <w:rFonts w:ascii="Arial" w:eastAsia="Times New Roman" w:hAnsi="Arial" w:cs="Arial"/>
      <w:bCs/>
      <w:color w:val="000000" w:themeColor="text1"/>
      <w:sz w:val="32"/>
      <w:szCs w:val="28"/>
      <w:lang w:val="x-none" w:eastAsia="x-none"/>
    </w:rPr>
  </w:style>
  <w:style w:type="paragraph" w:styleId="Heading2">
    <w:name w:val="heading 2"/>
    <w:next w:val="BodyText"/>
    <w:link w:val="Heading2Char"/>
    <w:uiPriority w:val="9"/>
    <w:unhideWhenUsed/>
    <w:qFormat/>
    <w:rsid w:val="00E14542"/>
    <w:pPr>
      <w:spacing w:before="360" w:after="120"/>
      <w:outlineLvl w:val="1"/>
    </w:pPr>
    <w:rPr>
      <w:rFonts w:ascii="Arial" w:eastAsia="Times New Roman" w:hAnsi="Arial" w:cs="Arial"/>
      <w:bCs/>
      <w:color w:val="000000" w:themeColor="text1"/>
      <w:sz w:val="32"/>
      <w:szCs w:val="28"/>
      <w:lang w:val="x-none" w:eastAsia="x-none"/>
    </w:rPr>
  </w:style>
  <w:style w:type="paragraph" w:styleId="Heading3">
    <w:name w:val="heading 3"/>
    <w:next w:val="BodyText"/>
    <w:link w:val="Heading3Char"/>
    <w:uiPriority w:val="9"/>
    <w:unhideWhenUsed/>
    <w:qFormat/>
    <w:rsid w:val="00E14542"/>
    <w:pPr>
      <w:spacing w:before="360" w:after="120"/>
      <w:contextualSpacing/>
      <w:outlineLvl w:val="2"/>
    </w:pPr>
    <w:rPr>
      <w:rFonts w:ascii="Arial" w:eastAsia="Times New Roman" w:hAnsi="Arial" w:cs="Arial"/>
      <w:bCs/>
      <w:color w:val="000000" w:themeColor="text1"/>
      <w:sz w:val="28"/>
      <w:szCs w:val="28"/>
      <w:lang w:val="x-none" w:eastAsia="x-none"/>
    </w:rPr>
  </w:style>
  <w:style w:type="paragraph" w:styleId="Heading4">
    <w:name w:val="heading 4"/>
    <w:next w:val="BodyText"/>
    <w:link w:val="Heading4Char"/>
    <w:uiPriority w:val="9"/>
    <w:unhideWhenUsed/>
    <w:rsid w:val="00E14542"/>
    <w:pPr>
      <w:spacing w:before="360" w:after="120"/>
      <w:outlineLvl w:val="3"/>
    </w:pPr>
    <w:rPr>
      <w:rFonts w:ascii="Arial" w:eastAsia="Times New Roman" w:hAnsi="Arial" w:cs="Arial"/>
      <w:bCs/>
      <w:color w:val="000000" w:themeColor="text1"/>
      <w:sz w:val="24"/>
      <w:szCs w:val="24"/>
      <w:lang w:val="x-none" w:eastAsia="x-none"/>
    </w:rPr>
  </w:style>
  <w:style w:type="paragraph" w:styleId="Heading5">
    <w:name w:val="heading 5"/>
    <w:next w:val="BodyText"/>
    <w:link w:val="Heading5Char"/>
    <w:uiPriority w:val="9"/>
    <w:unhideWhenUsed/>
    <w:qFormat/>
    <w:rsid w:val="00E14542"/>
    <w:pPr>
      <w:spacing w:before="360" w:after="120"/>
      <w:outlineLvl w:val="4"/>
    </w:pPr>
    <w:rPr>
      <w:rFonts w:ascii="Arial" w:eastAsia="Times New Roman" w:hAnsi="Arial" w:cs="Arial"/>
      <w:bCs/>
      <w:i/>
      <w:color w:val="000000" w:themeColor="text1"/>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CD5632"/>
    <w:rPr>
      <w:rFonts w:ascii="Arial" w:eastAsia="Times New Roman" w:hAnsi="Arial" w:cs="Arial"/>
      <w:bCs/>
      <w:color w:val="000000" w:themeColor="text1"/>
      <w:sz w:val="32"/>
      <w:szCs w:val="28"/>
      <w:lang w:val="x-none" w:eastAsia="x-none"/>
    </w:rPr>
  </w:style>
  <w:style w:type="character" w:customStyle="1" w:styleId="Heading2Char">
    <w:name w:val="Heading 2 Char"/>
    <w:link w:val="Heading2"/>
    <w:uiPriority w:val="9"/>
    <w:rsid w:val="00E14542"/>
    <w:rPr>
      <w:rFonts w:ascii="Arial" w:eastAsia="Times New Roman" w:hAnsi="Arial" w:cs="Arial"/>
      <w:bCs/>
      <w:color w:val="000000" w:themeColor="text1"/>
      <w:sz w:val="32"/>
      <w:szCs w:val="28"/>
      <w:lang w:val="x-none" w:eastAsia="x-none"/>
    </w:rPr>
  </w:style>
  <w:style w:type="character" w:styleId="Strong">
    <w:name w:val="Strong"/>
    <w:uiPriority w:val="22"/>
    <w:qFormat/>
    <w:rsid w:val="003C7B83"/>
    <w:rPr>
      <w:b/>
      <w:i/>
    </w:rPr>
  </w:style>
  <w:style w:type="paragraph" w:styleId="Title">
    <w:name w:val="Title"/>
    <w:basedOn w:val="Normal"/>
    <w:next w:val="Normal"/>
    <w:link w:val="TitleChar"/>
    <w:uiPriority w:val="10"/>
    <w:qFormat/>
    <w:rsid w:val="00EA5C81"/>
    <w:pPr>
      <w:spacing w:after="360" w:line="240" w:lineRule="auto"/>
      <w:contextualSpacing/>
    </w:pPr>
    <w:rPr>
      <w:rFonts w:ascii="Arial" w:hAnsi="Arial" w:cs="Arial"/>
      <w:sz w:val="48"/>
      <w:szCs w:val="48"/>
    </w:rPr>
  </w:style>
  <w:style w:type="character" w:customStyle="1" w:styleId="TitleChar">
    <w:name w:val="Title Char"/>
    <w:link w:val="Title"/>
    <w:uiPriority w:val="10"/>
    <w:rsid w:val="00EA5C81"/>
    <w:rPr>
      <w:rFonts w:ascii="Arial" w:hAnsi="Arial" w:cs="Arial"/>
      <w:sz w:val="48"/>
      <w:szCs w:val="48"/>
      <w:lang w:eastAsia="en-US"/>
    </w:rPr>
  </w:style>
  <w:style w:type="paragraph" w:styleId="ListBullet">
    <w:name w:val="List Bullet"/>
    <w:next w:val="BodyText"/>
    <w:uiPriority w:val="99"/>
    <w:unhideWhenUsed/>
    <w:rsid w:val="00CD5632"/>
    <w:pPr>
      <w:numPr>
        <w:numId w:val="13"/>
      </w:numPr>
      <w:spacing w:after="360"/>
      <w:ind w:left="357" w:hanging="357"/>
      <w:contextualSpacing/>
    </w:pPr>
    <w:rPr>
      <w:sz w:val="22"/>
      <w:szCs w:val="22"/>
      <w:lang w:eastAsia="en-US"/>
    </w:rPr>
  </w:style>
  <w:style w:type="paragraph" w:styleId="Header">
    <w:name w:val="header"/>
    <w:basedOn w:val="Normal"/>
    <w:link w:val="HeaderChar"/>
    <w:uiPriority w:val="99"/>
    <w:unhideWhenUsed/>
    <w:rsid w:val="000443D7"/>
    <w:pPr>
      <w:tabs>
        <w:tab w:val="center" w:pos="4513"/>
        <w:tab w:val="right" w:pos="9026"/>
      </w:tabs>
      <w:spacing w:line="240" w:lineRule="auto"/>
    </w:pPr>
  </w:style>
  <w:style w:type="character" w:customStyle="1" w:styleId="HeaderChar">
    <w:name w:val="Header Char"/>
    <w:basedOn w:val="DefaultParagraphFont"/>
    <w:link w:val="Header"/>
    <w:uiPriority w:val="99"/>
    <w:rsid w:val="000443D7"/>
  </w:style>
  <w:style w:type="paragraph" w:styleId="Footer">
    <w:name w:val="footer"/>
    <w:basedOn w:val="Normal"/>
    <w:link w:val="FooterChar"/>
    <w:uiPriority w:val="99"/>
    <w:unhideWhenUsed/>
    <w:rsid w:val="00410177"/>
    <w:pPr>
      <w:tabs>
        <w:tab w:val="center" w:pos="4550"/>
        <w:tab w:val="left" w:pos="5818"/>
      </w:tabs>
      <w:ind w:right="260"/>
      <w:jc w:val="right"/>
    </w:pPr>
    <w:rPr>
      <w:rFonts w:asciiTheme="minorHAnsi" w:hAnsiTheme="minorHAnsi"/>
      <w:color w:val="767171" w:themeColor="background2" w:themeShade="80"/>
      <w:spacing w:val="20"/>
      <w:sz w:val="20"/>
      <w:szCs w:val="20"/>
    </w:rPr>
  </w:style>
  <w:style w:type="character" w:customStyle="1" w:styleId="FooterChar">
    <w:name w:val="Footer Char"/>
    <w:basedOn w:val="DefaultParagraphFont"/>
    <w:link w:val="Footer"/>
    <w:uiPriority w:val="99"/>
    <w:rsid w:val="00410177"/>
    <w:rPr>
      <w:rFonts w:asciiTheme="minorHAnsi" w:hAnsiTheme="minorHAnsi"/>
      <w:color w:val="767171" w:themeColor="background2" w:themeShade="80"/>
      <w:spacing w:val="20"/>
      <w:lang w:eastAsia="en-US"/>
    </w:rPr>
  </w:style>
  <w:style w:type="paragraph" w:styleId="BodyText">
    <w:name w:val="Body Text"/>
    <w:basedOn w:val="Normal"/>
    <w:link w:val="BodyTextChar"/>
    <w:uiPriority w:val="1"/>
    <w:qFormat/>
    <w:rsid w:val="00EA5C81"/>
    <w:pPr>
      <w:widowControl w:val="0"/>
      <w:spacing w:after="240" w:line="240" w:lineRule="auto"/>
    </w:pPr>
    <w:rPr>
      <w:rFonts w:asciiTheme="minorHAnsi" w:eastAsia="Times New Roman" w:hAnsiTheme="minorHAnsi"/>
      <w:lang w:val="en-US" w:eastAsia="x-none"/>
    </w:rPr>
  </w:style>
  <w:style w:type="character" w:customStyle="1" w:styleId="BodyTextChar">
    <w:name w:val="Body Text Char"/>
    <w:link w:val="BodyText"/>
    <w:uiPriority w:val="1"/>
    <w:rsid w:val="00EA5C81"/>
    <w:rPr>
      <w:rFonts w:asciiTheme="minorHAnsi" w:eastAsia="Times New Roman" w:hAnsiTheme="minorHAnsi"/>
      <w:sz w:val="22"/>
      <w:szCs w:val="22"/>
      <w:lang w:val="en-US" w:eastAsia="x-none"/>
    </w:rPr>
  </w:style>
  <w:style w:type="paragraph" w:styleId="BalloonText">
    <w:name w:val="Balloon Text"/>
    <w:basedOn w:val="Normal"/>
    <w:link w:val="BalloonTextChar"/>
    <w:uiPriority w:val="99"/>
    <w:semiHidden/>
    <w:unhideWhenUsed/>
    <w:rsid w:val="00C35789"/>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35789"/>
    <w:rPr>
      <w:rFonts w:ascii="Tahoma" w:eastAsiaTheme="minorHAnsi" w:hAnsi="Tahoma" w:cs="Tahoma"/>
      <w:sz w:val="16"/>
      <w:szCs w:val="16"/>
      <w:lang w:eastAsia="en-US"/>
    </w:rPr>
  </w:style>
  <w:style w:type="character" w:styleId="PlaceholderText">
    <w:name w:val="Placeholder Text"/>
    <w:basedOn w:val="DefaultParagraphFont"/>
    <w:uiPriority w:val="99"/>
    <w:semiHidden/>
    <w:rsid w:val="00C35789"/>
    <w:rPr>
      <w:color w:val="808080"/>
    </w:rPr>
  </w:style>
  <w:style w:type="character" w:customStyle="1" w:styleId="Heading3Char">
    <w:name w:val="Heading 3 Char"/>
    <w:basedOn w:val="DefaultParagraphFont"/>
    <w:link w:val="Heading3"/>
    <w:uiPriority w:val="9"/>
    <w:rsid w:val="00E14542"/>
    <w:rPr>
      <w:rFonts w:ascii="Arial" w:eastAsia="Times New Roman" w:hAnsi="Arial" w:cs="Arial"/>
      <w:bCs/>
      <w:color w:val="000000" w:themeColor="text1"/>
      <w:sz w:val="28"/>
      <w:szCs w:val="28"/>
      <w:lang w:val="x-none" w:eastAsia="x-none"/>
    </w:rPr>
  </w:style>
  <w:style w:type="paragraph" w:customStyle="1" w:styleId="TableHeading">
    <w:name w:val="Table Heading"/>
    <w:rsid w:val="00735D3C"/>
    <w:pPr>
      <w:spacing w:after="120"/>
    </w:pPr>
    <w:rPr>
      <w:rFonts w:ascii="Arial" w:hAnsi="Arial"/>
      <w:b/>
      <w:i/>
      <w:sz w:val="22"/>
      <w:szCs w:val="22"/>
      <w:lang w:eastAsia="en-US"/>
    </w:rPr>
  </w:style>
  <w:style w:type="paragraph" w:styleId="Caption">
    <w:name w:val="caption"/>
    <w:next w:val="BodyText"/>
    <w:uiPriority w:val="35"/>
    <w:unhideWhenUsed/>
    <w:qFormat/>
    <w:rsid w:val="00926BE8"/>
    <w:pPr>
      <w:spacing w:after="200"/>
    </w:pPr>
    <w:rPr>
      <w:iCs/>
      <w:color w:val="000000" w:themeColor="text1"/>
      <w:sz w:val="18"/>
      <w:szCs w:val="18"/>
      <w:lang w:eastAsia="en-US"/>
    </w:rPr>
  </w:style>
  <w:style w:type="paragraph" w:styleId="ListBullet2">
    <w:name w:val="List Bullet 2"/>
    <w:basedOn w:val="ListBullet"/>
    <w:uiPriority w:val="99"/>
    <w:unhideWhenUsed/>
    <w:rsid w:val="0016711F"/>
    <w:pPr>
      <w:numPr>
        <w:numId w:val="4"/>
      </w:numPr>
      <w:spacing w:after="120"/>
      <w:ind w:left="641" w:hanging="357"/>
    </w:pPr>
  </w:style>
  <w:style w:type="character" w:customStyle="1" w:styleId="Heading4Char">
    <w:name w:val="Heading 4 Char"/>
    <w:basedOn w:val="DefaultParagraphFont"/>
    <w:link w:val="Heading4"/>
    <w:uiPriority w:val="9"/>
    <w:rsid w:val="00E14542"/>
    <w:rPr>
      <w:rFonts w:ascii="Arial" w:eastAsia="Times New Roman" w:hAnsi="Arial" w:cs="Arial"/>
      <w:bCs/>
      <w:color w:val="000000" w:themeColor="text1"/>
      <w:sz w:val="24"/>
      <w:szCs w:val="24"/>
      <w:lang w:val="x-none" w:eastAsia="x-none"/>
    </w:rPr>
  </w:style>
  <w:style w:type="character" w:customStyle="1" w:styleId="Heading5Char">
    <w:name w:val="Heading 5 Char"/>
    <w:basedOn w:val="DefaultParagraphFont"/>
    <w:link w:val="Heading5"/>
    <w:uiPriority w:val="9"/>
    <w:rsid w:val="00E14542"/>
    <w:rPr>
      <w:rFonts w:ascii="Arial" w:eastAsia="Times New Roman" w:hAnsi="Arial" w:cs="Arial"/>
      <w:bCs/>
      <w:i/>
      <w:color w:val="000000" w:themeColor="text1"/>
      <w:sz w:val="22"/>
      <w:szCs w:val="22"/>
      <w:lang w:val="x-none" w:eastAsia="x-none"/>
    </w:rPr>
  </w:style>
  <w:style w:type="character" w:customStyle="1" w:styleId="TableHeadingChar">
    <w:name w:val="TableHeading Char"/>
    <w:link w:val="TableHeading0"/>
    <w:locked/>
    <w:rsid w:val="00F0621A"/>
    <w:rPr>
      <w:rFonts w:ascii="Arial" w:hAnsi="Arial" w:cs="Arial"/>
      <w:b/>
      <w:i/>
      <w:sz w:val="22"/>
      <w:szCs w:val="22"/>
      <w:lang w:eastAsia="en-US"/>
    </w:rPr>
  </w:style>
  <w:style w:type="paragraph" w:customStyle="1" w:styleId="TableHeading0">
    <w:name w:val="TableHeading"/>
    <w:basedOn w:val="BodyText"/>
    <w:link w:val="TableHeadingChar"/>
    <w:qFormat/>
    <w:rsid w:val="00F0621A"/>
    <w:pPr>
      <w:widowControl/>
      <w:spacing w:after="120"/>
    </w:pPr>
    <w:rPr>
      <w:rFonts w:ascii="Arial" w:eastAsia="Calibri" w:hAnsi="Arial" w:cs="Arial"/>
      <w:b/>
      <w:i/>
      <w:lang w:val="en-AU" w:eastAsia="en-US"/>
    </w:rPr>
  </w:style>
  <w:style w:type="character" w:customStyle="1" w:styleId="ListParagraphChar">
    <w:name w:val="List Paragraph Char"/>
    <w:aliases w:val="List Paragraph1 Char,Recommendation Char,List Paragraph11 Char,Content descriptions Char,Bullet point Char"/>
    <w:link w:val="ListParagraph"/>
    <w:uiPriority w:val="34"/>
    <w:locked/>
    <w:rsid w:val="004F397F"/>
    <w:rPr>
      <w:sz w:val="22"/>
      <w:szCs w:val="22"/>
      <w:lang w:val="en-US" w:eastAsia="en-US"/>
    </w:rPr>
  </w:style>
  <w:style w:type="paragraph" w:styleId="ListParagraph">
    <w:name w:val="List Paragraph"/>
    <w:aliases w:val="List Paragraph1,Recommendation,List Paragraph11,Content descriptions,Bullet point"/>
    <w:basedOn w:val="Normal"/>
    <w:link w:val="ListParagraphChar"/>
    <w:uiPriority w:val="34"/>
    <w:qFormat/>
    <w:rsid w:val="004F397F"/>
    <w:pPr>
      <w:widowControl w:val="0"/>
      <w:spacing w:line="240" w:lineRule="auto"/>
    </w:pPr>
    <w:rPr>
      <w:lang w:val="en-US"/>
    </w:rPr>
  </w:style>
  <w:style w:type="table" w:styleId="TableGrid">
    <w:name w:val="Table Grid"/>
    <w:basedOn w:val="TableNormal"/>
    <w:uiPriority w:val="59"/>
    <w:rsid w:val="0043431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510550">
      <w:bodyDiv w:val="1"/>
      <w:marLeft w:val="0"/>
      <w:marRight w:val="0"/>
      <w:marTop w:val="0"/>
      <w:marBottom w:val="0"/>
      <w:divBdr>
        <w:top w:val="none" w:sz="0" w:space="0" w:color="auto"/>
        <w:left w:val="none" w:sz="0" w:space="0" w:color="auto"/>
        <w:bottom w:val="none" w:sz="0" w:space="0" w:color="auto"/>
        <w:right w:val="none" w:sz="0" w:space="0" w:color="auto"/>
      </w:divBdr>
    </w:div>
    <w:div w:id="884564274">
      <w:bodyDiv w:val="1"/>
      <w:marLeft w:val="0"/>
      <w:marRight w:val="0"/>
      <w:marTop w:val="0"/>
      <w:marBottom w:val="0"/>
      <w:divBdr>
        <w:top w:val="none" w:sz="0" w:space="0" w:color="auto"/>
        <w:left w:val="none" w:sz="0" w:space="0" w:color="auto"/>
        <w:bottom w:val="none" w:sz="0" w:space="0" w:color="auto"/>
        <w:right w:val="none" w:sz="0" w:space="0" w:color="auto"/>
      </w:divBdr>
    </w:div>
    <w:div w:id="1098061022">
      <w:bodyDiv w:val="1"/>
      <w:marLeft w:val="0"/>
      <w:marRight w:val="0"/>
      <w:marTop w:val="0"/>
      <w:marBottom w:val="0"/>
      <w:divBdr>
        <w:top w:val="none" w:sz="0" w:space="0" w:color="auto"/>
        <w:left w:val="none" w:sz="0" w:space="0" w:color="auto"/>
        <w:bottom w:val="none" w:sz="0" w:space="0" w:color="auto"/>
        <w:right w:val="none" w:sz="0" w:space="0" w:color="auto"/>
      </w:divBdr>
    </w:div>
    <w:div w:id="1523129035">
      <w:bodyDiv w:val="1"/>
      <w:marLeft w:val="0"/>
      <w:marRight w:val="0"/>
      <w:marTop w:val="0"/>
      <w:marBottom w:val="0"/>
      <w:divBdr>
        <w:top w:val="none" w:sz="0" w:space="0" w:color="auto"/>
        <w:left w:val="none" w:sz="0" w:space="0" w:color="auto"/>
        <w:bottom w:val="none" w:sz="0" w:space="0" w:color="auto"/>
        <w:right w:val="none" w:sz="0" w:space="0" w:color="auto"/>
      </w:divBdr>
    </w:div>
    <w:div w:id="1607347340">
      <w:bodyDiv w:val="1"/>
      <w:marLeft w:val="0"/>
      <w:marRight w:val="0"/>
      <w:marTop w:val="0"/>
      <w:marBottom w:val="0"/>
      <w:divBdr>
        <w:top w:val="none" w:sz="0" w:space="0" w:color="auto"/>
        <w:left w:val="none" w:sz="0" w:space="0" w:color="auto"/>
        <w:bottom w:val="none" w:sz="0" w:space="0" w:color="auto"/>
        <w:right w:val="none" w:sz="0" w:space="0" w:color="auto"/>
      </w:divBdr>
    </w:div>
    <w:div w:id="1692023512">
      <w:bodyDiv w:val="1"/>
      <w:marLeft w:val="0"/>
      <w:marRight w:val="0"/>
      <w:marTop w:val="0"/>
      <w:marBottom w:val="0"/>
      <w:divBdr>
        <w:top w:val="none" w:sz="0" w:space="0" w:color="auto"/>
        <w:left w:val="none" w:sz="0" w:space="0" w:color="auto"/>
        <w:bottom w:val="none" w:sz="0" w:space="0" w:color="auto"/>
        <w:right w:val="none" w:sz="0" w:space="0" w:color="auto"/>
      </w:divBdr>
    </w:div>
    <w:div w:id="184913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_murkins\AppData\Local\Microsoft\Windows\Temporary%20Internet%20Files\Content.Outlook\B7EJUT1V\Annual%20Action%20Plan%20Report%20Template%20v31Oct17%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Annual Action Plan Report Template v31Oct17 (002)</Template>
  <TotalTime>0</TotalTime>
  <Pages>11</Pages>
  <Words>3818</Words>
  <Characters>21769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Annual Action Plan Report Template</vt:lpstr>
    </vt:vector>
  </TitlesOfParts>
  <Company>ACT Government</Company>
  <LinksUpToDate>false</LinksUpToDate>
  <CharactersWithSpaces>25536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Action Plan Report Template</dc:title>
  <dc:subject>Annual Action Plan and Report Template</dc:subject>
  <dc:creator>Murkins, Julie</dc:creator>
  <cp:lastModifiedBy>Murkins, Julie</cp:lastModifiedBy>
  <cp:revision>2</cp:revision>
  <cp:lastPrinted>2019-07-01T01:25:00Z</cp:lastPrinted>
  <dcterms:created xsi:type="dcterms:W3CDTF">2019-07-04T22:49:00Z</dcterms:created>
  <dcterms:modified xsi:type="dcterms:W3CDTF">2019-07-04T22:49:00Z</dcterms:modified>
</cp:coreProperties>
</file>