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4E10AEE" w:rsidR="00FE1945" w:rsidRPr="00563A3D" w:rsidRDefault="00D30844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Neville Bonner Primary School</w:t>
          </w:r>
        </w:p>
      </w:sdtContent>
    </w:sdt>
    <w:p w14:paraId="63330FCF" w14:textId="18449021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30844">
            <w:t>North Canberra/ Gungahlin</w:t>
          </w:r>
        </w:sdtContent>
      </w:sdt>
    </w:p>
    <w:p w14:paraId="38F253B0" w14:textId="27BEDAB6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54F10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47E7FE76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5FD94C56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3D16ADE" w14:textId="5B71FBE7" w:rsidR="00235222" w:rsidRPr="00235222" w:rsidRDefault="00300F72" w:rsidP="00235222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Pr="003C13B9">
        <w:t xml:space="preserve">Priority </w:t>
      </w:r>
      <w:r w:rsidR="00454F10" w:rsidRPr="003C13B9">
        <w:t>1 and 2</w:t>
      </w:r>
      <w:r w:rsidRPr="00132917">
        <w:t xml:space="preserve"> (see reporting for detail):</w:t>
      </w:r>
    </w:p>
    <w:p w14:paraId="2CD3EE49" w14:textId="39296340" w:rsidR="006B642C" w:rsidRPr="003C13B9" w:rsidRDefault="006B642C" w:rsidP="00300F72">
      <w:pPr>
        <w:pStyle w:val="ListBullet"/>
      </w:pPr>
      <w:r w:rsidRPr="003C13B9">
        <w:t>Facilitation of Enhanced Planning and Coaching Time (</w:t>
      </w:r>
      <w:proofErr w:type="spellStart"/>
      <w:r w:rsidRPr="003C13B9">
        <w:t>ePACT</w:t>
      </w:r>
      <w:proofErr w:type="spellEnd"/>
      <w:r w:rsidRPr="003C13B9">
        <w:t>) teams</w:t>
      </w:r>
      <w:r w:rsidR="007F43C0" w:rsidRPr="003C13B9">
        <w:t xml:space="preserve"> to enrich collaboration between staff and create opportunities for data-driven dialogue</w:t>
      </w:r>
    </w:p>
    <w:p w14:paraId="00C637B2" w14:textId="3ED9C5C7" w:rsidR="000D65AC" w:rsidRPr="003C13B9" w:rsidRDefault="007F43C0" w:rsidP="000D65AC">
      <w:pPr>
        <w:pStyle w:val="ListBullet"/>
      </w:pPr>
      <w:r w:rsidRPr="003C13B9">
        <w:t xml:space="preserve">Refinement of whole-school scope and sequence documents </w:t>
      </w:r>
      <w:r w:rsidR="0081577E" w:rsidRPr="003C13B9">
        <w:t>including</w:t>
      </w:r>
      <w:r w:rsidRPr="003C13B9">
        <w:t xml:space="preserve"> emphasis on understanding ‘above</w:t>
      </w:r>
      <w:r w:rsidR="000D65AC" w:rsidRPr="003C13B9">
        <w:t>’</w:t>
      </w:r>
      <w:r w:rsidRPr="003C13B9">
        <w:t xml:space="preserve"> and </w:t>
      </w:r>
      <w:r w:rsidR="000D65AC" w:rsidRPr="003C13B9">
        <w:t>‘</w:t>
      </w:r>
      <w:r w:rsidRPr="003C13B9">
        <w:t>below’ expected year level</w:t>
      </w:r>
    </w:p>
    <w:p w14:paraId="43853C9C" w14:textId="578DA035" w:rsidR="00235222" w:rsidRPr="003C13B9" w:rsidRDefault="00235222" w:rsidP="000D65AC">
      <w:pPr>
        <w:pStyle w:val="ListBullet"/>
      </w:pPr>
      <w:r w:rsidRPr="003C13B9">
        <w:t xml:space="preserve">Establishment of Enrichment and Intervention team to provide opportunities for children and coaching for staff, with a focus on deep learning in English and Mathematics. </w:t>
      </w: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5FB381D6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Pr="003C13B9">
        <w:t xml:space="preserve">Priority </w:t>
      </w:r>
      <w:r w:rsidR="0013468D" w:rsidRPr="003C13B9">
        <w:t>1 and 2</w:t>
      </w:r>
      <w:r w:rsidRPr="003C13B9">
        <w:t xml:space="preserve"> (see reporting for detail):</w:t>
      </w:r>
    </w:p>
    <w:p w14:paraId="3531F280" w14:textId="19A51A04" w:rsidR="0013468D" w:rsidRPr="003C13B9" w:rsidRDefault="0013468D" w:rsidP="0013468D">
      <w:pPr>
        <w:pStyle w:val="ListBullet"/>
      </w:pPr>
      <w:r w:rsidRPr="003C13B9">
        <w:t xml:space="preserve">Building staff capacity through a sequence of Professional Learning opportunities across all </w:t>
      </w:r>
      <w:r w:rsidR="00235222" w:rsidRPr="003C13B9">
        <w:t>Learning Areas outlined in the Australian Curriculum</w:t>
      </w:r>
    </w:p>
    <w:p w14:paraId="13A572B4" w14:textId="126F034E" w:rsidR="0013468D" w:rsidRPr="003C13B9" w:rsidRDefault="00543BC4" w:rsidP="0013468D">
      <w:pPr>
        <w:pStyle w:val="ListBullet"/>
      </w:pPr>
      <w:r w:rsidRPr="003C13B9">
        <w:t>Revised PLC structures, including e</w:t>
      </w:r>
      <w:r w:rsidR="0013468D" w:rsidRPr="003C13B9">
        <w:t>xpansion of all curriculum teams to ensure shared understandings of all learning areas</w:t>
      </w:r>
    </w:p>
    <w:p w14:paraId="7061816C" w14:textId="5DD1EEF0" w:rsidR="00543BC4" w:rsidRPr="003C13B9" w:rsidRDefault="00543BC4" w:rsidP="0013468D">
      <w:pPr>
        <w:pStyle w:val="ListBullet"/>
      </w:pPr>
      <w:r w:rsidRPr="003C13B9">
        <w:t>Development of whole school planning processes for consistent delivery of curriculum with a vertical P-6 alignment of progressions</w:t>
      </w:r>
    </w:p>
    <w:p w14:paraId="59C8448D" w14:textId="6AA6380F" w:rsidR="00543BC4" w:rsidRPr="003C13B9" w:rsidRDefault="00543BC4" w:rsidP="0013468D">
      <w:pPr>
        <w:pStyle w:val="ListBullet"/>
      </w:pPr>
      <w:r w:rsidRPr="003C13B9">
        <w:t xml:space="preserve">Continuation of extensive mentoring and guidance for the </w:t>
      </w:r>
      <w:r w:rsidR="000A1E70" w:rsidRPr="003C13B9">
        <w:t>large proportion of new educators</w:t>
      </w: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08718AE8" w:rsidR="00300F72" w:rsidRPr="003C13B9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</w:t>
      </w:r>
      <w:r w:rsidRPr="003C13B9">
        <w:t xml:space="preserve">school supported this </w:t>
      </w:r>
      <w:r w:rsidR="00E14A54" w:rsidRPr="003C13B9">
        <w:t>S</w:t>
      </w:r>
      <w:r w:rsidRPr="003C13B9">
        <w:t xml:space="preserve">trategic </w:t>
      </w:r>
      <w:r w:rsidR="00E14A54" w:rsidRPr="003C13B9">
        <w:t>I</w:t>
      </w:r>
      <w:r w:rsidRPr="003C13B9">
        <w:t xml:space="preserve">ndicator through – Priority </w:t>
      </w:r>
      <w:r w:rsidR="00543BC4" w:rsidRPr="003C13B9">
        <w:t>1 and 2</w:t>
      </w:r>
      <w:r w:rsidRPr="003C13B9">
        <w:t xml:space="preserve"> (see reporting for detail):</w:t>
      </w:r>
    </w:p>
    <w:p w14:paraId="200F6B8B" w14:textId="28937FB1" w:rsidR="0093040B" w:rsidRPr="003C13B9" w:rsidRDefault="00543BC4" w:rsidP="001B26EA">
      <w:pPr>
        <w:pStyle w:val="ListBullet"/>
      </w:pPr>
      <w:r w:rsidRPr="003C13B9">
        <w:t xml:space="preserve">Design and development of dynamic Intervention/support and Enrichment programs </w:t>
      </w:r>
      <w:r w:rsidR="00A82E9C" w:rsidRPr="003C13B9">
        <w:t>for</w:t>
      </w:r>
      <w:r w:rsidRPr="003C13B9">
        <w:t xml:space="preserve"> students </w:t>
      </w:r>
      <w:r w:rsidR="00A82E9C" w:rsidRPr="003C13B9">
        <w:t xml:space="preserve">who are achieving </w:t>
      </w:r>
      <w:r w:rsidRPr="003C13B9">
        <w:t>below or above expectations</w:t>
      </w:r>
    </w:p>
    <w:p w14:paraId="5F0C074A" w14:textId="78BA96B3" w:rsidR="00543BC4" w:rsidRPr="003C13B9" w:rsidRDefault="000A1E70" w:rsidP="001B26EA">
      <w:pPr>
        <w:pStyle w:val="ListBullet"/>
      </w:pPr>
      <w:r w:rsidRPr="003C13B9">
        <w:lastRenderedPageBreak/>
        <w:t xml:space="preserve">Quarterly data reports provided to Leadership Staff </w:t>
      </w:r>
      <w:r w:rsidR="00FD2551" w:rsidRPr="003C13B9">
        <w:t xml:space="preserve">that </w:t>
      </w:r>
      <w:r w:rsidRPr="003C13B9">
        <w:t>provide insight into individual students and how they are progressing in English and Mathematics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64840E31" w:rsidR="00837137" w:rsidRPr="00DE7757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F40C8F" w:rsidRPr="00DE7757">
        <w:rPr>
          <w:color w:val="auto"/>
        </w:rPr>
        <w:t>To improve learning in Mathematics</w:t>
      </w:r>
    </w:p>
    <w:p w14:paraId="255A28BA" w14:textId="77777777" w:rsidR="004D5E45" w:rsidRPr="00DE7757" w:rsidRDefault="006D2F6B" w:rsidP="00837137">
      <w:pPr>
        <w:pStyle w:val="Heading3"/>
      </w:pPr>
      <w:r w:rsidRPr="00DE7757">
        <w:t>Targets or measures</w:t>
      </w:r>
    </w:p>
    <w:p w14:paraId="0ED94083" w14:textId="1E0E8850" w:rsidR="000031B5" w:rsidRPr="00DE7757" w:rsidRDefault="00481BD2" w:rsidP="0058339C">
      <w:pPr>
        <w:pStyle w:val="BodyText"/>
      </w:pPr>
      <w:r w:rsidRPr="00DE7757">
        <w:t>By the end of 20</w:t>
      </w:r>
      <w:r w:rsidR="00F40C8F" w:rsidRPr="00DE7757">
        <w:t>23</w:t>
      </w:r>
      <w:r w:rsidR="000031B5" w:rsidRPr="00DE7757">
        <w:t xml:space="preserve"> we will achieve:</w:t>
      </w:r>
    </w:p>
    <w:p w14:paraId="3F8CAC5E" w14:textId="6F2F0E66" w:rsidR="00896B58" w:rsidRPr="00DE7757" w:rsidRDefault="004B5A85" w:rsidP="00837137">
      <w:pPr>
        <w:pStyle w:val="ListBullet"/>
      </w:pPr>
      <w:r w:rsidRPr="00DE7757">
        <w:t>An i</w:t>
      </w:r>
      <w:r w:rsidR="00E24439" w:rsidRPr="00DE7757">
        <w:t>ncrease the</w:t>
      </w:r>
      <w:r w:rsidR="005567DA" w:rsidRPr="00DE7757">
        <w:t xml:space="preserve"> proportion of students at or above expected growth in NAPLAN Numeracy</w:t>
      </w:r>
    </w:p>
    <w:p w14:paraId="097CC839" w14:textId="2FC108F8" w:rsidR="00997CD0" w:rsidRPr="00DE7757" w:rsidRDefault="004B5A85" w:rsidP="005567DA">
      <w:pPr>
        <w:pStyle w:val="ListBullet"/>
      </w:pPr>
      <w:r w:rsidRPr="00DE7757">
        <w:t>An i</w:t>
      </w:r>
      <w:r w:rsidR="00E24439" w:rsidRPr="00DE7757">
        <w:t>ncrease</w:t>
      </w:r>
      <w:r w:rsidR="005567DA" w:rsidRPr="00DE7757">
        <w:t xml:space="preserve"> the proportion of students in the top two NAPLAN bands of Numeracy in Year 5</w:t>
      </w:r>
    </w:p>
    <w:p w14:paraId="1319DBFF" w14:textId="6FAF44AA" w:rsidR="004D5E45" w:rsidRPr="00DE7757" w:rsidRDefault="004D5E45" w:rsidP="00837137">
      <w:pPr>
        <w:pStyle w:val="BodyText"/>
      </w:pPr>
      <w:r w:rsidRPr="00DE7757">
        <w:t>In 20</w:t>
      </w:r>
      <w:r w:rsidR="00C36B48" w:rsidRPr="00DE7757">
        <w:t>19</w:t>
      </w:r>
      <w:r w:rsidRPr="00DE7757">
        <w:t xml:space="preserve"> we </w:t>
      </w:r>
      <w:r w:rsidR="00997CD0" w:rsidRPr="00DE7757">
        <w:t>implemented</w:t>
      </w:r>
      <w:r w:rsidRPr="00DE7757">
        <w:t xml:space="preserve"> this priority throug</w:t>
      </w:r>
      <w:r w:rsidR="00997CD0" w:rsidRPr="00DE7757">
        <w:t xml:space="preserve">h the following </w:t>
      </w:r>
      <w:r w:rsidRPr="00DE7757">
        <w:t>strategies.</w:t>
      </w:r>
    </w:p>
    <w:p w14:paraId="62197C55" w14:textId="13DD1D2E" w:rsidR="00997CD0" w:rsidRPr="00DE7757" w:rsidRDefault="005F0B78" w:rsidP="00837137">
      <w:pPr>
        <w:pStyle w:val="ListBullet"/>
      </w:pPr>
      <w:r w:rsidRPr="00DE7757">
        <w:t>Broaden</w:t>
      </w:r>
      <w:r w:rsidR="004B5A85" w:rsidRPr="00DE7757">
        <w:t>ing</w:t>
      </w:r>
      <w:r w:rsidRPr="00DE7757">
        <w:t xml:space="preserve"> the repertoire of mathematical pedagogical practices and curriculum expertise of educators P-6</w:t>
      </w:r>
    </w:p>
    <w:p w14:paraId="06C3B9A6" w14:textId="5CCBF0BE" w:rsidR="00997CD0" w:rsidRPr="00DE7757" w:rsidRDefault="005F0B78" w:rsidP="00837137">
      <w:pPr>
        <w:pStyle w:val="ListBullet"/>
      </w:pPr>
      <w:r w:rsidRPr="00DE7757">
        <w:t>Develop</w:t>
      </w:r>
      <w:r w:rsidR="004B5A85" w:rsidRPr="00DE7757">
        <w:t>ing</w:t>
      </w:r>
      <w:r w:rsidR="00727C0D" w:rsidRPr="00DE7757">
        <w:t xml:space="preserve"> consistency in delivery in delivery of curriculum with a vertical P-6 alignment of progressions</w:t>
      </w:r>
    </w:p>
    <w:p w14:paraId="1DB5D6F2" w14:textId="4D56D13C" w:rsidR="00997CD0" w:rsidRPr="00DE7757" w:rsidRDefault="00D72DEB" w:rsidP="00837137">
      <w:pPr>
        <w:pStyle w:val="ListBullet"/>
      </w:pPr>
      <w:r w:rsidRPr="00DE7757">
        <w:t>Enhancing</w:t>
      </w:r>
      <w:r w:rsidR="00727C0D" w:rsidRPr="00DE7757">
        <w:t xml:space="preserve"> parent/carer engagement to increase understanding of teaching and learning in Mathematics</w:t>
      </w:r>
    </w:p>
    <w:p w14:paraId="7DFF073D" w14:textId="73F1E596" w:rsidR="00436626" w:rsidRDefault="009B454E" w:rsidP="00997CD0">
      <w:pPr>
        <w:pStyle w:val="PlainText"/>
        <w:rPr>
          <w:noProof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4E998D8D" w:rsidR="006D2F6B" w:rsidRPr="00D03B0C" w:rsidRDefault="00DA2973" w:rsidP="00D56F5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3CAE587B" w14:textId="5FDF9765" w:rsidR="006D2F6B" w:rsidRPr="00D03B0C" w:rsidRDefault="00DA2973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0785495E" w14:textId="2BA187EB" w:rsidR="006D2F6B" w:rsidRPr="00D03B0C" w:rsidRDefault="00DA2973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1F5C5718" w14:textId="51DDFC19" w:rsidR="006D2F6B" w:rsidRPr="00D03B0C" w:rsidRDefault="00DA2973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1" w:type="dxa"/>
            <w:shd w:val="clear" w:color="auto" w:fill="auto"/>
          </w:tcPr>
          <w:p w14:paraId="3485F32F" w14:textId="6051165A" w:rsidR="006D2F6B" w:rsidRPr="00D03B0C" w:rsidRDefault="00DA2973" w:rsidP="00D56F5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D2F6B" w14:paraId="3B6F6B79" w14:textId="77777777" w:rsidTr="00F454CA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57009FC0" w:rsidR="006D2F6B" w:rsidRPr="00DE7757" w:rsidRDefault="00E24439" w:rsidP="00E24439">
            <w:pPr>
              <w:pStyle w:val="ListBullet"/>
              <w:numPr>
                <w:ilvl w:val="0"/>
                <w:numId w:val="0"/>
              </w:numPr>
              <w:ind w:firstLine="2"/>
            </w:pPr>
            <w:r w:rsidRPr="00DE7757">
              <w:t>Increase the proportion of students at or above expected growth in NAPLAN Numeracy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F51F004" w14:textId="214083BE" w:rsidR="006D2F6B" w:rsidRPr="00D03B0C" w:rsidRDefault="002829FE" w:rsidP="00F454CA">
            <w:pPr>
              <w:jc w:val="center"/>
            </w:pPr>
            <w:r>
              <w:t>58.5%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571C78F" w14:textId="53B1D097" w:rsidR="006D2F6B" w:rsidRPr="00D03B0C" w:rsidRDefault="00256B2E" w:rsidP="00F454CA">
            <w:pPr>
              <w:jc w:val="center"/>
            </w:pPr>
            <w:r>
              <w:t>45%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9018766" w14:textId="77777777" w:rsidR="006D2F6B" w:rsidRPr="00D03B0C" w:rsidRDefault="006D2F6B" w:rsidP="00F454CA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AB434B5" w14:textId="77777777" w:rsidR="006D2F6B" w:rsidRPr="00D03B0C" w:rsidRDefault="006D2F6B" w:rsidP="00F454CA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E571018" w14:textId="77777777" w:rsidR="006D2F6B" w:rsidRPr="00D03B0C" w:rsidRDefault="006D2F6B" w:rsidP="00F454CA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D114ACD" w14:textId="77777777" w:rsidR="006D2F6B" w:rsidRPr="00D03B0C" w:rsidRDefault="006D2F6B" w:rsidP="00F454CA">
            <w:pPr>
              <w:jc w:val="center"/>
            </w:pPr>
          </w:p>
        </w:tc>
      </w:tr>
      <w:tr w:rsidR="006D2F6B" w14:paraId="3E447EBE" w14:textId="77777777" w:rsidTr="00F454CA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4D2E2D08" w:rsidR="006D2F6B" w:rsidRPr="00DE7757" w:rsidRDefault="00E24439" w:rsidP="00E24439">
            <w:pPr>
              <w:pStyle w:val="ListBullet"/>
              <w:numPr>
                <w:ilvl w:val="0"/>
                <w:numId w:val="0"/>
              </w:numPr>
              <w:ind w:firstLine="2"/>
            </w:pPr>
            <w:r w:rsidRPr="00DE7757">
              <w:t>Increase the proportion of students in the top two NAPLAN bands of Numeracy in Year 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C712096" w14:textId="0A04B814" w:rsidR="006D2F6B" w:rsidRPr="00D03B0C" w:rsidRDefault="000D191B" w:rsidP="00F454CA">
            <w:pPr>
              <w:jc w:val="center"/>
            </w:pPr>
            <w:r>
              <w:t>18.6%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FC093D" w14:textId="4A672DC4" w:rsidR="006D2F6B" w:rsidRPr="00D03B0C" w:rsidRDefault="0036780F" w:rsidP="00F454CA">
            <w:pPr>
              <w:jc w:val="center"/>
            </w:pPr>
            <w:r>
              <w:t>23.9%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1FB2E79" w14:textId="77777777" w:rsidR="006D2F6B" w:rsidRPr="00D03B0C" w:rsidRDefault="006D2F6B" w:rsidP="00F454CA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C328C1C" w14:textId="77777777" w:rsidR="006D2F6B" w:rsidRPr="00D03B0C" w:rsidRDefault="006D2F6B" w:rsidP="00F454CA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A35D1D4" w14:textId="77777777" w:rsidR="006D2F6B" w:rsidRPr="00D03B0C" w:rsidRDefault="006D2F6B" w:rsidP="00F454CA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DBFB30A" w14:textId="77777777" w:rsidR="006D2F6B" w:rsidRPr="00D03B0C" w:rsidRDefault="006D2F6B" w:rsidP="00F454CA">
            <w:pPr>
              <w:jc w:val="center"/>
            </w:pPr>
          </w:p>
        </w:tc>
      </w:tr>
      <w:tr w:rsidR="00D77005" w14:paraId="73127EE4" w14:textId="77777777" w:rsidTr="00443FF9">
        <w:trPr>
          <w:jc w:val="center"/>
        </w:trPr>
        <w:tc>
          <w:tcPr>
            <w:tcW w:w="4297" w:type="dxa"/>
            <w:shd w:val="clear" w:color="auto" w:fill="auto"/>
          </w:tcPr>
          <w:p w14:paraId="38C49FC7" w14:textId="4A816079" w:rsidR="00D77005" w:rsidRPr="00DE7757" w:rsidRDefault="00D77005" w:rsidP="00443FF9">
            <w:pPr>
              <w:pStyle w:val="ListBullet"/>
              <w:numPr>
                <w:ilvl w:val="0"/>
                <w:numId w:val="0"/>
              </w:numPr>
              <w:ind w:firstLine="2"/>
            </w:pPr>
            <w:r w:rsidRPr="00DE7757">
              <w:t>An increase in the proportion of children making expected growth or better in PIPS Numeracy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325907" w14:textId="3A850C4A" w:rsidR="00D77005" w:rsidRPr="00D03B0C" w:rsidRDefault="00D77005" w:rsidP="00443FF9">
            <w:pPr>
              <w:jc w:val="center"/>
            </w:pPr>
            <w:r>
              <w:t>67%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88E432D" w14:textId="426E39A6" w:rsidR="00D77005" w:rsidRPr="00D03B0C" w:rsidRDefault="00BA2149" w:rsidP="00443FF9">
            <w:pPr>
              <w:jc w:val="center"/>
            </w:pPr>
            <w:r>
              <w:t>74.4%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4B3E2D2" w14:textId="77777777" w:rsidR="00D77005" w:rsidRPr="00D03B0C" w:rsidRDefault="00D77005" w:rsidP="00443FF9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4118B73" w14:textId="77777777" w:rsidR="00D77005" w:rsidRPr="00D03B0C" w:rsidRDefault="00D77005" w:rsidP="00443FF9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01F89AE" w14:textId="77777777" w:rsidR="00D77005" w:rsidRPr="00D03B0C" w:rsidRDefault="00D77005" w:rsidP="00443FF9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4F195F3" w14:textId="77777777" w:rsidR="00D77005" w:rsidRPr="00D03B0C" w:rsidRDefault="00D77005" w:rsidP="00443FF9">
            <w:pPr>
              <w:jc w:val="center"/>
            </w:pPr>
          </w:p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927"/>
        <w:gridCol w:w="906"/>
        <w:gridCol w:w="774"/>
        <w:gridCol w:w="774"/>
        <w:gridCol w:w="774"/>
        <w:gridCol w:w="775"/>
      </w:tblGrid>
      <w:tr w:rsidR="00DA2973" w14:paraId="4EF7DD9F" w14:textId="77777777" w:rsidTr="00802B7A">
        <w:trPr>
          <w:jc w:val="center"/>
        </w:trPr>
        <w:tc>
          <w:tcPr>
            <w:tcW w:w="4108" w:type="dxa"/>
            <w:shd w:val="clear" w:color="auto" w:fill="auto"/>
          </w:tcPr>
          <w:p w14:paraId="13269C94" w14:textId="77777777" w:rsidR="00DA2973" w:rsidRPr="006D2F6B" w:rsidRDefault="00DA2973" w:rsidP="00DA297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927" w:type="dxa"/>
            <w:shd w:val="clear" w:color="auto" w:fill="auto"/>
          </w:tcPr>
          <w:p w14:paraId="4B51A1C5" w14:textId="77777777" w:rsidR="00DA2973" w:rsidRPr="006D2F6B" w:rsidRDefault="00DA2973" w:rsidP="00DA297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906" w:type="dxa"/>
            <w:shd w:val="clear" w:color="auto" w:fill="auto"/>
          </w:tcPr>
          <w:p w14:paraId="15B7F1C3" w14:textId="42B6792F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4" w:type="dxa"/>
            <w:shd w:val="clear" w:color="auto" w:fill="auto"/>
          </w:tcPr>
          <w:p w14:paraId="4CC28E98" w14:textId="457CB070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4" w:type="dxa"/>
            <w:shd w:val="clear" w:color="auto" w:fill="auto"/>
          </w:tcPr>
          <w:p w14:paraId="5EE5455E" w14:textId="47A49844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4" w:type="dxa"/>
            <w:shd w:val="clear" w:color="auto" w:fill="auto"/>
          </w:tcPr>
          <w:p w14:paraId="1CA3136C" w14:textId="0C07CDCF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5" w:type="dxa"/>
            <w:shd w:val="clear" w:color="auto" w:fill="auto"/>
          </w:tcPr>
          <w:p w14:paraId="372CDBC5" w14:textId="1D4A9D1C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D2F6B" w14:paraId="71FE611D" w14:textId="77777777" w:rsidTr="00802B7A">
        <w:trPr>
          <w:jc w:val="center"/>
        </w:trPr>
        <w:tc>
          <w:tcPr>
            <w:tcW w:w="4108" w:type="dxa"/>
            <w:shd w:val="clear" w:color="auto" w:fill="auto"/>
          </w:tcPr>
          <w:p w14:paraId="15FDFA6D" w14:textId="1BB85133" w:rsidR="006D2F6B" w:rsidRPr="00DE7757" w:rsidRDefault="009C14CC" w:rsidP="00D03B0C">
            <w:pPr>
              <w:pStyle w:val="PlainText"/>
            </w:pPr>
            <w:r w:rsidRPr="00DE7757">
              <w:t xml:space="preserve">Increase in the proportion of </w:t>
            </w:r>
            <w:r w:rsidR="005709E4" w:rsidRPr="00DE7757">
              <w:t xml:space="preserve">parents/carers that they are satisfied </w:t>
            </w:r>
            <w:r w:rsidR="00A66CA8">
              <w:t xml:space="preserve">(score of 4 or 5) </w:t>
            </w:r>
            <w:r w:rsidR="005709E4" w:rsidRPr="00DE7757">
              <w:t>their child is making progress in Mathematics</w:t>
            </w:r>
            <w:r w:rsidR="00A66CA8">
              <w:t xml:space="preserve"> 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7CDD05" w14:textId="5CBA5F5B" w:rsidR="006D2F6B" w:rsidRPr="009E71E0" w:rsidRDefault="00DE7757" w:rsidP="00F454CA">
            <w:pPr>
              <w:jc w:val="center"/>
              <w:rPr>
                <w:highlight w:val="green"/>
              </w:rPr>
            </w:pPr>
            <w:r w:rsidRPr="00DE7757">
              <w:t>See 2019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688F9F0" w14:textId="77777777" w:rsidR="006D2F6B" w:rsidRDefault="005436D1" w:rsidP="00F454CA">
            <w:pPr>
              <w:jc w:val="center"/>
            </w:pPr>
            <w:r w:rsidRPr="00205F2E">
              <w:t>52.6</w:t>
            </w:r>
          </w:p>
          <w:p w14:paraId="1037F637" w14:textId="442C0E71" w:rsidR="00A66CA8" w:rsidRPr="00205F2E" w:rsidRDefault="00A66CA8" w:rsidP="00F454CA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DED56F3" w14:textId="77777777" w:rsidR="006D2F6B" w:rsidRPr="006D2F6B" w:rsidRDefault="006D2F6B" w:rsidP="00F454CA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52D803F" w14:textId="77777777" w:rsidR="006D2F6B" w:rsidRPr="006D2F6B" w:rsidRDefault="006D2F6B" w:rsidP="00F454CA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D9DADCD" w14:textId="77777777" w:rsidR="006D2F6B" w:rsidRPr="006D2F6B" w:rsidRDefault="006D2F6B" w:rsidP="00F454CA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521852A" w14:textId="77777777" w:rsidR="006D2F6B" w:rsidRPr="006D2F6B" w:rsidRDefault="006D2F6B" w:rsidP="00F454CA">
            <w:pPr>
              <w:jc w:val="center"/>
            </w:pPr>
          </w:p>
        </w:tc>
      </w:tr>
      <w:tr w:rsidR="00802B7A" w14:paraId="38F74B11" w14:textId="77777777" w:rsidTr="00802B7A">
        <w:trPr>
          <w:jc w:val="center"/>
        </w:trPr>
        <w:tc>
          <w:tcPr>
            <w:tcW w:w="4108" w:type="dxa"/>
            <w:shd w:val="clear" w:color="auto" w:fill="auto"/>
          </w:tcPr>
          <w:p w14:paraId="46E092F7" w14:textId="3A2B4333" w:rsidR="00802B7A" w:rsidRPr="00DE7757" w:rsidRDefault="00802B7A" w:rsidP="00802B7A">
            <w:r w:rsidRPr="00DE7757">
              <w:t>Increase in the proportion of students who are satisfied that they have made progress in Mathematics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4392190E" w14:textId="4E5F4239" w:rsidR="00802B7A" w:rsidRPr="00802B7A" w:rsidRDefault="00802B7A" w:rsidP="00802B7A">
            <w:pPr>
              <w:jc w:val="center"/>
              <w:rPr>
                <w:highlight w:val="green"/>
              </w:rPr>
            </w:pPr>
            <w:r w:rsidRPr="00802B7A">
              <w:t>To be collected start 2020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6D80C92" w14:textId="77777777" w:rsidR="00802B7A" w:rsidRPr="006D2F6B" w:rsidRDefault="00802B7A" w:rsidP="00802B7A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96718C1" w14:textId="77777777" w:rsidR="00802B7A" w:rsidRPr="006D2F6B" w:rsidRDefault="00802B7A" w:rsidP="00802B7A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32D642D" w14:textId="77777777" w:rsidR="00802B7A" w:rsidRPr="006D2F6B" w:rsidRDefault="00802B7A" w:rsidP="00802B7A">
            <w:pPr>
              <w:jc w:val="center"/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3F68F7CD" w14:textId="77777777" w:rsidR="00802B7A" w:rsidRPr="006D2F6B" w:rsidRDefault="00802B7A" w:rsidP="00802B7A">
            <w:pPr>
              <w:jc w:val="center"/>
            </w:pPr>
          </w:p>
        </w:tc>
      </w:tr>
    </w:tbl>
    <w:p w14:paraId="02078B9E" w14:textId="7A1689BB" w:rsidR="008A01DA" w:rsidRDefault="008A01DA" w:rsidP="00C0648C">
      <w:pPr>
        <w:pStyle w:val="Heading4"/>
      </w:pPr>
      <w:r>
        <w:t>School program and process data</w:t>
      </w:r>
    </w:p>
    <w:p w14:paraId="4213554D" w14:textId="77777777" w:rsidR="009335E3" w:rsidRPr="00DE7757" w:rsidRDefault="009335E3" w:rsidP="009335E3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</w:pPr>
      <w:r w:rsidRPr="00DE7757">
        <w:t>All teachers use the Neville Bonner Primary School Mathematics Scope &amp; Sequence, in alignment with the Australian Curriculum and modified to suit the needs of their Learning Group</w:t>
      </w:r>
    </w:p>
    <w:p w14:paraId="1E96483D" w14:textId="69F03F5E" w:rsidR="00D72DEB" w:rsidRPr="00DE7757" w:rsidRDefault="009335E3" w:rsidP="00D72DEB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</w:pPr>
      <w:r w:rsidRPr="00DE7757">
        <w:t xml:space="preserve">Implementation of targeted Mathematics Intervention and Enrichment opportunities </w:t>
      </w:r>
      <w:r w:rsidR="00D72DEB" w:rsidRPr="00DE7757">
        <w:t>for students</w:t>
      </w:r>
    </w:p>
    <w:p w14:paraId="4DAEC97D" w14:textId="4574924F" w:rsidR="009335E3" w:rsidRDefault="009335E3" w:rsidP="009335E3"/>
    <w:p w14:paraId="241DA8A2" w14:textId="77777777" w:rsidR="009335E3" w:rsidRPr="009335E3" w:rsidRDefault="009335E3" w:rsidP="009335E3"/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1"/>
        <w:gridCol w:w="4807"/>
      </w:tblGrid>
      <w:tr w:rsidR="00DE728C" w14:paraId="5A7D1DBC" w14:textId="77777777" w:rsidTr="00DE728C">
        <w:trPr>
          <w:jc w:val="center"/>
        </w:trPr>
        <w:tc>
          <w:tcPr>
            <w:tcW w:w="4231" w:type="dxa"/>
            <w:shd w:val="clear" w:color="auto" w:fill="auto"/>
          </w:tcPr>
          <w:p w14:paraId="7683E7F7" w14:textId="77777777" w:rsidR="00DE728C" w:rsidRPr="006D2F6B" w:rsidRDefault="00DE728C" w:rsidP="00DA297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4807" w:type="dxa"/>
            <w:shd w:val="clear" w:color="auto" w:fill="auto"/>
          </w:tcPr>
          <w:p w14:paraId="1A3E1375" w14:textId="6B184465" w:rsidR="00DE728C" w:rsidRPr="00DE7757" w:rsidRDefault="00DE728C" w:rsidP="00DA2973">
            <w:pPr>
              <w:jc w:val="center"/>
              <w:rPr>
                <w:b/>
              </w:rPr>
            </w:pPr>
            <w:r w:rsidRPr="00DE7757">
              <w:rPr>
                <w:b/>
              </w:rPr>
              <w:t>Base</w:t>
            </w:r>
          </w:p>
        </w:tc>
      </w:tr>
      <w:tr w:rsidR="00DE728C" w14:paraId="511DB66E" w14:textId="77777777" w:rsidTr="00AC539B">
        <w:trPr>
          <w:jc w:val="center"/>
        </w:trPr>
        <w:tc>
          <w:tcPr>
            <w:tcW w:w="4231" w:type="dxa"/>
            <w:shd w:val="clear" w:color="auto" w:fill="auto"/>
          </w:tcPr>
          <w:p w14:paraId="0CEA91E9" w14:textId="138595E2" w:rsidR="00DE728C" w:rsidRPr="006D2F6B" w:rsidRDefault="00DE728C" w:rsidP="00D03B0C">
            <w:pPr>
              <w:pStyle w:val="PlainText"/>
            </w:pPr>
            <w:r w:rsidRPr="00DE7757">
              <w:t>A broadened repertoire of pedagogical practices and content that teachers bring to the teaching and learning of Mathematics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7DEA3496" w14:textId="228D391E" w:rsidR="00DE728C" w:rsidRPr="00DE7757" w:rsidRDefault="00DE7757" w:rsidP="00DE728C">
            <w:pPr>
              <w:pStyle w:val="PlainText"/>
            </w:pPr>
            <w:r w:rsidRPr="00DE7757">
              <w:t>Still in</w:t>
            </w:r>
            <w:r w:rsidR="00DE728C" w:rsidRPr="00DE7757">
              <w:t xml:space="preserve"> an implementation phase, we were focussed on developing our pedagogies. We are confident that the teachers have improved their pedagogical strategies. Anecdotal evidence </w:t>
            </w:r>
            <w:r w:rsidRPr="00DE7757">
              <w:t>indicates</w:t>
            </w:r>
            <w:r w:rsidR="00DE728C" w:rsidRPr="00DE7757">
              <w:t xml:space="preserve"> that 100% of teachers are using the new scope &amp; sequence in Mathematics. </w:t>
            </w:r>
            <w:r w:rsidRPr="00DE7757">
              <w:t>One hundred per cent</w:t>
            </w:r>
            <w:r w:rsidR="00DE728C" w:rsidRPr="00DE7757">
              <w:t xml:space="preserve"> of teaching teams are using </w:t>
            </w:r>
            <w:r w:rsidRPr="00DE7757">
              <w:t xml:space="preserve">school developed </w:t>
            </w:r>
            <w:r w:rsidR="00DE728C" w:rsidRPr="00DE7757">
              <w:t>planning documents</w:t>
            </w:r>
            <w:r w:rsidR="007B7166" w:rsidRPr="00DE7757">
              <w:t xml:space="preserve">. Teachers are using a range of new resources </w:t>
            </w:r>
            <w:r w:rsidRPr="00DE7757">
              <w:t xml:space="preserve">including </w:t>
            </w:r>
            <w:r w:rsidR="007B7166" w:rsidRPr="00DE7757">
              <w:t xml:space="preserve">online learning </w:t>
            </w:r>
            <w:r w:rsidRPr="00DE7757">
              <w:t>and learning through educational games.</w:t>
            </w:r>
          </w:p>
          <w:p w14:paraId="0E363862" w14:textId="4A1AB6F8" w:rsidR="00DE728C" w:rsidRPr="00DE7757" w:rsidRDefault="00DE728C" w:rsidP="00F454CA">
            <w:pPr>
              <w:jc w:val="center"/>
            </w:pPr>
          </w:p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B7EDC81" w14:textId="0FFA8948" w:rsidR="003C69DC" w:rsidRPr="00D906FE" w:rsidRDefault="003C69DC" w:rsidP="003C69DC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b/>
                <w:bCs/>
              </w:rPr>
            </w:pPr>
            <w:r w:rsidRPr="00D906FE">
              <w:rPr>
                <w:b/>
                <w:bCs/>
              </w:rPr>
              <w:t xml:space="preserve">What does this evidence indicate about your school’s progress towards </w:t>
            </w:r>
            <w:r w:rsidR="006830C3" w:rsidRPr="00D906FE">
              <w:rPr>
                <w:b/>
                <w:bCs/>
              </w:rPr>
              <w:t>its</w:t>
            </w:r>
            <w:r w:rsidRPr="00D906FE">
              <w:rPr>
                <w:b/>
                <w:bCs/>
              </w:rPr>
              <w:t xml:space="preserve"> five-year target</w:t>
            </w:r>
            <w:r w:rsidR="00846E51" w:rsidRPr="00D906FE">
              <w:rPr>
                <w:b/>
                <w:bCs/>
              </w:rPr>
              <w:t>s</w:t>
            </w:r>
            <w:r w:rsidRPr="00D906FE">
              <w:rPr>
                <w:b/>
                <w:bCs/>
              </w:rPr>
              <w:t>?</w:t>
            </w:r>
          </w:p>
          <w:p w14:paraId="197156CA" w14:textId="7E7E5BE3" w:rsidR="007B7166" w:rsidRPr="00D906FE" w:rsidRDefault="007B7166" w:rsidP="007B7166">
            <w:pPr>
              <w:pStyle w:val="PlainText"/>
              <w:ind w:left="1"/>
            </w:pPr>
            <w:r w:rsidRPr="00D906FE">
              <w:t xml:space="preserve">After one year of data collection we can confirm that major strategies from our </w:t>
            </w:r>
            <w:r w:rsidR="00DE7757" w:rsidRPr="00D906FE">
              <w:t>A</w:t>
            </w:r>
            <w:r w:rsidRPr="00D906FE">
              <w:t xml:space="preserve">ction </w:t>
            </w:r>
            <w:r w:rsidR="00DE7757" w:rsidRPr="00D906FE">
              <w:t>P</w:t>
            </w:r>
            <w:r w:rsidRPr="00D906FE">
              <w:t>lan have been implemente</w:t>
            </w:r>
            <w:r w:rsidR="00DE7757" w:rsidRPr="00D906FE">
              <w:t>d.</w:t>
            </w:r>
            <w:r w:rsidRPr="00D906FE">
              <w:t xml:space="preserve"> </w:t>
            </w:r>
            <w:r w:rsidR="00DE7757" w:rsidRPr="00D906FE">
              <w:t>It</w:t>
            </w:r>
            <w:r w:rsidR="007A0BFC" w:rsidRPr="00D906FE">
              <w:t xml:space="preserve"> i</w:t>
            </w:r>
            <w:r w:rsidRPr="00D906FE">
              <w:t xml:space="preserve">s too early to </w:t>
            </w:r>
            <w:r w:rsidR="007A0BFC" w:rsidRPr="00D906FE">
              <w:t xml:space="preserve">quantify the effect on student learning outcomes. </w:t>
            </w:r>
            <w:r w:rsidR="00FB5724" w:rsidRPr="00D906FE">
              <w:t>While the number of children achieving expected growth is below expectations, w</w:t>
            </w:r>
            <w:r w:rsidR="007A0BFC" w:rsidRPr="00D906FE">
              <w:t>e have exceeded our targets for children in top two bands in NAPLAN, and our P</w:t>
            </w:r>
            <w:r w:rsidR="00DE7757" w:rsidRPr="00D906FE">
              <w:t>I</w:t>
            </w:r>
            <w:r w:rsidR="007A0BFC" w:rsidRPr="00D906FE">
              <w:t>P</w:t>
            </w:r>
            <w:r w:rsidR="00DE7757" w:rsidRPr="00D906FE">
              <w:t>S (Kindergarten)</w:t>
            </w:r>
            <w:r w:rsidR="007A0BFC" w:rsidRPr="00D906FE">
              <w:t xml:space="preserve"> results were significantly beyond previous years. Th</w:t>
            </w:r>
            <w:r w:rsidR="00DE7757" w:rsidRPr="00D906FE">
              <w:t>ese outcomes are</w:t>
            </w:r>
            <w:r w:rsidR="007A0BFC" w:rsidRPr="00D906FE">
              <w:t xml:space="preserve"> </w:t>
            </w:r>
            <w:r w:rsidR="00DE7757" w:rsidRPr="00D906FE">
              <w:t>a result of the combination</w:t>
            </w:r>
            <w:r w:rsidR="007A0BFC" w:rsidRPr="00D906FE">
              <w:t xml:space="preserve"> of our work as outlined in the </w:t>
            </w:r>
            <w:r w:rsidR="00DE7757" w:rsidRPr="00D906FE">
              <w:t>A</w:t>
            </w:r>
            <w:r w:rsidR="007A0BFC" w:rsidRPr="00D906FE">
              <w:t xml:space="preserve">ction </w:t>
            </w:r>
            <w:r w:rsidR="00DE7757" w:rsidRPr="00D906FE">
              <w:t>P</w:t>
            </w:r>
            <w:r w:rsidR="007A0BFC" w:rsidRPr="00D906FE">
              <w:t xml:space="preserve">an, </w:t>
            </w:r>
            <w:r w:rsidR="00DE7757" w:rsidRPr="00D906FE">
              <w:t xml:space="preserve">and also the </w:t>
            </w:r>
            <w:r w:rsidR="00FB5724" w:rsidRPr="00D906FE">
              <w:t xml:space="preserve">variations between student cohorts. We need to see improvements across multiple cycles in order for us to </w:t>
            </w:r>
            <w:r w:rsidR="00DE7757" w:rsidRPr="00D906FE">
              <w:t xml:space="preserve">fully </w:t>
            </w:r>
            <w:r w:rsidR="00FB5724" w:rsidRPr="00D906FE">
              <w:t xml:space="preserve">attribute the results to our </w:t>
            </w:r>
            <w:r w:rsidR="00DE7757" w:rsidRPr="00D906FE">
              <w:t>S</w:t>
            </w:r>
            <w:r w:rsidR="00FB5724" w:rsidRPr="00D906FE">
              <w:t xml:space="preserve">chool </w:t>
            </w:r>
            <w:r w:rsidR="00DE7757" w:rsidRPr="00D906FE">
              <w:t>P</w:t>
            </w:r>
            <w:r w:rsidR="00FB5724" w:rsidRPr="00D906FE">
              <w:t>lan</w:t>
            </w:r>
            <w:r w:rsidR="00DE7757" w:rsidRPr="00D906FE">
              <w:t>.</w:t>
            </w:r>
          </w:p>
          <w:p w14:paraId="5165F81B" w14:textId="5A7484A4" w:rsidR="00A93572" w:rsidRPr="00D906FE" w:rsidRDefault="00B53B59" w:rsidP="00A14174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b/>
                <w:bCs/>
              </w:rPr>
            </w:pPr>
            <w:r w:rsidRPr="00D906FE">
              <w:rPr>
                <w:b/>
                <w:bCs/>
              </w:rPr>
              <w:t xml:space="preserve">Have any </w:t>
            </w:r>
            <w:r w:rsidR="00161E50" w:rsidRPr="00D906FE">
              <w:rPr>
                <w:b/>
                <w:bCs/>
              </w:rPr>
              <w:t>of your data sources changed over time? If so, why?</w:t>
            </w:r>
          </w:p>
          <w:p w14:paraId="50B420B5" w14:textId="4781B679" w:rsidR="00FB5724" w:rsidRPr="00D906FE" w:rsidRDefault="00DE7757" w:rsidP="00FB5724">
            <w:pPr>
              <w:pStyle w:val="PlainText"/>
              <w:ind w:left="1"/>
            </w:pPr>
            <w:r w:rsidRPr="00D906FE">
              <w:t>In this</w:t>
            </w:r>
            <w:r w:rsidR="00FB5724" w:rsidRPr="00D906FE">
              <w:t xml:space="preserve"> implementation phase, we have been colle</w:t>
            </w:r>
            <w:r w:rsidR="004D7C76" w:rsidRPr="00D906FE">
              <w:t>c</w:t>
            </w:r>
            <w:r w:rsidR="00FB5724" w:rsidRPr="00D906FE">
              <w:t xml:space="preserve">ting baseline data and thus there has been </w:t>
            </w:r>
            <w:r w:rsidRPr="00D906FE">
              <w:t xml:space="preserve">limited </w:t>
            </w:r>
            <w:r w:rsidR="00FB5724" w:rsidRPr="00D906FE">
              <w:t xml:space="preserve">change. </w:t>
            </w:r>
            <w:r w:rsidR="00B578AB" w:rsidRPr="00D906FE">
              <w:t>W</w:t>
            </w:r>
            <w:r w:rsidR="00FB5724" w:rsidRPr="00D906FE">
              <w:t xml:space="preserve">e have identified </w:t>
            </w:r>
            <w:r w:rsidRPr="00D906FE">
              <w:t xml:space="preserve">a </w:t>
            </w:r>
            <w:r w:rsidR="00FB5724" w:rsidRPr="00D906FE">
              <w:t xml:space="preserve">future </w:t>
            </w:r>
            <w:r w:rsidRPr="00D906FE">
              <w:t xml:space="preserve">focus </w:t>
            </w:r>
            <w:r w:rsidR="00FB5724" w:rsidRPr="00D906FE">
              <w:t xml:space="preserve">to </w:t>
            </w:r>
            <w:r w:rsidRPr="00D906FE">
              <w:t>alter</w:t>
            </w:r>
            <w:r w:rsidR="00FB5724" w:rsidRPr="00D906FE">
              <w:t xml:space="preserve"> the way student perception data</w:t>
            </w:r>
            <w:r w:rsidRPr="00D906FE">
              <w:t xml:space="preserve"> is collected</w:t>
            </w:r>
            <w:r w:rsidR="00FB5724" w:rsidRPr="00D906FE">
              <w:t xml:space="preserve"> </w:t>
            </w:r>
            <w:r w:rsidRPr="00D906FE">
              <w:t xml:space="preserve">and to enhance the collection of </w:t>
            </w:r>
            <w:r w:rsidR="00B578AB" w:rsidRPr="00D906FE">
              <w:t>school program and process data.</w:t>
            </w:r>
          </w:p>
          <w:p w14:paraId="2A4DC666" w14:textId="77777777" w:rsidR="00161E50" w:rsidRPr="00D906FE" w:rsidRDefault="00161E50" w:rsidP="006D2F6B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b/>
                <w:bCs/>
              </w:rPr>
            </w:pPr>
            <w:r w:rsidRPr="00D906FE">
              <w:rPr>
                <w:b/>
                <w:bCs/>
              </w:rPr>
              <w:t xml:space="preserve">What implications does </w:t>
            </w:r>
            <w:r w:rsidR="006D2F6B" w:rsidRPr="00D906FE">
              <w:rPr>
                <w:b/>
                <w:bCs/>
              </w:rPr>
              <w:t>this evidence</w:t>
            </w:r>
            <w:r w:rsidR="00846E51" w:rsidRPr="00D906FE">
              <w:rPr>
                <w:b/>
                <w:bCs/>
              </w:rPr>
              <w:t xml:space="preserve"> have for your next A</w:t>
            </w:r>
            <w:r w:rsidRPr="00D906FE">
              <w:rPr>
                <w:b/>
                <w:bCs/>
              </w:rPr>
              <w:t>P?</w:t>
            </w:r>
          </w:p>
          <w:p w14:paraId="2DFB70DA" w14:textId="7DA164D9" w:rsidR="00B578AB" w:rsidRPr="00D906FE" w:rsidRDefault="00B578AB" w:rsidP="00B578AB">
            <w:pPr>
              <w:pStyle w:val="PlainText"/>
              <w:ind w:left="1"/>
            </w:pPr>
            <w:r w:rsidRPr="00D906FE">
              <w:t xml:space="preserve">Our next </w:t>
            </w:r>
            <w:r w:rsidR="00D81FDA" w:rsidRPr="00D906FE">
              <w:t>A</w:t>
            </w:r>
            <w:r w:rsidRPr="00D906FE">
              <w:t xml:space="preserve">ction </w:t>
            </w:r>
            <w:r w:rsidR="00D81FDA" w:rsidRPr="00D906FE">
              <w:t>P</w:t>
            </w:r>
            <w:r w:rsidRPr="00D906FE">
              <w:t xml:space="preserve">lan will </w:t>
            </w:r>
            <w:r w:rsidR="00D81FDA" w:rsidRPr="00D906FE">
              <w:t>build on</w:t>
            </w:r>
            <w:r w:rsidRPr="00D906FE">
              <w:t xml:space="preserve"> the achievements made this year. There will be a greater focus on the teaching of Mathematics in the senior years as the data suggests </w:t>
            </w:r>
            <w:r w:rsidR="00136B20" w:rsidRPr="00D906FE">
              <w:t xml:space="preserve">an improved requirement for focus </w:t>
            </w:r>
            <w:r w:rsidRPr="00D906FE">
              <w:t>between years 3 and 5. We will also make minor changes to our data collection methods</w:t>
            </w:r>
            <w:r w:rsidR="00D81FDA" w:rsidRPr="00D906FE">
              <w:t>.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BD2BCD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4D5BB4D7" w14:textId="77777777" w:rsidR="00BD2BCD" w:rsidRPr="00D906FE" w:rsidRDefault="00BD2BCD" w:rsidP="00BD2BC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906FE">
              <w:rPr>
                <w:b/>
              </w:rPr>
              <w:t>Broaden the repertoire of effective mathematical pedagogical practices and curriculum expertise of educators P-6</w:t>
            </w:r>
          </w:p>
          <w:p w14:paraId="52357FAF" w14:textId="0789ED3F" w:rsidR="00BD2BCD" w:rsidRPr="00D906FE" w:rsidRDefault="00AE0608" w:rsidP="00BD2BCD">
            <w:pPr>
              <w:pStyle w:val="ListBullet"/>
              <w:numPr>
                <w:ilvl w:val="0"/>
                <w:numId w:val="17"/>
              </w:numPr>
            </w:pPr>
            <w:r w:rsidRPr="00D906FE">
              <w:t>Delivery of a suite of professional learning experiences for teachers</w:t>
            </w:r>
            <w:r w:rsidR="00BC7FC0" w:rsidRPr="00D906FE">
              <w:t xml:space="preserve"> encompassing collaborative strategies, games, problem solving and effective use of resources</w:t>
            </w:r>
          </w:p>
          <w:p w14:paraId="697045C5" w14:textId="77777777" w:rsidR="00BD2BCD" w:rsidRPr="00D906FE" w:rsidRDefault="00BD2BCD" w:rsidP="00BD2BC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906FE">
              <w:rPr>
                <w:b/>
              </w:rPr>
              <w:t>Develop consistency in delivery in delivery of curriculum with a vertical P-6 alignment of progressions</w:t>
            </w:r>
          </w:p>
          <w:p w14:paraId="133197AC" w14:textId="40E0A2F3" w:rsidR="00BD2BCD" w:rsidRPr="00D906FE" w:rsidRDefault="00AE0608" w:rsidP="00BD2BCD">
            <w:pPr>
              <w:pStyle w:val="ListBullet"/>
              <w:numPr>
                <w:ilvl w:val="0"/>
                <w:numId w:val="17"/>
              </w:numPr>
            </w:pPr>
            <w:r w:rsidRPr="00D906FE">
              <w:t>Development of a dynamic whole of school scope and sequence aligned with the Australian Curriculum</w:t>
            </w:r>
          </w:p>
          <w:p w14:paraId="04D82863" w14:textId="6C5B973D" w:rsidR="00AE0608" w:rsidRPr="00D906FE" w:rsidRDefault="00AE0608" w:rsidP="00BD2BCD">
            <w:pPr>
              <w:pStyle w:val="ListBullet"/>
              <w:numPr>
                <w:ilvl w:val="0"/>
                <w:numId w:val="17"/>
              </w:numPr>
            </w:pPr>
            <w:r w:rsidRPr="00D906FE">
              <w:t>Implementation of scope and sequence by teachers and teaching teams</w:t>
            </w:r>
          </w:p>
          <w:p w14:paraId="709453AF" w14:textId="77777777" w:rsidR="00BD2BCD" w:rsidRPr="00D906FE" w:rsidRDefault="00BD2BCD" w:rsidP="00BD2BC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906FE">
              <w:rPr>
                <w:b/>
              </w:rPr>
              <w:t>Deepen parent/carer engagement to increase understanding of teaching and learning in Mathematics</w:t>
            </w:r>
          </w:p>
          <w:p w14:paraId="055B553E" w14:textId="2349F5EA" w:rsidR="00BD2BCD" w:rsidRPr="00D906FE" w:rsidRDefault="00BC7FC0" w:rsidP="00BD2BCD">
            <w:pPr>
              <w:pStyle w:val="ListBullet"/>
              <w:numPr>
                <w:ilvl w:val="0"/>
                <w:numId w:val="17"/>
              </w:numPr>
            </w:pPr>
            <w:r w:rsidRPr="00D906FE">
              <w:lastRenderedPageBreak/>
              <w:t>Development and delivery of a</w:t>
            </w:r>
            <w:r w:rsidR="00F14618" w:rsidRPr="00D906FE">
              <w:t>n online</w:t>
            </w:r>
            <w:r w:rsidRPr="00D906FE">
              <w:t xml:space="preserve"> parent/carer survey to create baseline data and plan for future </w:t>
            </w:r>
            <w:r w:rsidR="00F14618" w:rsidRPr="00D906FE">
              <w:t xml:space="preserve">opportunities for parental engagement </w:t>
            </w:r>
          </w:p>
          <w:p w14:paraId="1BE1D7F5" w14:textId="77777777" w:rsidR="00BD2BCD" w:rsidRPr="00D906FE" w:rsidRDefault="00BD2BCD" w:rsidP="00BD2BCD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226A0D4" w14:textId="77777777" w:rsidR="00BD2BCD" w:rsidRPr="00D906FE" w:rsidRDefault="00BD2BCD" w:rsidP="00BD2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D906FE">
              <w:rPr>
                <w:b/>
              </w:rPr>
              <w:t>Our school’s contribution to whole-of-system Strategic Indicators’</w:t>
            </w:r>
          </w:p>
          <w:p w14:paraId="48C5D032" w14:textId="7AFFA2BB" w:rsidR="00F14618" w:rsidRPr="00CA26FB" w:rsidRDefault="00F14618" w:rsidP="00556FFC">
            <w:pPr>
              <w:pStyle w:val="ListBullet"/>
              <w:numPr>
                <w:ilvl w:val="0"/>
                <w:numId w:val="17"/>
              </w:numPr>
            </w:pPr>
            <w:r w:rsidRPr="00D906FE">
              <w:t>New and improved Information Evening- to enable more families to access information about the teaching and learning program</w:t>
            </w:r>
            <w:r w:rsidR="00D72DEB" w:rsidRPr="00D906FE">
              <w:t xml:space="preserve"> with opportunities to ask questions in a small and more personalised environment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BD2BCD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1EFD1F85" w14:textId="2F325D47" w:rsidR="00937D6F" w:rsidRPr="00D906FE" w:rsidRDefault="00C11A2A" w:rsidP="00C11A2A">
            <w:pPr>
              <w:pStyle w:val="ListBullet"/>
            </w:pPr>
            <w:r w:rsidRPr="00D906FE">
              <w:t>Move to the next phase (publishing) of the Parent Engagement Suite of resources on the School Website</w:t>
            </w:r>
          </w:p>
          <w:p w14:paraId="7F35A4A3" w14:textId="77777777" w:rsidR="00C11A2A" w:rsidRPr="00D906FE" w:rsidRDefault="00C11A2A" w:rsidP="00C11A2A">
            <w:pPr>
              <w:pStyle w:val="ListBullet"/>
            </w:pPr>
            <w:r w:rsidRPr="00D906FE">
              <w:t>Adapt the Mathematics Scope and Sequence for the 2020 school year, cohorts and individual</w:t>
            </w:r>
            <w:r w:rsidR="00D72DEB" w:rsidRPr="00D906FE">
              <w:t xml:space="preserve"> students</w:t>
            </w:r>
            <w:r w:rsidRPr="00D906FE">
              <w:t xml:space="preserve"> </w:t>
            </w:r>
          </w:p>
          <w:p w14:paraId="47F9FE7F" w14:textId="77777777" w:rsidR="00911510" w:rsidRPr="00D906FE" w:rsidRDefault="00911510" w:rsidP="00911510">
            <w:pPr>
              <w:pStyle w:val="ListBullet"/>
            </w:pPr>
            <w:r w:rsidRPr="00D906FE">
              <w:t>Staff turnover</w:t>
            </w:r>
          </w:p>
          <w:p w14:paraId="34840EBE" w14:textId="77777777" w:rsidR="00911510" w:rsidRPr="00D906FE" w:rsidRDefault="00911510" w:rsidP="00911510">
            <w:pPr>
              <w:pStyle w:val="ListBullet"/>
            </w:pPr>
            <w:r w:rsidRPr="00D906FE">
              <w:t>Budget</w:t>
            </w:r>
          </w:p>
          <w:p w14:paraId="21501890" w14:textId="464F0010" w:rsidR="003E002A" w:rsidRDefault="003E002A" w:rsidP="00911510">
            <w:pPr>
              <w:pStyle w:val="ListBullet"/>
            </w:pPr>
            <w:r w:rsidRPr="00D906FE">
              <w:t xml:space="preserve">Next phase of whole school </w:t>
            </w:r>
            <w:r w:rsidR="004D7C76" w:rsidRPr="00D906FE">
              <w:t>professional learning</w:t>
            </w:r>
            <w:r w:rsidRPr="00D906FE">
              <w:t xml:space="preserve"> including </w:t>
            </w:r>
            <w:r w:rsidRPr="00D906FE">
              <w:rPr>
                <w:i/>
                <w:iCs/>
              </w:rPr>
              <w:t xml:space="preserve">Middle Years Mental </w:t>
            </w:r>
            <w:proofErr w:type="gramStart"/>
            <w:r w:rsidRPr="00D906FE">
              <w:rPr>
                <w:i/>
                <w:iCs/>
              </w:rPr>
              <w:t>Com</w:t>
            </w:r>
            <w:r w:rsidR="00D906FE" w:rsidRPr="00D906FE">
              <w:rPr>
                <w:i/>
                <w:iCs/>
              </w:rPr>
              <w:t>putation</w:t>
            </w:r>
            <w:r w:rsidR="00D906FE" w:rsidRPr="00D906FE">
              <w:t xml:space="preserve"> </w:t>
            </w:r>
            <w:r w:rsidRPr="00D906FE">
              <w:t xml:space="preserve"> and</w:t>
            </w:r>
            <w:proofErr w:type="gramEnd"/>
            <w:r w:rsidRPr="00D906FE">
              <w:t xml:space="preserve"> </w:t>
            </w:r>
            <w:r w:rsidRPr="00D906FE">
              <w:rPr>
                <w:i/>
                <w:iCs/>
              </w:rPr>
              <w:t>Count me in Too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4B3DF9B2" w:rsidR="00EB70CE" w:rsidRPr="00D906FE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8F6B48" w:rsidRPr="00D906FE">
        <w:rPr>
          <w:color w:val="auto"/>
        </w:rPr>
        <w:t>Students will improve reading skills with a particular focus on deep comprehension</w:t>
      </w:r>
    </w:p>
    <w:p w14:paraId="516A240E" w14:textId="77777777" w:rsidR="00EB70CE" w:rsidRPr="00D906FE" w:rsidRDefault="00EB70CE" w:rsidP="00EB70CE">
      <w:pPr>
        <w:pStyle w:val="Heading3"/>
      </w:pPr>
      <w:r w:rsidRPr="00D906FE">
        <w:t>Targets or measures</w:t>
      </w:r>
    </w:p>
    <w:p w14:paraId="6FF6208C" w14:textId="1B992ED5" w:rsidR="00EB70CE" w:rsidRPr="00D906FE" w:rsidRDefault="00EB70CE" w:rsidP="00EB70CE">
      <w:pPr>
        <w:pStyle w:val="BodyText"/>
      </w:pPr>
      <w:r w:rsidRPr="00D906FE">
        <w:t>By the end of 20</w:t>
      </w:r>
      <w:r w:rsidR="008F6B48" w:rsidRPr="00D906FE">
        <w:t>23</w:t>
      </w:r>
      <w:r w:rsidRPr="00D906FE">
        <w:t xml:space="preserve"> we will achieve:</w:t>
      </w:r>
    </w:p>
    <w:p w14:paraId="11CE2080" w14:textId="53453C26" w:rsidR="008F6B48" w:rsidRPr="00D906FE" w:rsidRDefault="00412EF6" w:rsidP="00EB70CE">
      <w:pPr>
        <w:pStyle w:val="ListBullet"/>
      </w:pPr>
      <w:r w:rsidRPr="00D906FE">
        <w:t>An i</w:t>
      </w:r>
      <w:r w:rsidR="00AF468E" w:rsidRPr="00D906FE">
        <w:t>ncrease t</w:t>
      </w:r>
      <w:r w:rsidR="00C942EF" w:rsidRPr="00D906FE">
        <w:t>he proportion of students at or above expected growth in NAPLAN Reading</w:t>
      </w:r>
    </w:p>
    <w:p w14:paraId="439E8B9F" w14:textId="3DD93674" w:rsidR="00C942EF" w:rsidRPr="00D906FE" w:rsidRDefault="00412EF6" w:rsidP="00EB70CE">
      <w:pPr>
        <w:pStyle w:val="ListBullet"/>
      </w:pPr>
      <w:r w:rsidRPr="00D906FE">
        <w:t>An i</w:t>
      </w:r>
      <w:r w:rsidR="00C942EF" w:rsidRPr="00D906FE">
        <w:t>ncrease in the proportion of students in the top two NAPLAN bands of Reading</w:t>
      </w:r>
    </w:p>
    <w:p w14:paraId="75C4990E" w14:textId="2AC8AE4F" w:rsidR="00C942EF" w:rsidRPr="00D906FE" w:rsidRDefault="00412EF6" w:rsidP="00EB70CE">
      <w:pPr>
        <w:pStyle w:val="ListBullet"/>
      </w:pPr>
      <w:r w:rsidRPr="00D906FE">
        <w:t>An i</w:t>
      </w:r>
      <w:r w:rsidR="00AF468E" w:rsidRPr="00D906FE">
        <w:t>ncrease in the proportion of</w:t>
      </w:r>
      <w:r w:rsidR="00C942EF" w:rsidRPr="00D906FE">
        <w:t xml:space="preserve"> children </w:t>
      </w:r>
      <w:r w:rsidR="00AF468E" w:rsidRPr="00D906FE">
        <w:t>making</w:t>
      </w:r>
      <w:r w:rsidR="00C942EF" w:rsidRPr="00D906FE">
        <w:t xml:space="preserve"> expected growth or better in PIPS Reading</w:t>
      </w:r>
    </w:p>
    <w:p w14:paraId="6BF90988" w14:textId="59838884" w:rsidR="00EB70CE" w:rsidRPr="00D906FE" w:rsidRDefault="00EB70CE" w:rsidP="00EB70CE">
      <w:pPr>
        <w:pStyle w:val="BodyText"/>
      </w:pPr>
      <w:r w:rsidRPr="00D906FE">
        <w:t>In 20</w:t>
      </w:r>
      <w:r w:rsidR="008F6B48" w:rsidRPr="00D906FE">
        <w:t>19</w:t>
      </w:r>
      <w:r w:rsidRPr="00D906FE">
        <w:t xml:space="preserve"> we implemented this priority through the following strategies.</w:t>
      </w:r>
    </w:p>
    <w:p w14:paraId="3A69B030" w14:textId="5F2A0AFF" w:rsidR="00C942EF" w:rsidRPr="00D906FE" w:rsidRDefault="00C942EF" w:rsidP="00C942EF">
      <w:pPr>
        <w:pStyle w:val="ListBullet"/>
      </w:pPr>
      <w:r w:rsidRPr="00D906FE">
        <w:t>Foster</w:t>
      </w:r>
      <w:r w:rsidR="00412EF6" w:rsidRPr="00D906FE">
        <w:t>ing</w:t>
      </w:r>
      <w:r w:rsidRPr="00D906FE">
        <w:t xml:space="preserve"> whole of school motivation and engagement in reading</w:t>
      </w:r>
    </w:p>
    <w:p w14:paraId="0398E447" w14:textId="723374D8" w:rsidR="00C942EF" w:rsidRPr="00D906FE" w:rsidRDefault="00C942EF" w:rsidP="00C942EF">
      <w:pPr>
        <w:pStyle w:val="ListBullet"/>
      </w:pPr>
      <w:r w:rsidRPr="00D906FE">
        <w:t>Broaden</w:t>
      </w:r>
      <w:r w:rsidR="00412EF6" w:rsidRPr="00D906FE">
        <w:t>ing</w:t>
      </w:r>
      <w:r w:rsidRPr="00D906FE">
        <w:t xml:space="preserve"> the repertoire of effective </w:t>
      </w:r>
      <w:r w:rsidR="00371DC5" w:rsidRPr="00D906FE">
        <w:t>r</w:t>
      </w:r>
      <w:r w:rsidRPr="00D906FE">
        <w:t>eading pedagogical practice and curriculum expertise of educators P-6</w:t>
      </w:r>
    </w:p>
    <w:p w14:paraId="1B7A2C2C" w14:textId="7CD33437" w:rsidR="00C942EF" w:rsidRPr="00D906FE" w:rsidRDefault="00B3421F" w:rsidP="00C942EF">
      <w:pPr>
        <w:pStyle w:val="ListBullet"/>
      </w:pPr>
      <w:r w:rsidRPr="00D906FE">
        <w:t>Enhancing</w:t>
      </w:r>
      <w:r w:rsidR="00C942EF" w:rsidRPr="00D906FE">
        <w:t xml:space="preserve"> parent/carer engagement to increase understanding of teaching and learning in reading</w:t>
      </w:r>
    </w:p>
    <w:p w14:paraId="32A84660" w14:textId="3823246A" w:rsidR="00EB70CE" w:rsidRDefault="00EB70CE" w:rsidP="00EB70CE">
      <w:pPr>
        <w:pStyle w:val="PlainText"/>
        <w:rPr>
          <w:noProof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DA2973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DA2973" w:rsidRPr="00D03B0C" w:rsidRDefault="00DA2973" w:rsidP="00DA2973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DA2973" w:rsidRPr="00D03B0C" w:rsidRDefault="00DA2973" w:rsidP="00DA2973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69141481" w:rsidR="00DA2973" w:rsidRPr="00D03B0C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0D73E116" w14:textId="7D25AA32" w:rsidR="00DA2973" w:rsidRPr="00D03B0C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318EBF9E" w14:textId="63216A39" w:rsidR="00DA2973" w:rsidRPr="00D03B0C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4C59D3D5" w14:textId="35D5B3AE" w:rsidR="00DA2973" w:rsidRPr="00D03B0C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1" w:type="dxa"/>
            <w:shd w:val="clear" w:color="auto" w:fill="auto"/>
          </w:tcPr>
          <w:p w14:paraId="2D207E80" w14:textId="5243B715" w:rsidR="00DA2973" w:rsidRPr="00D03B0C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EB70CE" w14:paraId="619F7E44" w14:textId="77777777" w:rsidTr="00F454CA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0A8D9D4A" w:rsidR="00EB70CE" w:rsidRPr="00D906FE" w:rsidRDefault="00371DC5" w:rsidP="00371DC5">
            <w:pPr>
              <w:pStyle w:val="ListBullet"/>
              <w:numPr>
                <w:ilvl w:val="0"/>
                <w:numId w:val="0"/>
              </w:numPr>
              <w:ind w:firstLine="2"/>
            </w:pPr>
            <w:r w:rsidRPr="00D906FE">
              <w:t>An increase the proportion of students at or above expected growth in NAPLAN Reading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3F8A2C" w14:textId="08394B54" w:rsidR="00EB70CE" w:rsidRPr="00D03B0C" w:rsidRDefault="000D191B" w:rsidP="00F454CA">
            <w:pPr>
              <w:jc w:val="center"/>
            </w:pPr>
            <w:r>
              <w:t>63.5%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7A47674" w14:textId="29B9615E" w:rsidR="00EB70CE" w:rsidRPr="00D03B0C" w:rsidRDefault="0036780F" w:rsidP="00F454CA">
            <w:pPr>
              <w:jc w:val="center"/>
            </w:pPr>
            <w:r>
              <w:t>70%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B610A06" w14:textId="77777777" w:rsidR="00EB70CE" w:rsidRPr="00D03B0C" w:rsidRDefault="00EB70CE" w:rsidP="00F454CA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4CA5668" w14:textId="77777777" w:rsidR="00EB70CE" w:rsidRPr="00D03B0C" w:rsidRDefault="00EB70CE" w:rsidP="00F454CA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1619F89" w14:textId="77777777" w:rsidR="00EB70CE" w:rsidRPr="00D03B0C" w:rsidRDefault="00EB70CE" w:rsidP="00F454CA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93216C0" w14:textId="77777777" w:rsidR="00EB70CE" w:rsidRPr="00D03B0C" w:rsidRDefault="00EB70CE" w:rsidP="00F454CA">
            <w:pPr>
              <w:jc w:val="center"/>
            </w:pPr>
          </w:p>
        </w:tc>
      </w:tr>
      <w:tr w:rsidR="0036780F" w14:paraId="23D19068" w14:textId="77777777" w:rsidTr="00F454CA">
        <w:trPr>
          <w:jc w:val="center"/>
        </w:trPr>
        <w:tc>
          <w:tcPr>
            <w:tcW w:w="4297" w:type="dxa"/>
            <w:shd w:val="clear" w:color="auto" w:fill="auto"/>
          </w:tcPr>
          <w:p w14:paraId="16013217" w14:textId="4B7018B7" w:rsidR="0036780F" w:rsidRPr="00D906FE" w:rsidRDefault="0036780F" w:rsidP="0036780F">
            <w:pPr>
              <w:pStyle w:val="ListBullet"/>
              <w:numPr>
                <w:ilvl w:val="0"/>
                <w:numId w:val="0"/>
              </w:numPr>
              <w:ind w:firstLine="2"/>
            </w:pPr>
            <w:r w:rsidRPr="00D906FE">
              <w:t>An increase in the proportion of students in the top two NAPLAN bands of Reading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9B1BC3" w14:textId="4A0A4337" w:rsidR="0036780F" w:rsidRPr="003D4FDC" w:rsidRDefault="0036780F" w:rsidP="0036780F">
            <w:pPr>
              <w:jc w:val="center"/>
              <w:rPr>
                <w:sz w:val="16"/>
                <w:szCs w:val="16"/>
              </w:rPr>
            </w:pPr>
            <w:r w:rsidRPr="003D4FDC">
              <w:rPr>
                <w:sz w:val="16"/>
                <w:szCs w:val="16"/>
              </w:rPr>
              <w:t>Yr3 46.9%</w:t>
            </w:r>
          </w:p>
          <w:p w14:paraId="46EB50F4" w14:textId="61D14B5D" w:rsidR="0036780F" w:rsidRPr="00D03B0C" w:rsidRDefault="0036780F" w:rsidP="0036780F">
            <w:pPr>
              <w:jc w:val="center"/>
            </w:pPr>
            <w:r w:rsidRPr="003D4FDC">
              <w:rPr>
                <w:sz w:val="16"/>
                <w:szCs w:val="16"/>
              </w:rPr>
              <w:t>Yr5 32.3%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E83745" w14:textId="6B616C47" w:rsidR="0036780F" w:rsidRPr="003D4FDC" w:rsidRDefault="0036780F" w:rsidP="0036780F">
            <w:pPr>
              <w:jc w:val="center"/>
              <w:rPr>
                <w:sz w:val="16"/>
                <w:szCs w:val="16"/>
              </w:rPr>
            </w:pPr>
            <w:r w:rsidRPr="003D4FDC">
              <w:rPr>
                <w:sz w:val="16"/>
                <w:szCs w:val="16"/>
              </w:rPr>
              <w:t xml:space="preserve">Yr3 </w:t>
            </w:r>
            <w:r>
              <w:rPr>
                <w:sz w:val="16"/>
                <w:szCs w:val="16"/>
              </w:rPr>
              <w:t>50.6</w:t>
            </w:r>
            <w:r w:rsidRPr="003D4FDC">
              <w:rPr>
                <w:sz w:val="16"/>
                <w:szCs w:val="16"/>
              </w:rPr>
              <w:t>%</w:t>
            </w:r>
          </w:p>
          <w:p w14:paraId="4C8D8E1C" w14:textId="3F7A9DEA" w:rsidR="0036780F" w:rsidRPr="00D03B0C" w:rsidRDefault="0036780F" w:rsidP="0036780F">
            <w:pPr>
              <w:jc w:val="center"/>
            </w:pPr>
            <w:r w:rsidRPr="003D4FDC">
              <w:rPr>
                <w:sz w:val="16"/>
                <w:szCs w:val="16"/>
              </w:rPr>
              <w:t xml:space="preserve">Yr5 </w:t>
            </w:r>
            <w:r>
              <w:rPr>
                <w:sz w:val="16"/>
                <w:szCs w:val="16"/>
              </w:rPr>
              <w:t>39.4</w:t>
            </w:r>
            <w:r w:rsidRPr="003D4FDC">
              <w:rPr>
                <w:sz w:val="16"/>
                <w:szCs w:val="16"/>
              </w:rPr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D91B078" w14:textId="77777777" w:rsidR="0036780F" w:rsidRPr="00D03B0C" w:rsidRDefault="0036780F" w:rsidP="0036780F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92BE5CE" w14:textId="77777777" w:rsidR="0036780F" w:rsidRPr="00D03B0C" w:rsidRDefault="0036780F" w:rsidP="0036780F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41BCD33" w14:textId="77777777" w:rsidR="0036780F" w:rsidRPr="00D03B0C" w:rsidRDefault="0036780F" w:rsidP="0036780F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99C14A9" w14:textId="77777777" w:rsidR="0036780F" w:rsidRPr="00D03B0C" w:rsidRDefault="0036780F" w:rsidP="0036780F">
            <w:pPr>
              <w:jc w:val="center"/>
            </w:pPr>
          </w:p>
        </w:tc>
      </w:tr>
      <w:tr w:rsidR="0036780F" w14:paraId="4B3410E5" w14:textId="77777777" w:rsidTr="00D906FE">
        <w:trPr>
          <w:trHeight w:val="19"/>
          <w:jc w:val="center"/>
        </w:trPr>
        <w:tc>
          <w:tcPr>
            <w:tcW w:w="4297" w:type="dxa"/>
            <w:shd w:val="clear" w:color="auto" w:fill="auto"/>
          </w:tcPr>
          <w:p w14:paraId="3EBBF196" w14:textId="65AE6773" w:rsidR="0036780F" w:rsidRPr="00D906FE" w:rsidRDefault="0036780F" w:rsidP="0036780F">
            <w:pPr>
              <w:pStyle w:val="ListBullet"/>
              <w:numPr>
                <w:ilvl w:val="0"/>
                <w:numId w:val="0"/>
              </w:numPr>
              <w:ind w:firstLine="2"/>
            </w:pPr>
            <w:r w:rsidRPr="00D906FE">
              <w:t>An increase in the proportion of children making expected growth or better in PIPS Reading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B2FDD23" w14:textId="76FF39B2" w:rsidR="0036780F" w:rsidRPr="00D03B0C" w:rsidRDefault="0036780F" w:rsidP="0036780F">
            <w:pPr>
              <w:jc w:val="center"/>
            </w:pPr>
            <w:r>
              <w:t>72%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64352CC" w14:textId="11904C62" w:rsidR="0036780F" w:rsidRPr="00D03B0C" w:rsidRDefault="0036780F" w:rsidP="0036780F">
            <w:pPr>
              <w:jc w:val="center"/>
            </w:pPr>
            <w:r>
              <w:t>86.4%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FCC0FBC" w14:textId="77777777" w:rsidR="0036780F" w:rsidRPr="00D03B0C" w:rsidRDefault="0036780F" w:rsidP="0036780F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2847EE8" w14:textId="77777777" w:rsidR="0036780F" w:rsidRPr="00D03B0C" w:rsidRDefault="0036780F" w:rsidP="0036780F">
            <w:pPr>
              <w:jc w:val="center"/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0055B6E" w14:textId="77777777" w:rsidR="0036780F" w:rsidRPr="00D03B0C" w:rsidRDefault="0036780F" w:rsidP="0036780F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89159F0" w14:textId="77777777" w:rsidR="0036780F" w:rsidRPr="00D03B0C" w:rsidRDefault="0036780F" w:rsidP="0036780F">
            <w:pPr>
              <w:jc w:val="center"/>
            </w:pPr>
          </w:p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2"/>
        <w:gridCol w:w="965"/>
        <w:gridCol w:w="926"/>
        <w:gridCol w:w="771"/>
        <w:gridCol w:w="771"/>
        <w:gridCol w:w="771"/>
        <w:gridCol w:w="772"/>
      </w:tblGrid>
      <w:tr w:rsidR="00DA2973" w14:paraId="1396D008" w14:textId="77777777" w:rsidTr="00802B7A">
        <w:trPr>
          <w:jc w:val="center"/>
        </w:trPr>
        <w:tc>
          <w:tcPr>
            <w:tcW w:w="4062" w:type="dxa"/>
            <w:shd w:val="clear" w:color="auto" w:fill="auto"/>
          </w:tcPr>
          <w:p w14:paraId="6A81EE33" w14:textId="77777777" w:rsidR="00DA2973" w:rsidRPr="006D2F6B" w:rsidRDefault="00DA2973" w:rsidP="00DA297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965" w:type="dxa"/>
            <w:shd w:val="clear" w:color="auto" w:fill="auto"/>
          </w:tcPr>
          <w:p w14:paraId="159C188F" w14:textId="77777777" w:rsidR="00DA2973" w:rsidRPr="006D2F6B" w:rsidRDefault="00DA2973" w:rsidP="00DA297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926" w:type="dxa"/>
            <w:shd w:val="clear" w:color="auto" w:fill="auto"/>
          </w:tcPr>
          <w:p w14:paraId="2066ED5C" w14:textId="1BAB0FE3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14:paraId="27AC99DF" w14:textId="2058DE58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14:paraId="2397C360" w14:textId="70A417E9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1" w:type="dxa"/>
            <w:shd w:val="clear" w:color="auto" w:fill="auto"/>
          </w:tcPr>
          <w:p w14:paraId="102EF8AB" w14:textId="52B5DA88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2" w:type="dxa"/>
            <w:shd w:val="clear" w:color="auto" w:fill="auto"/>
          </w:tcPr>
          <w:p w14:paraId="750673D6" w14:textId="407C1AD7" w:rsidR="00DA2973" w:rsidRPr="006D2F6B" w:rsidRDefault="00DA2973" w:rsidP="00DA29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6780F" w14:paraId="715AAF1C" w14:textId="77777777" w:rsidTr="00802B7A">
        <w:trPr>
          <w:jc w:val="center"/>
        </w:trPr>
        <w:tc>
          <w:tcPr>
            <w:tcW w:w="4062" w:type="dxa"/>
            <w:shd w:val="clear" w:color="auto" w:fill="auto"/>
          </w:tcPr>
          <w:p w14:paraId="1BB77CFA" w14:textId="3DF6FE2C" w:rsidR="0036780F" w:rsidRPr="00D906FE" w:rsidRDefault="0036780F" w:rsidP="0036780F">
            <w:pPr>
              <w:pStyle w:val="PlainText"/>
            </w:pPr>
            <w:r w:rsidRPr="00D906FE">
              <w:t xml:space="preserve">Increase the proportion of parents/carers who are satisfied </w:t>
            </w:r>
            <w:r w:rsidR="00A66CA8">
              <w:t xml:space="preserve">(score of 4 or 5) </w:t>
            </w:r>
            <w:r w:rsidRPr="00D906FE">
              <w:t>that their child is progressing in reading.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94253E4" w14:textId="437F0E6C" w:rsidR="0036780F" w:rsidRPr="006D2F6B" w:rsidRDefault="00D906FE" w:rsidP="0036780F">
            <w:pPr>
              <w:jc w:val="center"/>
            </w:pPr>
            <w:r>
              <w:t>See 2019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0994033" w14:textId="2D719042" w:rsidR="0036780F" w:rsidRPr="00802B7A" w:rsidRDefault="0036780F" w:rsidP="0036780F">
            <w:pPr>
              <w:jc w:val="center"/>
            </w:pPr>
            <w:r w:rsidRPr="00802B7A">
              <w:t>69.4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40AD5D" w14:textId="77777777" w:rsidR="0036780F" w:rsidRPr="006D2F6B" w:rsidRDefault="0036780F" w:rsidP="0036780F">
            <w:pPr>
              <w:jc w:val="center"/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6476B2E" w14:textId="77777777" w:rsidR="0036780F" w:rsidRPr="006D2F6B" w:rsidRDefault="0036780F" w:rsidP="0036780F">
            <w:pPr>
              <w:jc w:val="center"/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CE7857F" w14:textId="77777777" w:rsidR="0036780F" w:rsidRPr="006D2F6B" w:rsidRDefault="0036780F" w:rsidP="0036780F">
            <w:pPr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8F95C67" w14:textId="77777777" w:rsidR="0036780F" w:rsidRPr="006D2F6B" w:rsidRDefault="0036780F" w:rsidP="0036780F">
            <w:pPr>
              <w:jc w:val="center"/>
            </w:pPr>
          </w:p>
        </w:tc>
      </w:tr>
      <w:tr w:rsidR="00802B7A" w14:paraId="6DD2C688" w14:textId="77777777" w:rsidTr="00802B7A">
        <w:trPr>
          <w:jc w:val="center"/>
        </w:trPr>
        <w:tc>
          <w:tcPr>
            <w:tcW w:w="4062" w:type="dxa"/>
            <w:shd w:val="clear" w:color="auto" w:fill="auto"/>
          </w:tcPr>
          <w:p w14:paraId="3EFCC141" w14:textId="7052ED53" w:rsidR="00802B7A" w:rsidRPr="00D906FE" w:rsidRDefault="00802B7A" w:rsidP="0036780F">
            <w:r w:rsidRPr="00D906FE">
              <w:t>Increase the proportion of students who are satisfied that they are progressing in reading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982A543" w14:textId="7D7E0DAB" w:rsidR="00802B7A" w:rsidRPr="00D906FE" w:rsidRDefault="00802B7A" w:rsidP="0036780F">
            <w:pPr>
              <w:jc w:val="center"/>
              <w:rPr>
                <w:highlight w:val="red"/>
              </w:rPr>
            </w:pPr>
            <w:r w:rsidRPr="00802B7A">
              <w:t>To be collected start 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0ADB54" w14:textId="77777777" w:rsidR="00802B7A" w:rsidRPr="006D2F6B" w:rsidRDefault="00802B7A" w:rsidP="0036780F">
            <w:pPr>
              <w:jc w:val="center"/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F8CD83E" w14:textId="77777777" w:rsidR="00802B7A" w:rsidRPr="00D906FE" w:rsidRDefault="00802B7A" w:rsidP="0036780F">
            <w:pPr>
              <w:jc w:val="center"/>
              <w:rPr>
                <w:highlight w:val="red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9509B3D" w14:textId="77777777" w:rsidR="00802B7A" w:rsidRPr="006D2F6B" w:rsidRDefault="00802B7A" w:rsidP="0036780F">
            <w:pPr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4604F66" w14:textId="77777777" w:rsidR="00802B7A" w:rsidRPr="006D2F6B" w:rsidRDefault="00802B7A" w:rsidP="0036780F">
            <w:pPr>
              <w:jc w:val="center"/>
            </w:pPr>
          </w:p>
        </w:tc>
      </w:tr>
    </w:tbl>
    <w:p w14:paraId="4A173E60" w14:textId="4C954E35" w:rsidR="00EB70CE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8430A" w14:paraId="26000FBB" w14:textId="77777777" w:rsidTr="0098430A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5E98362" w14:textId="650A528A" w:rsidR="0098430A" w:rsidRPr="00D906FE" w:rsidRDefault="009335E3" w:rsidP="002F3F95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D906FE">
              <w:t xml:space="preserve">All teachers use the Neville Bonner Primary School </w:t>
            </w:r>
            <w:r w:rsidR="00D906FE" w:rsidRPr="00D906FE">
              <w:t>English</w:t>
            </w:r>
            <w:r w:rsidRPr="00D906FE">
              <w:t xml:space="preserve"> Scope &amp; Sequence, in alignment with the Australian Curriculum and modified to suit the needs of their Learning Group</w:t>
            </w:r>
          </w:p>
          <w:p w14:paraId="5F8C575A" w14:textId="6908F227" w:rsidR="0098430A" w:rsidRDefault="009335E3" w:rsidP="002F3F95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D906FE">
              <w:t xml:space="preserve">Targeted </w:t>
            </w:r>
            <w:r w:rsidR="00D906FE" w:rsidRPr="00D906FE">
              <w:t>English</w:t>
            </w:r>
            <w:r w:rsidRPr="00D906FE">
              <w:t xml:space="preserve"> Intervention and Enrichment opportunities have been implemented</w:t>
            </w:r>
            <w:r w:rsidR="00FD2551" w:rsidRPr="00D906FE">
              <w:t xml:space="preserve"> to support student who are achieving beyond or below expectations</w:t>
            </w:r>
            <w:r>
              <w:t xml:space="preserve"> </w:t>
            </w:r>
          </w:p>
        </w:tc>
      </w:tr>
    </w:tbl>
    <w:p w14:paraId="5D49A840" w14:textId="173EA334" w:rsidR="0098430A" w:rsidRDefault="0098430A"/>
    <w:p w14:paraId="5907BDFB" w14:textId="77777777" w:rsidR="00D906FE" w:rsidRDefault="00D906FE"/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4741"/>
      </w:tblGrid>
      <w:tr w:rsidR="003E002A" w14:paraId="18FB16D9" w14:textId="77777777" w:rsidTr="0061213D">
        <w:trPr>
          <w:jc w:val="center"/>
        </w:trPr>
        <w:tc>
          <w:tcPr>
            <w:tcW w:w="4297" w:type="dxa"/>
            <w:shd w:val="clear" w:color="auto" w:fill="auto"/>
          </w:tcPr>
          <w:p w14:paraId="78C0C329" w14:textId="6B685252" w:rsidR="003E002A" w:rsidRPr="006D2F6B" w:rsidRDefault="003E002A" w:rsidP="00DA2973">
            <w:pPr>
              <w:rPr>
                <w:b/>
              </w:rPr>
            </w:pPr>
            <w:r w:rsidRPr="006D2F6B">
              <w:rPr>
                <w:b/>
              </w:rPr>
              <w:lastRenderedPageBreak/>
              <w:t>Targets or Measures</w:t>
            </w:r>
          </w:p>
        </w:tc>
        <w:tc>
          <w:tcPr>
            <w:tcW w:w="4741" w:type="dxa"/>
            <w:shd w:val="clear" w:color="auto" w:fill="auto"/>
          </w:tcPr>
          <w:p w14:paraId="746D1CE9" w14:textId="5D839F81" w:rsidR="003E002A" w:rsidRPr="006D2F6B" w:rsidRDefault="003E002A" w:rsidP="00DA297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</w:tr>
      <w:tr w:rsidR="003E002A" w14:paraId="1A210E0B" w14:textId="77777777" w:rsidTr="00852780">
        <w:trPr>
          <w:jc w:val="center"/>
        </w:trPr>
        <w:tc>
          <w:tcPr>
            <w:tcW w:w="4297" w:type="dxa"/>
            <w:shd w:val="clear" w:color="auto" w:fill="auto"/>
          </w:tcPr>
          <w:p w14:paraId="73A85493" w14:textId="2DDC16B6" w:rsidR="003E002A" w:rsidRPr="006D2F6B" w:rsidRDefault="003E002A" w:rsidP="003E002A">
            <w:pPr>
              <w:pStyle w:val="PlainText"/>
            </w:pPr>
            <w:r w:rsidRPr="00D906FE">
              <w:t>A broadened repertoire of pedagogical practices and content that teachers bring to the teaching and learning of reading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25417C27" w14:textId="40A269E9" w:rsidR="003E002A" w:rsidRPr="00D906FE" w:rsidRDefault="004D7C76" w:rsidP="003E002A">
            <w:pPr>
              <w:pStyle w:val="PlainText"/>
            </w:pPr>
            <w:r w:rsidRPr="00D906FE">
              <w:t>In the</w:t>
            </w:r>
            <w:r w:rsidR="003E002A" w:rsidRPr="00D906FE">
              <w:t xml:space="preserve"> implementation phase, we focussed on developing pedagogies. We are confident that teachers have </w:t>
            </w:r>
            <w:r w:rsidR="00D906FE" w:rsidRPr="00D906FE">
              <w:t xml:space="preserve">grown </w:t>
            </w:r>
            <w:r w:rsidR="00E45678" w:rsidRPr="00D906FE">
              <w:t>their</w:t>
            </w:r>
            <w:r w:rsidR="003E002A" w:rsidRPr="00D906FE">
              <w:t xml:space="preserve"> pedagogical </w:t>
            </w:r>
            <w:r w:rsidR="00E45678" w:rsidRPr="00D906FE">
              <w:t>repertoires</w:t>
            </w:r>
            <w:r w:rsidR="003E002A" w:rsidRPr="00D906FE">
              <w:t xml:space="preserve">. Staff have reported benefits of regular </w:t>
            </w:r>
            <w:r w:rsidR="00E45678" w:rsidRPr="00D906FE">
              <w:t>p</w:t>
            </w:r>
            <w:r w:rsidRPr="00D906FE">
              <w:t xml:space="preserve">rofessional </w:t>
            </w:r>
            <w:r w:rsidR="00E45678" w:rsidRPr="00D906FE">
              <w:t>l</w:t>
            </w:r>
            <w:r w:rsidRPr="00D906FE">
              <w:t>earning</w:t>
            </w:r>
            <w:r w:rsidR="003E002A" w:rsidRPr="00D906FE">
              <w:t xml:space="preserve"> on quality literature/</w:t>
            </w:r>
            <w:r w:rsidR="003E002A" w:rsidRPr="00D906FE">
              <w:rPr>
                <w:i/>
                <w:iCs/>
              </w:rPr>
              <w:t xml:space="preserve">read </w:t>
            </w:r>
            <w:proofErr w:type="spellStart"/>
            <w:r w:rsidR="003E002A" w:rsidRPr="00D906FE">
              <w:rPr>
                <w:i/>
                <w:iCs/>
              </w:rPr>
              <w:t>alouds</w:t>
            </w:r>
            <w:proofErr w:type="spellEnd"/>
            <w:r w:rsidR="003E002A" w:rsidRPr="00D906FE">
              <w:t xml:space="preserve">, </w:t>
            </w:r>
            <w:r w:rsidR="00E45678" w:rsidRPr="00D906FE">
              <w:t>p</w:t>
            </w:r>
            <w:r w:rsidR="003E002A" w:rsidRPr="00D906FE">
              <w:t>lanning doc</w:t>
            </w:r>
            <w:r w:rsidRPr="00D906FE">
              <w:t>umentation</w:t>
            </w:r>
            <w:r w:rsidR="00E45678" w:rsidRPr="00D906FE">
              <w:t xml:space="preserve"> and b</w:t>
            </w:r>
            <w:r w:rsidR="003E002A" w:rsidRPr="00D906FE">
              <w:t>enchmarking</w:t>
            </w:r>
            <w:r w:rsidR="00E45678" w:rsidRPr="00D906FE">
              <w:t>.</w:t>
            </w:r>
          </w:p>
          <w:p w14:paraId="74F946E1" w14:textId="77777777" w:rsidR="003E002A" w:rsidRPr="006D2F6B" w:rsidRDefault="003E002A" w:rsidP="003E002A">
            <w:pPr>
              <w:jc w:val="center"/>
            </w:pPr>
          </w:p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BAEC10E" w14:textId="77777777" w:rsidR="00EB70CE" w:rsidRPr="00D906F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b/>
                <w:bCs/>
              </w:rPr>
            </w:pPr>
            <w:r w:rsidRPr="00D906FE">
              <w:rPr>
                <w:b/>
                <w:bCs/>
              </w:rPr>
              <w:t>What does this evidence indicate about your school’s progress towards your five-year targets?</w:t>
            </w:r>
          </w:p>
          <w:p w14:paraId="50495901" w14:textId="1E1EA84C" w:rsidR="003E002A" w:rsidRPr="00D906FE" w:rsidRDefault="003E002A" w:rsidP="003E002A">
            <w:pPr>
              <w:pStyle w:val="PlainText"/>
              <w:ind w:left="1"/>
            </w:pPr>
            <w:r w:rsidRPr="00D906FE">
              <w:t xml:space="preserve">After one year of data collection we can confirm that major strategies from our </w:t>
            </w:r>
            <w:r w:rsidR="00D906FE" w:rsidRPr="00D906FE">
              <w:t>Ac</w:t>
            </w:r>
            <w:r w:rsidRPr="00D906FE">
              <w:t xml:space="preserve">tion </w:t>
            </w:r>
            <w:r w:rsidR="00D906FE" w:rsidRPr="00D906FE">
              <w:t>P</w:t>
            </w:r>
            <w:r w:rsidRPr="00D906FE">
              <w:t xml:space="preserve">lan have been implemented but it is too early to quantify the effect on student learning outcomes. </w:t>
            </w:r>
            <w:r w:rsidR="003C1FF5" w:rsidRPr="00D906FE">
              <w:t>W</w:t>
            </w:r>
            <w:r w:rsidRPr="00D906FE">
              <w:t xml:space="preserve">e have exceeded our targets for </w:t>
            </w:r>
            <w:r w:rsidR="003C1FF5" w:rsidRPr="00D906FE">
              <w:t>all of our measures in reading</w:t>
            </w:r>
            <w:r w:rsidRPr="00D906FE">
              <w:t xml:space="preserve">. This is in part a result of our work as outlined in the action plan, </w:t>
            </w:r>
            <w:r w:rsidR="00D906FE" w:rsidRPr="00D906FE">
              <w:t>and can also</w:t>
            </w:r>
            <w:r w:rsidRPr="00D906FE">
              <w:t xml:space="preserve"> be attributed</w:t>
            </w:r>
            <w:r w:rsidR="00D906FE" w:rsidRPr="00D906FE">
              <w:t xml:space="preserve">, in part, </w:t>
            </w:r>
            <w:r w:rsidRPr="00D906FE">
              <w:t>to variations between student cohorts. We need to see improvements across multiple cycles in order for us to attribute the results to our school plan</w:t>
            </w:r>
          </w:p>
          <w:p w14:paraId="28E84DAC" w14:textId="77777777" w:rsidR="003E002A" w:rsidRPr="00D906FE" w:rsidRDefault="003E002A" w:rsidP="003E002A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b/>
                <w:bCs/>
              </w:rPr>
            </w:pPr>
            <w:r w:rsidRPr="00D906FE">
              <w:rPr>
                <w:b/>
                <w:bCs/>
              </w:rPr>
              <w:t>Have any of your data sources changed over time? If so, why?</w:t>
            </w:r>
          </w:p>
          <w:p w14:paraId="72F89A98" w14:textId="0EDD925A" w:rsidR="003E002A" w:rsidRPr="00D906FE" w:rsidRDefault="003E002A" w:rsidP="003E002A">
            <w:pPr>
              <w:pStyle w:val="PlainText"/>
              <w:ind w:left="1"/>
            </w:pPr>
            <w:r w:rsidRPr="00D906FE">
              <w:t>As this is an implementation phase, we have been colle</w:t>
            </w:r>
            <w:r w:rsidR="00FD54A8" w:rsidRPr="00D906FE">
              <w:t>c</w:t>
            </w:r>
            <w:r w:rsidRPr="00D906FE">
              <w:t xml:space="preserve">ting baseline data and thus there has been </w:t>
            </w:r>
            <w:r w:rsidR="00D906FE" w:rsidRPr="00D906FE">
              <w:t>limited</w:t>
            </w:r>
            <w:r w:rsidRPr="00D906FE">
              <w:t xml:space="preserve"> change. We have identified future need to </w:t>
            </w:r>
            <w:r w:rsidR="00D906FE" w:rsidRPr="00D906FE">
              <w:t>alter the way in which</w:t>
            </w:r>
            <w:r w:rsidRPr="00D906FE">
              <w:t xml:space="preserve"> we collect student perception data as well as school program and process data.</w:t>
            </w:r>
          </w:p>
          <w:p w14:paraId="464FB4A0" w14:textId="77777777" w:rsidR="003E002A" w:rsidRPr="00D906FE" w:rsidRDefault="003E002A" w:rsidP="003E002A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b/>
                <w:bCs/>
              </w:rPr>
            </w:pPr>
            <w:r w:rsidRPr="00D906FE">
              <w:rPr>
                <w:b/>
                <w:bCs/>
              </w:rPr>
              <w:t>What implications does this evidence have for your next AP?</w:t>
            </w:r>
          </w:p>
          <w:p w14:paraId="5195569B" w14:textId="313D9915" w:rsidR="003C1FF5" w:rsidRPr="00D906FE" w:rsidRDefault="003E002A" w:rsidP="003C1FF5">
            <w:pPr>
              <w:pStyle w:val="PlainText"/>
              <w:ind w:left="1"/>
            </w:pPr>
            <w:r w:rsidRPr="00D906FE">
              <w:t xml:space="preserve">Our next action plan will </w:t>
            </w:r>
            <w:r w:rsidR="00D906FE" w:rsidRPr="00D906FE">
              <w:t>build on</w:t>
            </w:r>
            <w:r w:rsidRPr="00D906FE">
              <w:t xml:space="preserve"> the achievements we have made this year. </w:t>
            </w:r>
          </w:p>
          <w:p w14:paraId="17DDC188" w14:textId="02569FBB" w:rsidR="00EB70CE" w:rsidRDefault="003C1FF5" w:rsidP="003C1FF5">
            <w:pPr>
              <w:pStyle w:val="PlainText"/>
              <w:ind w:left="1"/>
            </w:pPr>
            <w:r w:rsidRPr="00D906FE">
              <w:t xml:space="preserve">We will have a greater emphasis on the way families </w:t>
            </w:r>
            <w:r w:rsidR="00D906FE" w:rsidRPr="00D906FE">
              <w:t>are able to</w:t>
            </w:r>
            <w:r w:rsidRPr="00D906FE">
              <w:t xml:space="preserve"> engage with learning from home.  </w:t>
            </w:r>
            <w:r w:rsidR="003E002A" w:rsidRPr="00D906FE">
              <w:t>We will also make minor changes to our data collection methods</w:t>
            </w:r>
            <w:r w:rsidR="00D906FE" w:rsidRPr="00D906FE">
              <w:t>.</w:t>
            </w:r>
          </w:p>
        </w:tc>
      </w:tr>
    </w:tbl>
    <w:p w14:paraId="529C3E95" w14:textId="0BE20FDE" w:rsidR="00937D6F" w:rsidRPr="00C916D0" w:rsidRDefault="00937D6F" w:rsidP="00937D6F">
      <w:pPr>
        <w:pStyle w:val="Heading3"/>
      </w:pPr>
      <w:r w:rsidRPr="00C916D0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BD2BCD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C7672AF" w14:textId="148F003F" w:rsidR="00BD2BCD" w:rsidRPr="00C916D0" w:rsidRDefault="00BD2BCD" w:rsidP="00BD2BC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916D0">
              <w:rPr>
                <w:b/>
              </w:rPr>
              <w:t>Foster whole of school motivation and engagement in reading</w:t>
            </w:r>
          </w:p>
          <w:p w14:paraId="4D092975" w14:textId="24F3EBE3" w:rsidR="00BD2BCD" w:rsidRPr="00C916D0" w:rsidRDefault="00575B8B" w:rsidP="00E96BF1">
            <w:pPr>
              <w:pStyle w:val="ListBullet"/>
              <w:numPr>
                <w:ilvl w:val="0"/>
                <w:numId w:val="17"/>
              </w:numPr>
            </w:pPr>
            <w:r w:rsidRPr="00C916D0">
              <w:t>R</w:t>
            </w:r>
            <w:r w:rsidR="00133D49" w:rsidRPr="00C916D0">
              <w:t xml:space="preserve">esourcing </w:t>
            </w:r>
            <w:r w:rsidRPr="00C916D0">
              <w:t xml:space="preserve">allocated </w:t>
            </w:r>
            <w:r w:rsidR="00133D49" w:rsidRPr="00C916D0">
              <w:t>to</w:t>
            </w:r>
            <w:r w:rsidRPr="00C916D0">
              <w:t xml:space="preserve"> </w:t>
            </w:r>
            <w:r w:rsidR="00133D49" w:rsidRPr="00C916D0">
              <w:t>p</w:t>
            </w:r>
            <w:r w:rsidR="00AA0732" w:rsidRPr="00C916D0">
              <w:t xml:space="preserve">urchase </w:t>
            </w:r>
            <w:r w:rsidR="00B65B67" w:rsidRPr="00C916D0">
              <w:t>resources and</w:t>
            </w:r>
            <w:r w:rsidR="00133D49" w:rsidRPr="00C916D0">
              <w:t xml:space="preserve"> texts for the explicit teaching of reading </w:t>
            </w:r>
            <w:r w:rsidR="00B65B67" w:rsidRPr="00C916D0">
              <w:t xml:space="preserve">comprehension </w:t>
            </w:r>
            <w:r w:rsidR="00133D49" w:rsidRPr="00C916D0">
              <w:t>strategies</w:t>
            </w:r>
          </w:p>
          <w:p w14:paraId="6A7BD11B" w14:textId="77777777" w:rsidR="001E7145" w:rsidRPr="00C916D0" w:rsidRDefault="001E7145" w:rsidP="001E7145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14:paraId="071A6CEF" w14:textId="6721AEF0" w:rsidR="00BD2BCD" w:rsidRPr="00C916D0" w:rsidRDefault="00BD2BCD" w:rsidP="00BD2BC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916D0">
              <w:rPr>
                <w:b/>
              </w:rPr>
              <w:t xml:space="preserve">Broaden the repertoire of effective </w:t>
            </w:r>
            <w:r w:rsidR="00371DC5" w:rsidRPr="00C916D0">
              <w:rPr>
                <w:b/>
              </w:rPr>
              <w:t>r</w:t>
            </w:r>
            <w:r w:rsidRPr="00C916D0">
              <w:rPr>
                <w:b/>
              </w:rPr>
              <w:t>eading pedagogical practice and curriculum expertise of educators P-6</w:t>
            </w:r>
          </w:p>
          <w:p w14:paraId="39D54B7A" w14:textId="01B85DEE" w:rsidR="001E7145" w:rsidRPr="00C916D0" w:rsidRDefault="00133D49" w:rsidP="001E7145">
            <w:pPr>
              <w:pStyle w:val="ListBullet"/>
              <w:numPr>
                <w:ilvl w:val="0"/>
                <w:numId w:val="17"/>
              </w:numPr>
            </w:pPr>
            <w:r w:rsidRPr="00C916D0">
              <w:t>Whole of school professional development sessions including Linking Literacy with Learners, B</w:t>
            </w:r>
            <w:r w:rsidR="00A77534" w:rsidRPr="00C916D0">
              <w:t xml:space="preserve">enchmarking </w:t>
            </w:r>
            <w:r w:rsidRPr="00C916D0">
              <w:t>at Neville Bonner Primary</w:t>
            </w:r>
            <w:r w:rsidR="001E7145" w:rsidRPr="00C916D0">
              <w:t>, Read and Write for Google,</w:t>
            </w:r>
            <w:r w:rsidR="00A77534" w:rsidRPr="00C916D0">
              <w:t xml:space="preserve"> </w:t>
            </w:r>
            <w:r w:rsidR="001E7145" w:rsidRPr="00C916D0">
              <w:t>p</w:t>
            </w:r>
            <w:r w:rsidRPr="00C916D0">
              <w:t>hon</w:t>
            </w:r>
            <w:r w:rsidR="001E7145" w:rsidRPr="00C916D0">
              <w:t xml:space="preserve">emic awareness and </w:t>
            </w:r>
            <w:r w:rsidR="001E7145" w:rsidRPr="00C916D0">
              <w:rPr>
                <w:i/>
                <w:iCs/>
              </w:rPr>
              <w:t xml:space="preserve">read </w:t>
            </w:r>
            <w:proofErr w:type="spellStart"/>
            <w:r w:rsidR="001E7145" w:rsidRPr="00C916D0">
              <w:rPr>
                <w:i/>
                <w:iCs/>
              </w:rPr>
              <w:t>alouds</w:t>
            </w:r>
            <w:proofErr w:type="spellEnd"/>
          </w:p>
          <w:p w14:paraId="5E682675" w14:textId="2A28056C" w:rsidR="001E7145" w:rsidRPr="00C916D0" w:rsidRDefault="00F46A9A" w:rsidP="001E7145">
            <w:pPr>
              <w:pStyle w:val="ListBullet"/>
              <w:numPr>
                <w:ilvl w:val="0"/>
                <w:numId w:val="17"/>
              </w:numPr>
            </w:pPr>
            <w:r w:rsidRPr="00C916D0">
              <w:t>School Leaders P-2 trained as Early Years Literacy Coaches</w:t>
            </w:r>
          </w:p>
          <w:p w14:paraId="6B3D1D40" w14:textId="77777777" w:rsidR="001E7145" w:rsidRPr="00C916D0" w:rsidRDefault="001E7145" w:rsidP="001E7145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14:paraId="789B3C9B" w14:textId="4CB888E2" w:rsidR="00937D6F" w:rsidRPr="00C916D0" w:rsidRDefault="00BD2BCD" w:rsidP="008B1FB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916D0">
              <w:rPr>
                <w:b/>
              </w:rPr>
              <w:t>Deepen parent/carer engagement to increase understanding of teaching and learning in reading</w:t>
            </w:r>
          </w:p>
          <w:p w14:paraId="796BEC04" w14:textId="725A732C" w:rsidR="00A77534" w:rsidRPr="00C916D0" w:rsidRDefault="001E7145" w:rsidP="00F66300">
            <w:pPr>
              <w:pStyle w:val="ListBullet"/>
              <w:numPr>
                <w:ilvl w:val="0"/>
                <w:numId w:val="17"/>
              </w:numPr>
            </w:pPr>
            <w:r w:rsidRPr="00C916D0">
              <w:t>Opening of the Gadi centre (the school l</w:t>
            </w:r>
            <w:r w:rsidR="00A77534" w:rsidRPr="00C916D0">
              <w:t>ibrary</w:t>
            </w:r>
            <w:r w:rsidRPr="00C916D0">
              <w:t>) before school</w:t>
            </w:r>
            <w:r w:rsidR="00A77534" w:rsidRPr="00C916D0">
              <w:t xml:space="preserve"> </w:t>
            </w:r>
            <w:r w:rsidRPr="00C916D0">
              <w:t xml:space="preserve">to create opportunities </w:t>
            </w:r>
            <w:r w:rsidR="00A77534" w:rsidRPr="00C916D0">
              <w:t>for shared family reading and browsing time, with staff available to recommend ‘good fit’ books.</w:t>
            </w:r>
          </w:p>
          <w:p w14:paraId="071AD1E8" w14:textId="77777777" w:rsidR="00E96BF1" w:rsidRPr="00C916D0" w:rsidRDefault="00E96BF1" w:rsidP="00E96BF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AF37159" w14:textId="77777777" w:rsidR="00500A06" w:rsidRPr="00C916D0" w:rsidRDefault="00500A06" w:rsidP="00500A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C916D0">
              <w:rPr>
                <w:b/>
              </w:rPr>
              <w:t>Our school’s contribution to whole-of-system Strategic Indicators’</w:t>
            </w:r>
          </w:p>
          <w:p w14:paraId="4F19C6D9" w14:textId="32540EDB" w:rsidR="00500A06" w:rsidRPr="00C916D0" w:rsidRDefault="00A77534" w:rsidP="00500A06">
            <w:pPr>
              <w:pStyle w:val="ListBullet"/>
              <w:numPr>
                <w:ilvl w:val="0"/>
                <w:numId w:val="17"/>
              </w:numPr>
            </w:pPr>
            <w:r w:rsidRPr="00C916D0">
              <w:t>New and improved Information Evening- to enable more families to access information about the teaching and learning program with opportunities to ask questions in a small and more personalised environment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BD2BCD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B44FB5D" w14:textId="77777777" w:rsidR="00A74366" w:rsidRPr="00B65B67" w:rsidRDefault="00A74366" w:rsidP="00932E67">
            <w:pPr>
              <w:pStyle w:val="ListBullet"/>
            </w:pPr>
            <w:r w:rsidRPr="00B65B67">
              <w:t>Staff turnover</w:t>
            </w:r>
          </w:p>
          <w:p w14:paraId="3C2CF42A" w14:textId="58DA68E0" w:rsidR="00A74366" w:rsidRPr="00B65B67" w:rsidRDefault="00A74366" w:rsidP="00932E67">
            <w:pPr>
              <w:pStyle w:val="ListBullet"/>
            </w:pPr>
            <w:r w:rsidRPr="00B65B67">
              <w:t>Budget</w:t>
            </w:r>
          </w:p>
          <w:p w14:paraId="4DF63C81" w14:textId="2D181C65" w:rsidR="00133D49" w:rsidRPr="00B65B67" w:rsidRDefault="00133D49" w:rsidP="00932E67">
            <w:pPr>
              <w:pStyle w:val="ListBullet"/>
            </w:pPr>
            <w:r w:rsidRPr="00B65B67">
              <w:t xml:space="preserve">Process and resourcing to </w:t>
            </w:r>
            <w:r w:rsidR="00B65B67">
              <w:t xml:space="preserve">better track </w:t>
            </w:r>
            <w:r w:rsidRPr="00B65B67">
              <w:t>students</w:t>
            </w:r>
            <w:r w:rsidR="00B65B67">
              <w:t xml:space="preserve"> who are</w:t>
            </w:r>
            <w:r w:rsidRPr="00B65B67">
              <w:t xml:space="preserve"> reading above and beyond current assessment </w:t>
            </w:r>
            <w:r w:rsidR="00B65B67">
              <w:t>practices</w:t>
            </w:r>
          </w:p>
          <w:p w14:paraId="4D0D0527" w14:textId="239FC14E" w:rsidR="00937D6F" w:rsidRDefault="00937D6F" w:rsidP="00A74366">
            <w:pPr>
              <w:pStyle w:val="ListBullet2"/>
              <w:numPr>
                <w:ilvl w:val="0"/>
                <w:numId w:val="0"/>
              </w:numPr>
              <w:ind w:left="714"/>
            </w:pPr>
          </w:p>
        </w:tc>
      </w:tr>
    </w:tbl>
    <w:p w14:paraId="5D03B15F" w14:textId="657A5F51" w:rsidR="00EB70CE" w:rsidRDefault="00EB70CE" w:rsidP="00EB70CE">
      <w:pPr>
        <w:rPr>
          <w:b/>
        </w:rPr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453B0EED" w14:textId="74FFE66B" w:rsidR="00932E67" w:rsidRPr="00B65B67" w:rsidRDefault="004A75F0" w:rsidP="00932E67">
            <w:pPr>
              <w:pStyle w:val="ListBullet"/>
            </w:pPr>
            <w:r w:rsidRPr="00B65B67">
              <w:t xml:space="preserve">We have updated all records to comply with the Directorate’s suite of </w:t>
            </w:r>
            <w:r w:rsidR="001C7F5D" w:rsidRPr="00B65B67">
              <w:t>resources</w:t>
            </w:r>
            <w:r w:rsidRPr="00B65B67">
              <w:t xml:space="preserve"> in alignment with </w:t>
            </w:r>
            <w:r w:rsidR="001C7F5D" w:rsidRPr="00B65B67">
              <w:t>the National Quality Standard</w:t>
            </w:r>
          </w:p>
          <w:p w14:paraId="5EA040AE" w14:textId="11061F78" w:rsidR="00271528" w:rsidRPr="00B65B67" w:rsidRDefault="00ED6E76" w:rsidP="00ED6E76">
            <w:pPr>
              <w:pStyle w:val="ListBullet"/>
            </w:pPr>
            <w:r w:rsidRPr="00B65B67">
              <w:t>Our preschool met requirements from the compliance audit</w:t>
            </w:r>
          </w:p>
          <w:p w14:paraId="29B5806E" w14:textId="201F2BBC" w:rsidR="00ED6E76" w:rsidRDefault="00ED6E76" w:rsidP="00ED6E76">
            <w:pPr>
              <w:pStyle w:val="ListBullet"/>
            </w:pPr>
            <w:r w:rsidRPr="00B65B67">
              <w:t>A continual practice of reflecting upon the QIP is established and work towards goals is ongoing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5FD9" w14:textId="77777777" w:rsidR="002F1FA6" w:rsidRDefault="002F1FA6" w:rsidP="00CA0BAD">
      <w:pPr>
        <w:spacing w:after="0" w:line="240" w:lineRule="auto"/>
      </w:pPr>
      <w:r>
        <w:separator/>
      </w:r>
    </w:p>
  </w:endnote>
  <w:endnote w:type="continuationSeparator" w:id="0">
    <w:p w14:paraId="295F904D" w14:textId="77777777" w:rsidR="002F1FA6" w:rsidRDefault="002F1FA6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5D9EED59" w:rsidR="008679D5" w:rsidRPr="00BF488D" w:rsidRDefault="005D2255" w:rsidP="005D225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="008679D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679D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="008679D5"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59CE" w14:textId="77777777" w:rsidR="002F1FA6" w:rsidRDefault="002F1FA6" w:rsidP="00CA0BAD">
      <w:pPr>
        <w:spacing w:after="0" w:line="240" w:lineRule="auto"/>
      </w:pPr>
      <w:r>
        <w:separator/>
      </w:r>
    </w:p>
  </w:footnote>
  <w:footnote w:type="continuationSeparator" w:id="0">
    <w:p w14:paraId="057266EA" w14:textId="77777777" w:rsidR="002F1FA6" w:rsidRDefault="002F1FA6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E2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5464C"/>
    <w:multiLevelType w:val="hybridMultilevel"/>
    <w:tmpl w:val="B6428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31BD2"/>
    <w:rsid w:val="00057DAD"/>
    <w:rsid w:val="00064462"/>
    <w:rsid w:val="000A1E70"/>
    <w:rsid w:val="000B4047"/>
    <w:rsid w:val="000C53AB"/>
    <w:rsid w:val="000D191B"/>
    <w:rsid w:val="000D65AC"/>
    <w:rsid w:val="000F7E7C"/>
    <w:rsid w:val="00107AE2"/>
    <w:rsid w:val="00115AA9"/>
    <w:rsid w:val="00132917"/>
    <w:rsid w:val="00133D49"/>
    <w:rsid w:val="0013468D"/>
    <w:rsid w:val="00136B20"/>
    <w:rsid w:val="001615F0"/>
    <w:rsid w:val="00161E50"/>
    <w:rsid w:val="00163579"/>
    <w:rsid w:val="00183DE5"/>
    <w:rsid w:val="001A1660"/>
    <w:rsid w:val="001B26EA"/>
    <w:rsid w:val="001B2E33"/>
    <w:rsid w:val="001C7F5D"/>
    <w:rsid w:val="001E0DDC"/>
    <w:rsid w:val="001E7145"/>
    <w:rsid w:val="00205F2E"/>
    <w:rsid w:val="002145F7"/>
    <w:rsid w:val="00235222"/>
    <w:rsid w:val="00236AFB"/>
    <w:rsid w:val="0024781C"/>
    <w:rsid w:val="00256B2E"/>
    <w:rsid w:val="00266E77"/>
    <w:rsid w:val="00271528"/>
    <w:rsid w:val="002829FE"/>
    <w:rsid w:val="002E7EE6"/>
    <w:rsid w:val="002F1FA6"/>
    <w:rsid w:val="002F2C6F"/>
    <w:rsid w:val="002F4184"/>
    <w:rsid w:val="00300F72"/>
    <w:rsid w:val="00334BBF"/>
    <w:rsid w:val="00342B3F"/>
    <w:rsid w:val="00365890"/>
    <w:rsid w:val="00365A1C"/>
    <w:rsid w:val="0036780F"/>
    <w:rsid w:val="00367E6C"/>
    <w:rsid w:val="00371DC5"/>
    <w:rsid w:val="00373B19"/>
    <w:rsid w:val="00373DC0"/>
    <w:rsid w:val="00377F0F"/>
    <w:rsid w:val="003B4342"/>
    <w:rsid w:val="003B5E3D"/>
    <w:rsid w:val="003C13B9"/>
    <w:rsid w:val="003C1FF5"/>
    <w:rsid w:val="003C2864"/>
    <w:rsid w:val="003C69DC"/>
    <w:rsid w:val="003D4FDC"/>
    <w:rsid w:val="003E002A"/>
    <w:rsid w:val="003E13EB"/>
    <w:rsid w:val="003E1EFB"/>
    <w:rsid w:val="003F31DE"/>
    <w:rsid w:val="00412EF6"/>
    <w:rsid w:val="00435AB7"/>
    <w:rsid w:val="00435C6B"/>
    <w:rsid w:val="00436626"/>
    <w:rsid w:val="004532CD"/>
    <w:rsid w:val="00454F10"/>
    <w:rsid w:val="00461D07"/>
    <w:rsid w:val="00481BD2"/>
    <w:rsid w:val="00492440"/>
    <w:rsid w:val="004A75F0"/>
    <w:rsid w:val="004B5A85"/>
    <w:rsid w:val="004C32E2"/>
    <w:rsid w:val="004D00F4"/>
    <w:rsid w:val="004D5E45"/>
    <w:rsid w:val="004D7C76"/>
    <w:rsid w:val="004E443E"/>
    <w:rsid w:val="00500A06"/>
    <w:rsid w:val="00520A86"/>
    <w:rsid w:val="005436D1"/>
    <w:rsid w:val="00543BC4"/>
    <w:rsid w:val="00555060"/>
    <w:rsid w:val="005567DA"/>
    <w:rsid w:val="00556FFC"/>
    <w:rsid w:val="00557F65"/>
    <w:rsid w:val="005611F4"/>
    <w:rsid w:val="005709E4"/>
    <w:rsid w:val="00575B8B"/>
    <w:rsid w:val="0057672E"/>
    <w:rsid w:val="0058339C"/>
    <w:rsid w:val="0059350F"/>
    <w:rsid w:val="005A4749"/>
    <w:rsid w:val="005C7432"/>
    <w:rsid w:val="005D2255"/>
    <w:rsid w:val="005D5C98"/>
    <w:rsid w:val="005E76E4"/>
    <w:rsid w:val="005F0B78"/>
    <w:rsid w:val="005F3B55"/>
    <w:rsid w:val="00610A38"/>
    <w:rsid w:val="00631663"/>
    <w:rsid w:val="0066643F"/>
    <w:rsid w:val="00674E1D"/>
    <w:rsid w:val="006830C3"/>
    <w:rsid w:val="006A31D6"/>
    <w:rsid w:val="006A5062"/>
    <w:rsid w:val="006B642C"/>
    <w:rsid w:val="006D2F6B"/>
    <w:rsid w:val="006D5CC2"/>
    <w:rsid w:val="00727C0D"/>
    <w:rsid w:val="007347A7"/>
    <w:rsid w:val="007375B4"/>
    <w:rsid w:val="00752390"/>
    <w:rsid w:val="007720D8"/>
    <w:rsid w:val="007A0BFC"/>
    <w:rsid w:val="007B0189"/>
    <w:rsid w:val="007B7166"/>
    <w:rsid w:val="007D407C"/>
    <w:rsid w:val="007F43C0"/>
    <w:rsid w:val="00802B7A"/>
    <w:rsid w:val="0081577E"/>
    <w:rsid w:val="008300DD"/>
    <w:rsid w:val="00837137"/>
    <w:rsid w:val="00846E51"/>
    <w:rsid w:val="00851171"/>
    <w:rsid w:val="00857280"/>
    <w:rsid w:val="008679D5"/>
    <w:rsid w:val="00896B58"/>
    <w:rsid w:val="008A01DA"/>
    <w:rsid w:val="008A1CFE"/>
    <w:rsid w:val="008F6B48"/>
    <w:rsid w:val="00903A2D"/>
    <w:rsid w:val="00911510"/>
    <w:rsid w:val="00915ADE"/>
    <w:rsid w:val="0092207C"/>
    <w:rsid w:val="0093040B"/>
    <w:rsid w:val="00932E67"/>
    <w:rsid w:val="009335E3"/>
    <w:rsid w:val="00937D6F"/>
    <w:rsid w:val="0098430A"/>
    <w:rsid w:val="00997CD0"/>
    <w:rsid w:val="009B454E"/>
    <w:rsid w:val="009B6923"/>
    <w:rsid w:val="009B7107"/>
    <w:rsid w:val="009C14CC"/>
    <w:rsid w:val="009C7D37"/>
    <w:rsid w:val="009E2D26"/>
    <w:rsid w:val="009E71E0"/>
    <w:rsid w:val="00A112C4"/>
    <w:rsid w:val="00A14174"/>
    <w:rsid w:val="00A1525D"/>
    <w:rsid w:val="00A25FC2"/>
    <w:rsid w:val="00A66CA8"/>
    <w:rsid w:val="00A74366"/>
    <w:rsid w:val="00A77534"/>
    <w:rsid w:val="00A82E9C"/>
    <w:rsid w:val="00A93572"/>
    <w:rsid w:val="00A967A3"/>
    <w:rsid w:val="00AA0732"/>
    <w:rsid w:val="00AA0A02"/>
    <w:rsid w:val="00AB3505"/>
    <w:rsid w:val="00AD7D38"/>
    <w:rsid w:val="00AE0608"/>
    <w:rsid w:val="00AE1CAD"/>
    <w:rsid w:val="00AE2FBD"/>
    <w:rsid w:val="00AE3C70"/>
    <w:rsid w:val="00AF468E"/>
    <w:rsid w:val="00B06296"/>
    <w:rsid w:val="00B10319"/>
    <w:rsid w:val="00B3421F"/>
    <w:rsid w:val="00B36AF4"/>
    <w:rsid w:val="00B41802"/>
    <w:rsid w:val="00B53B59"/>
    <w:rsid w:val="00B578AB"/>
    <w:rsid w:val="00B65B67"/>
    <w:rsid w:val="00B734D8"/>
    <w:rsid w:val="00BA2149"/>
    <w:rsid w:val="00BC7FC0"/>
    <w:rsid w:val="00BD2BCD"/>
    <w:rsid w:val="00C0648C"/>
    <w:rsid w:val="00C06492"/>
    <w:rsid w:val="00C11A2A"/>
    <w:rsid w:val="00C36B48"/>
    <w:rsid w:val="00C63CC4"/>
    <w:rsid w:val="00C77B0A"/>
    <w:rsid w:val="00C916D0"/>
    <w:rsid w:val="00C91C8E"/>
    <w:rsid w:val="00C942EF"/>
    <w:rsid w:val="00CA0BAD"/>
    <w:rsid w:val="00CA26FB"/>
    <w:rsid w:val="00CD751E"/>
    <w:rsid w:val="00CF3F40"/>
    <w:rsid w:val="00D03B0C"/>
    <w:rsid w:val="00D21886"/>
    <w:rsid w:val="00D30844"/>
    <w:rsid w:val="00D3137D"/>
    <w:rsid w:val="00D3512C"/>
    <w:rsid w:val="00D56F59"/>
    <w:rsid w:val="00D57A59"/>
    <w:rsid w:val="00D66148"/>
    <w:rsid w:val="00D72DEB"/>
    <w:rsid w:val="00D731BD"/>
    <w:rsid w:val="00D77005"/>
    <w:rsid w:val="00D81FDA"/>
    <w:rsid w:val="00D906FE"/>
    <w:rsid w:val="00DA09ED"/>
    <w:rsid w:val="00DA2973"/>
    <w:rsid w:val="00DA4480"/>
    <w:rsid w:val="00DB037A"/>
    <w:rsid w:val="00DC38FD"/>
    <w:rsid w:val="00DD685F"/>
    <w:rsid w:val="00DE43E6"/>
    <w:rsid w:val="00DE728C"/>
    <w:rsid w:val="00DE75EB"/>
    <w:rsid w:val="00DE7757"/>
    <w:rsid w:val="00DF0245"/>
    <w:rsid w:val="00DF695B"/>
    <w:rsid w:val="00E061B8"/>
    <w:rsid w:val="00E14A54"/>
    <w:rsid w:val="00E24439"/>
    <w:rsid w:val="00E434FA"/>
    <w:rsid w:val="00E45678"/>
    <w:rsid w:val="00E63CEA"/>
    <w:rsid w:val="00E71228"/>
    <w:rsid w:val="00E81230"/>
    <w:rsid w:val="00E96BF1"/>
    <w:rsid w:val="00EA1B8A"/>
    <w:rsid w:val="00EB70CE"/>
    <w:rsid w:val="00ED6E76"/>
    <w:rsid w:val="00EF2574"/>
    <w:rsid w:val="00EF66B0"/>
    <w:rsid w:val="00F05C79"/>
    <w:rsid w:val="00F14618"/>
    <w:rsid w:val="00F23FB8"/>
    <w:rsid w:val="00F33B85"/>
    <w:rsid w:val="00F40C8F"/>
    <w:rsid w:val="00F454CA"/>
    <w:rsid w:val="00F46A9A"/>
    <w:rsid w:val="00F536D7"/>
    <w:rsid w:val="00F66300"/>
    <w:rsid w:val="00F83A59"/>
    <w:rsid w:val="00F87A19"/>
    <w:rsid w:val="00FA6811"/>
    <w:rsid w:val="00FA6A61"/>
    <w:rsid w:val="00FB31F0"/>
    <w:rsid w:val="00FB5724"/>
    <w:rsid w:val="00FD2551"/>
    <w:rsid w:val="00FD54A8"/>
    <w:rsid w:val="00FD68C4"/>
    <w:rsid w:val="00FD6FAE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CF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8617F"/>
    <w:rsid w:val="00115899"/>
    <w:rsid w:val="00251FA0"/>
    <w:rsid w:val="00286D77"/>
    <w:rsid w:val="002E0777"/>
    <w:rsid w:val="003D1F1C"/>
    <w:rsid w:val="008B6DE0"/>
    <w:rsid w:val="008F4B21"/>
    <w:rsid w:val="00996215"/>
    <w:rsid w:val="00D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EBC5E9C044549A66C2801646C1C71" ma:contentTypeVersion="12" ma:contentTypeDescription="Create a new document." ma:contentTypeScope="" ma:versionID="bcd4471705ae1a2f15407ed053446179">
  <xsd:schema xmlns:xsd="http://www.w3.org/2001/XMLSchema" xmlns:xs="http://www.w3.org/2001/XMLSchema" xmlns:p="http://schemas.microsoft.com/office/2006/metadata/properties" xmlns:ns3="d6e52eae-e06d-4a74-af8e-8ad7a7f87ed1" xmlns:ns4="5ab8d6ae-5bc6-47c4-bcae-b65211f1e0ca" targetNamespace="http://schemas.microsoft.com/office/2006/metadata/properties" ma:root="true" ma:fieldsID="a50553e7beea294a5f16eea5e168d157" ns3:_="" ns4:_="">
    <xsd:import namespace="d6e52eae-e06d-4a74-af8e-8ad7a7f87ed1"/>
    <xsd:import namespace="5ab8d6ae-5bc6-47c4-bcae-b65211f1e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2eae-e06d-4a74-af8e-8ad7a7f8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8d6ae-5bc6-47c4-bcae-b65211f1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95E31-BEA2-448E-84EE-2B541ADA1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52eae-e06d-4a74-af8e-8ad7a7f87ed1"/>
    <ds:schemaRef ds:uri="5ab8d6ae-5bc6-47c4-bcae-b65211f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E8D7-EAF9-4FBA-9B34-C59C4124F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54D5A-611E-4AB8-BC25-F19B0182E1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ab8d6ae-5bc6-47c4-bcae-b65211f1e0ca"/>
    <ds:schemaRef ds:uri="d6e52eae-e06d-4a74-af8e-8ad7a7f87e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2020-02-24T21:45:00Z</dcterms:created>
  <dcterms:modified xsi:type="dcterms:W3CDTF">2020-02-24T21:45:00Z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0x0101003DFEBC5E9C044549A66C2801646C1C71</vt:lpwstr>
  </property>
</Properties>
</file>