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08A2" w14:textId="6ECEF55E" w:rsidR="00FE1945" w:rsidRPr="00563A3D" w:rsidRDefault="002A26A6" w:rsidP="00FE1945">
      <w:pPr>
        <w:rPr>
          <w:rStyle w:val="SchoolName"/>
          <w:color w:val="1F4E79"/>
        </w:rPr>
      </w:pPr>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797874">
            <w:rPr>
              <w:rStyle w:val="SchoolName"/>
              <w:color w:val="1F4E79"/>
            </w:rPr>
            <w:t>Neville Bonner Primary School</w:t>
          </w:r>
        </w:sdtContent>
      </w:sdt>
    </w:p>
    <w:p w14:paraId="63330FCF" w14:textId="3FFA8EB5"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797874">
            <w:t>North Canberra/ Gungahlin</w:t>
          </w:r>
        </w:sdtContent>
      </w:sdt>
    </w:p>
    <w:p w14:paraId="38F253B0" w14:textId="0FA5CDF7" w:rsidR="00FE1945" w:rsidRDefault="00846E51" w:rsidP="00FE1945">
      <w:pPr>
        <w:pStyle w:val="Title"/>
        <w:jc w:val="left"/>
      </w:pPr>
      <w:r>
        <w:t>Impact</w:t>
      </w:r>
      <w:r w:rsidR="00FE1945" w:rsidRPr="005F3926">
        <w:t xml:space="preserve"> </w:t>
      </w:r>
      <w:r w:rsidR="00B10319">
        <w:t xml:space="preserve">Report </w:t>
      </w:r>
      <w:r w:rsidR="00FE1945">
        <w:t>20</w:t>
      </w:r>
      <w:r w:rsidR="00797874">
        <w:t>20</w:t>
      </w:r>
    </w:p>
    <w:p w14:paraId="43815876" w14:textId="77777777" w:rsidR="00E434FA" w:rsidRPr="001B2E33" w:rsidRDefault="00E434FA" w:rsidP="001B2E33">
      <w:pPr>
        <w:pStyle w:val="Heading1"/>
      </w:pPr>
      <w:r w:rsidRPr="001B2E33">
        <w:t>The purpose of this document</w:t>
      </w:r>
    </w:p>
    <w:p w14:paraId="542B7252" w14:textId="0D18C0A3" w:rsidR="00B10319"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 xml:space="preserve">for </w:t>
      </w:r>
      <w:r w:rsidR="001401D5">
        <w:t>2020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1D97BDF5" w14:textId="6AA199A9" w:rsidR="002F1BE2" w:rsidRPr="00132917" w:rsidRDefault="00EF0385" w:rsidP="00132917">
      <w:pPr>
        <w:pStyle w:val="BodyText"/>
      </w:pPr>
      <w:r w:rsidRPr="006722BC">
        <w:t>Please note: COVID-19</w:t>
      </w:r>
      <w:r w:rsidR="002F1BE2" w:rsidRPr="006722BC">
        <w:t xml:space="preserve"> has had a significant impact on </w:t>
      </w:r>
      <w:r w:rsidR="00B30D28" w:rsidRPr="006722BC">
        <w:t xml:space="preserve">teaching and learning outcomes, </w:t>
      </w:r>
      <w:r w:rsidR="002F1BE2" w:rsidRPr="006722BC">
        <w:t xml:space="preserve">the availability of some data sets and some of the deliverables we aimed </w:t>
      </w:r>
      <w:r w:rsidR="00B30D28" w:rsidRPr="006722BC">
        <w:t xml:space="preserve">to achieve in </w:t>
      </w:r>
      <w:r w:rsidR="002F1BE2" w:rsidRPr="006722BC">
        <w:t xml:space="preserve">the </w:t>
      </w:r>
      <w:r w:rsidR="00B30D28" w:rsidRPr="006722BC">
        <w:t>A</w:t>
      </w:r>
      <w:r w:rsidR="002F1BE2" w:rsidRPr="006722BC">
        <w:t>nnual</w:t>
      </w:r>
      <w:r w:rsidR="00B30D28" w:rsidRPr="006722BC">
        <w:t xml:space="preserve"> Action Plan</w:t>
      </w:r>
      <w:r w:rsidR="002F1BE2" w:rsidRPr="006722BC">
        <w:t xml:space="preserve">. However, the challenges of COVID-19 also provided opportunities that </w:t>
      </w:r>
      <w:r w:rsidR="00B30D28" w:rsidRPr="006722BC">
        <w:t>enabled positive long-term outcomes for the students and the school.</w:t>
      </w:r>
    </w:p>
    <w:p w14:paraId="4C974366" w14:textId="0A418A5A"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0E975525" w:rsidR="00846E51" w:rsidRPr="00132917" w:rsidRDefault="00300F72" w:rsidP="00132917">
      <w:pPr>
        <w:pStyle w:val="BodyText"/>
      </w:pPr>
      <w:r w:rsidRPr="00132917">
        <w:t>In 20</w:t>
      </w:r>
      <w:r w:rsidR="00423187">
        <w:t>20</w:t>
      </w:r>
      <w:r w:rsidRPr="00132917">
        <w:t xml:space="preserve"> our school supported this </w:t>
      </w:r>
      <w:r w:rsidR="00E14A54">
        <w:t>S</w:t>
      </w:r>
      <w:r w:rsidRPr="00132917">
        <w:t xml:space="preserve">trategic </w:t>
      </w:r>
      <w:r w:rsidR="00E14A54">
        <w:t>I</w:t>
      </w:r>
      <w:r w:rsidRPr="00132917">
        <w:t xml:space="preserve">ndicator through – Priority </w:t>
      </w:r>
      <w:r w:rsidR="00423187">
        <w:t>1</w:t>
      </w:r>
      <w:r w:rsidRPr="00132917">
        <w:t xml:space="preserve"> </w:t>
      </w:r>
      <w:r w:rsidR="00311873">
        <w:t xml:space="preserve">and 2 </w:t>
      </w:r>
      <w:r w:rsidRPr="00132917">
        <w:t>(see reporting for detail):</w:t>
      </w:r>
    </w:p>
    <w:p w14:paraId="3744C814" w14:textId="235EFDF0" w:rsidR="00954566" w:rsidRPr="00A54B28" w:rsidRDefault="00A54B28" w:rsidP="00954566">
      <w:pPr>
        <w:pStyle w:val="ListBullet"/>
      </w:pPr>
      <w:r w:rsidRPr="00A54B28">
        <w:t xml:space="preserve">Continuation and refinement </w:t>
      </w:r>
      <w:r w:rsidR="00954566" w:rsidRPr="00A54B28">
        <w:t>of whole-school scope and sequence documents</w:t>
      </w:r>
      <w:r w:rsidRPr="00A54B28">
        <w:t xml:space="preserve"> across all learning areas</w:t>
      </w:r>
      <w:r w:rsidR="00954566" w:rsidRPr="00A54B28">
        <w:t xml:space="preserve"> including emphasis on understanding ‘above’ and ‘below’ expected year level</w:t>
      </w:r>
    </w:p>
    <w:p w14:paraId="6A293947" w14:textId="1E8683D9" w:rsidR="00F85ED9" w:rsidRPr="00A54B28" w:rsidRDefault="00A54B28" w:rsidP="006722BC">
      <w:pPr>
        <w:pStyle w:val="ListBullet"/>
      </w:pPr>
      <w:r w:rsidRPr="00A54B28">
        <w:t>Establishment of play-based pedagogies in the early years</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624DC450" w:rsidR="00300F72" w:rsidRPr="00132917" w:rsidRDefault="00300F72" w:rsidP="00132917">
      <w:pPr>
        <w:pStyle w:val="BodyText"/>
      </w:pPr>
      <w:r w:rsidRPr="00132917">
        <w:t>In 20</w:t>
      </w:r>
      <w:r w:rsidR="001401D5">
        <w:t>20</w:t>
      </w:r>
      <w:r w:rsidRPr="00132917">
        <w:t xml:space="preserve"> our school supported this </w:t>
      </w:r>
      <w:r w:rsidR="00E14A54">
        <w:t>S</w:t>
      </w:r>
      <w:r w:rsidRPr="00132917">
        <w:t xml:space="preserve">trategic </w:t>
      </w:r>
      <w:r w:rsidR="00E14A54">
        <w:t>I</w:t>
      </w:r>
      <w:r w:rsidRPr="00132917">
        <w:t xml:space="preserve">ndicator through – Priority </w:t>
      </w:r>
      <w:r w:rsidR="001401D5">
        <w:t>1</w:t>
      </w:r>
      <w:r w:rsidRPr="00132917">
        <w:t xml:space="preserve"> </w:t>
      </w:r>
      <w:r w:rsidR="00311873">
        <w:t xml:space="preserve">and 2 </w:t>
      </w:r>
      <w:r w:rsidRPr="00132917">
        <w:t>(see reporting for detail):</w:t>
      </w:r>
    </w:p>
    <w:p w14:paraId="7C21ABB6" w14:textId="72915885" w:rsidR="00A54B28" w:rsidRPr="00A54B28" w:rsidRDefault="00B30D28" w:rsidP="00A54B28">
      <w:pPr>
        <w:pStyle w:val="ListBullet"/>
      </w:pPr>
      <w:r>
        <w:t>A</w:t>
      </w:r>
      <w:r w:rsidR="00A54B28" w:rsidRPr="00A54B28">
        <w:t xml:space="preserve"> suite of high quality Professional Learning in the areas of Mathematics and </w:t>
      </w:r>
      <w:r>
        <w:t>English, including mental computation, systematic synthetic phonics, spelling, handwriting and deep comprehension</w:t>
      </w:r>
    </w:p>
    <w:p w14:paraId="173E669D" w14:textId="2A67B174" w:rsidR="00954566" w:rsidRPr="00A54B28" w:rsidRDefault="00A54B28" w:rsidP="00192AA8">
      <w:pPr>
        <w:pStyle w:val="ListBullet"/>
      </w:pPr>
      <w:r w:rsidRPr="00A54B28">
        <w:t>Collaboration with another school to provide a Professional Learning Community in the teaching of Mathematics</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446CBE4F"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C06726">
        <w:rPr>
          <w:color w:val="auto"/>
        </w:rPr>
        <w:t>Improve Learning Outcomes in Mathematics</w:t>
      </w:r>
    </w:p>
    <w:p w14:paraId="255A28BA" w14:textId="77777777" w:rsidR="004D5E45" w:rsidRPr="00837137" w:rsidRDefault="006D2F6B" w:rsidP="00837137">
      <w:pPr>
        <w:pStyle w:val="Heading3"/>
      </w:pPr>
      <w:r w:rsidRPr="00837137">
        <w:t>Targets or measures</w:t>
      </w:r>
    </w:p>
    <w:p w14:paraId="0ED94083" w14:textId="346A6DB2" w:rsidR="000031B5" w:rsidRDefault="00481BD2" w:rsidP="0058339C">
      <w:pPr>
        <w:pStyle w:val="BodyText"/>
      </w:pPr>
      <w:r>
        <w:t xml:space="preserve">By the end of </w:t>
      </w:r>
      <w:r w:rsidR="001401D5">
        <w:t>202</w:t>
      </w:r>
      <w:r w:rsidR="00311873">
        <w:t>3</w:t>
      </w:r>
      <w:r w:rsidR="000031B5">
        <w:t xml:space="preserve"> we will achieve:</w:t>
      </w:r>
    </w:p>
    <w:p w14:paraId="4D4C0181" w14:textId="77777777" w:rsidR="00311873" w:rsidRPr="00DE7757" w:rsidRDefault="00311873" w:rsidP="00311873">
      <w:pPr>
        <w:pStyle w:val="ListBullet"/>
      </w:pPr>
      <w:r w:rsidRPr="00DE7757">
        <w:t>An increase the proportion of students at or above expected growth in NAPLAN Numeracy</w:t>
      </w:r>
    </w:p>
    <w:p w14:paraId="77E28255" w14:textId="77777777" w:rsidR="00311873" w:rsidRPr="00DE7757" w:rsidRDefault="00311873" w:rsidP="00311873">
      <w:pPr>
        <w:pStyle w:val="ListBullet"/>
      </w:pPr>
      <w:r w:rsidRPr="00DE7757">
        <w:t>An increase the proportion of students in the top two NAPLAN bands of Numeracy in Year 5</w:t>
      </w:r>
    </w:p>
    <w:p w14:paraId="1319DBFF" w14:textId="7433C5BB" w:rsidR="004D5E45" w:rsidRPr="00373DC0" w:rsidRDefault="004D5E45" w:rsidP="00837137">
      <w:pPr>
        <w:pStyle w:val="BodyText"/>
      </w:pPr>
      <w:r w:rsidRPr="00373DC0">
        <w:t xml:space="preserve">In </w:t>
      </w:r>
      <w:r w:rsidR="001401D5">
        <w:t>2020</w:t>
      </w:r>
      <w:r w:rsidRPr="00373DC0">
        <w:t xml:space="preserve"> we </w:t>
      </w:r>
      <w:r w:rsidR="00997CD0">
        <w:t>implemented</w:t>
      </w:r>
      <w:r w:rsidRPr="00373DC0">
        <w:t xml:space="preserve"> this priority throug</w:t>
      </w:r>
      <w:r w:rsidR="00997CD0">
        <w:t xml:space="preserve">h the following </w:t>
      </w:r>
      <w:r w:rsidRPr="00373DC0">
        <w:t>strategies</w:t>
      </w:r>
      <w:r w:rsidR="009F70BB">
        <w:t>:</w:t>
      </w:r>
    </w:p>
    <w:p w14:paraId="7D680965" w14:textId="6636AEDE" w:rsidR="00771250" w:rsidRPr="005F5D31" w:rsidRDefault="00F82F49" w:rsidP="00771250">
      <w:pPr>
        <w:pStyle w:val="ListBullet"/>
        <w:rPr>
          <w:i/>
        </w:rPr>
      </w:pPr>
      <w:r>
        <w:t>Training and i</w:t>
      </w:r>
      <w:r w:rsidR="005F5D31">
        <w:t>mplement</w:t>
      </w:r>
      <w:r>
        <w:t xml:space="preserve">ation of </w:t>
      </w:r>
      <w:r w:rsidR="005F5D31">
        <w:t>Count Me In Too (Kindergarten to Year 2)</w:t>
      </w:r>
    </w:p>
    <w:p w14:paraId="2F6DE0D2" w14:textId="7782DA14" w:rsidR="005F5D31" w:rsidRPr="005F5D31" w:rsidRDefault="00E34614" w:rsidP="00771250">
      <w:pPr>
        <w:pStyle w:val="ListBullet"/>
        <w:rPr>
          <w:i/>
        </w:rPr>
      </w:pPr>
      <w:r>
        <w:t>Training and i</w:t>
      </w:r>
      <w:r w:rsidR="005F5D31">
        <w:t>mplement</w:t>
      </w:r>
      <w:r>
        <w:t>ation of</w:t>
      </w:r>
      <w:r w:rsidR="005F5D31">
        <w:t xml:space="preserve"> Middle Years Mental Computation (Year 3 to Year 6)</w:t>
      </w:r>
    </w:p>
    <w:p w14:paraId="5850D772" w14:textId="4EDCFB0D" w:rsidR="005F5D31" w:rsidRPr="00E34614" w:rsidRDefault="005F5D31" w:rsidP="00771250">
      <w:pPr>
        <w:pStyle w:val="ListBullet"/>
        <w:rPr>
          <w:i/>
        </w:rPr>
      </w:pPr>
      <w:r>
        <w:t>Integrate experiential, investigative and play-based pedagogies in teaching and learning of Mathematics</w:t>
      </w:r>
    </w:p>
    <w:p w14:paraId="0E97FC17" w14:textId="70DA019D" w:rsidR="00E34614" w:rsidRPr="00771250" w:rsidRDefault="00E34614" w:rsidP="00771250">
      <w:pPr>
        <w:pStyle w:val="ListBullet"/>
        <w:rPr>
          <w:i/>
        </w:rPr>
      </w:pPr>
      <w:r>
        <w:t>Systematic planning and implementation of online maths learning – Mathletics (K to Year 6)</w:t>
      </w:r>
    </w:p>
    <w:p w14:paraId="1CA81AE0" w14:textId="77777777" w:rsidR="00771250" w:rsidRDefault="00771250" w:rsidP="00771250">
      <w:pPr>
        <w:pStyle w:val="ListBullet"/>
        <w:numPr>
          <w:ilvl w:val="0"/>
          <w:numId w:val="0"/>
        </w:numPr>
      </w:pPr>
    </w:p>
    <w:p w14:paraId="7DFF073D" w14:textId="1B3D6067" w:rsidR="00436626" w:rsidRPr="00997CD0" w:rsidRDefault="009B454E" w:rsidP="00771250">
      <w:pPr>
        <w:pStyle w:val="ListBullet"/>
        <w:numPr>
          <w:ilvl w:val="0"/>
          <w:numId w:val="0"/>
        </w:numPr>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C73EB7">
        <w:trPr>
          <w:jc w:val="center"/>
        </w:trPr>
        <w:tc>
          <w:tcPr>
            <w:tcW w:w="4297" w:type="dxa"/>
            <w:shd w:val="clear" w:color="auto" w:fill="auto"/>
          </w:tcPr>
          <w:p w14:paraId="52F72BA3" w14:textId="5301BBED" w:rsidR="006D2F6B" w:rsidRPr="00D03B0C" w:rsidRDefault="00311873" w:rsidP="00D03B0C">
            <w:pPr>
              <w:pStyle w:val="PlainText"/>
            </w:pPr>
            <w:r>
              <w:t>Increase the proportion of students at or above expected growth in NAPLAN Numeracy</w:t>
            </w:r>
          </w:p>
        </w:tc>
        <w:tc>
          <w:tcPr>
            <w:tcW w:w="790" w:type="dxa"/>
            <w:shd w:val="clear" w:color="auto" w:fill="auto"/>
            <w:vAlign w:val="center"/>
          </w:tcPr>
          <w:p w14:paraId="6F51F004" w14:textId="58977970" w:rsidR="006D2F6B" w:rsidRPr="00D03B0C" w:rsidRDefault="00C73EB7" w:rsidP="00C73EB7">
            <w:pPr>
              <w:jc w:val="center"/>
            </w:pPr>
            <w:r>
              <w:t>58.5%</w:t>
            </w:r>
          </w:p>
        </w:tc>
        <w:tc>
          <w:tcPr>
            <w:tcW w:w="790" w:type="dxa"/>
            <w:shd w:val="clear" w:color="auto" w:fill="auto"/>
            <w:vAlign w:val="center"/>
          </w:tcPr>
          <w:p w14:paraId="3571C78F" w14:textId="42A36E7D" w:rsidR="006D2F6B" w:rsidRPr="00D03B0C" w:rsidRDefault="00C73EB7" w:rsidP="00C73EB7">
            <w:pPr>
              <w:jc w:val="center"/>
            </w:pPr>
            <w:r>
              <w:t>45%</w:t>
            </w:r>
          </w:p>
        </w:tc>
        <w:tc>
          <w:tcPr>
            <w:tcW w:w="790" w:type="dxa"/>
            <w:shd w:val="clear" w:color="auto" w:fill="auto"/>
            <w:vAlign w:val="center"/>
          </w:tcPr>
          <w:p w14:paraId="69018766" w14:textId="694835AA" w:rsidR="006D2F6B" w:rsidRPr="00E34614" w:rsidRDefault="00E34614" w:rsidP="00C73EB7">
            <w:pPr>
              <w:jc w:val="center"/>
              <w:rPr>
                <w:sz w:val="14"/>
                <w:szCs w:val="14"/>
              </w:rPr>
            </w:pPr>
            <w:r w:rsidRPr="00E34614">
              <w:rPr>
                <w:sz w:val="14"/>
                <w:szCs w:val="14"/>
              </w:rPr>
              <w:t>Unavailable due to COVID-19</w:t>
            </w:r>
          </w:p>
        </w:tc>
        <w:tc>
          <w:tcPr>
            <w:tcW w:w="790" w:type="dxa"/>
            <w:shd w:val="clear" w:color="auto" w:fill="auto"/>
            <w:vAlign w:val="center"/>
          </w:tcPr>
          <w:p w14:paraId="7AB434B5" w14:textId="77777777" w:rsidR="006D2F6B" w:rsidRPr="00D03B0C" w:rsidRDefault="006D2F6B" w:rsidP="00C73EB7">
            <w:pPr>
              <w:jc w:val="center"/>
            </w:pPr>
          </w:p>
        </w:tc>
        <w:tc>
          <w:tcPr>
            <w:tcW w:w="790" w:type="dxa"/>
            <w:shd w:val="clear" w:color="auto" w:fill="auto"/>
            <w:vAlign w:val="center"/>
          </w:tcPr>
          <w:p w14:paraId="6E571018" w14:textId="77777777" w:rsidR="006D2F6B" w:rsidRPr="00D03B0C" w:rsidRDefault="006D2F6B" w:rsidP="00C73EB7">
            <w:pPr>
              <w:jc w:val="center"/>
            </w:pPr>
          </w:p>
        </w:tc>
        <w:tc>
          <w:tcPr>
            <w:tcW w:w="791" w:type="dxa"/>
            <w:shd w:val="clear" w:color="auto" w:fill="auto"/>
            <w:vAlign w:val="center"/>
          </w:tcPr>
          <w:p w14:paraId="1D114ACD" w14:textId="77777777" w:rsidR="006D2F6B" w:rsidRPr="00D03B0C" w:rsidRDefault="006D2F6B" w:rsidP="00C73EB7">
            <w:pPr>
              <w:jc w:val="center"/>
            </w:pPr>
          </w:p>
        </w:tc>
      </w:tr>
      <w:tr w:rsidR="006D2F6B" w14:paraId="3E447EBE" w14:textId="77777777" w:rsidTr="00C73EB7">
        <w:trPr>
          <w:jc w:val="center"/>
        </w:trPr>
        <w:tc>
          <w:tcPr>
            <w:tcW w:w="4297" w:type="dxa"/>
            <w:shd w:val="clear" w:color="auto" w:fill="auto"/>
          </w:tcPr>
          <w:p w14:paraId="3C7AC1FF" w14:textId="590DE695" w:rsidR="006D2F6B" w:rsidRPr="00D03B0C" w:rsidRDefault="00C73EB7" w:rsidP="006D2F6B">
            <w:r>
              <w:t>Increase the proportion of students in the top two NAPLAN bands of Numeracy in Year 5</w:t>
            </w:r>
          </w:p>
        </w:tc>
        <w:tc>
          <w:tcPr>
            <w:tcW w:w="790" w:type="dxa"/>
            <w:shd w:val="clear" w:color="auto" w:fill="auto"/>
            <w:vAlign w:val="center"/>
          </w:tcPr>
          <w:p w14:paraId="4C712096" w14:textId="4C943C2B" w:rsidR="006D2F6B" w:rsidRPr="00D03B0C" w:rsidRDefault="00C73EB7" w:rsidP="00C73EB7">
            <w:pPr>
              <w:jc w:val="center"/>
            </w:pPr>
            <w:r>
              <w:t>18.6%</w:t>
            </w:r>
          </w:p>
        </w:tc>
        <w:tc>
          <w:tcPr>
            <w:tcW w:w="790" w:type="dxa"/>
            <w:shd w:val="clear" w:color="auto" w:fill="auto"/>
            <w:vAlign w:val="center"/>
          </w:tcPr>
          <w:p w14:paraId="2AFC093D" w14:textId="0CA80D1A" w:rsidR="006D2F6B" w:rsidRPr="00D03B0C" w:rsidRDefault="00C73EB7" w:rsidP="00C73EB7">
            <w:pPr>
              <w:jc w:val="center"/>
            </w:pPr>
            <w:r>
              <w:t>23.9%</w:t>
            </w:r>
          </w:p>
        </w:tc>
        <w:tc>
          <w:tcPr>
            <w:tcW w:w="790" w:type="dxa"/>
            <w:shd w:val="clear" w:color="auto" w:fill="auto"/>
            <w:vAlign w:val="center"/>
          </w:tcPr>
          <w:p w14:paraId="21FB2E79" w14:textId="088E805E" w:rsidR="006D2F6B" w:rsidRPr="00D03B0C" w:rsidRDefault="00E34614" w:rsidP="00C73EB7">
            <w:pPr>
              <w:jc w:val="center"/>
            </w:pPr>
            <w:r w:rsidRPr="00E34614">
              <w:rPr>
                <w:sz w:val="14"/>
                <w:szCs w:val="14"/>
              </w:rPr>
              <w:t>Unavailable due to COVID-19</w:t>
            </w:r>
          </w:p>
        </w:tc>
        <w:tc>
          <w:tcPr>
            <w:tcW w:w="790" w:type="dxa"/>
            <w:shd w:val="clear" w:color="auto" w:fill="auto"/>
            <w:vAlign w:val="center"/>
          </w:tcPr>
          <w:p w14:paraId="3C328C1C" w14:textId="77777777" w:rsidR="006D2F6B" w:rsidRPr="00D03B0C" w:rsidRDefault="006D2F6B" w:rsidP="00C73EB7">
            <w:pPr>
              <w:jc w:val="center"/>
            </w:pPr>
          </w:p>
        </w:tc>
        <w:tc>
          <w:tcPr>
            <w:tcW w:w="790" w:type="dxa"/>
            <w:shd w:val="clear" w:color="auto" w:fill="auto"/>
            <w:vAlign w:val="center"/>
          </w:tcPr>
          <w:p w14:paraId="7A35D1D4" w14:textId="77777777" w:rsidR="006D2F6B" w:rsidRPr="00D03B0C" w:rsidRDefault="006D2F6B" w:rsidP="00C73EB7">
            <w:pPr>
              <w:jc w:val="center"/>
            </w:pPr>
          </w:p>
        </w:tc>
        <w:tc>
          <w:tcPr>
            <w:tcW w:w="791" w:type="dxa"/>
            <w:shd w:val="clear" w:color="auto" w:fill="auto"/>
            <w:vAlign w:val="center"/>
          </w:tcPr>
          <w:p w14:paraId="7DBFB30A" w14:textId="77777777" w:rsidR="006D2F6B" w:rsidRPr="00D03B0C" w:rsidRDefault="006D2F6B" w:rsidP="00C73EB7">
            <w:pPr>
              <w:jc w:val="center"/>
            </w:pPr>
          </w:p>
        </w:tc>
      </w:tr>
      <w:tr w:rsidR="00C73EB7" w14:paraId="1B043420" w14:textId="77777777" w:rsidTr="00C73EB7">
        <w:trPr>
          <w:jc w:val="center"/>
        </w:trPr>
        <w:tc>
          <w:tcPr>
            <w:tcW w:w="4297" w:type="dxa"/>
            <w:shd w:val="clear" w:color="auto" w:fill="auto"/>
          </w:tcPr>
          <w:p w14:paraId="7A431E93" w14:textId="2B9DFC12" w:rsidR="00C73EB7" w:rsidRPr="00D03B0C" w:rsidRDefault="00C73EB7" w:rsidP="006D2F6B">
            <w:r>
              <w:t>Increase in the proportion of children making expected growth or better in PIPS Numeracy</w:t>
            </w:r>
          </w:p>
        </w:tc>
        <w:tc>
          <w:tcPr>
            <w:tcW w:w="790" w:type="dxa"/>
            <w:shd w:val="clear" w:color="auto" w:fill="auto"/>
            <w:vAlign w:val="center"/>
          </w:tcPr>
          <w:p w14:paraId="7BF8E49C" w14:textId="65F5C158" w:rsidR="00C73EB7" w:rsidRPr="00D03B0C" w:rsidRDefault="00C73EB7" w:rsidP="00C73EB7">
            <w:pPr>
              <w:jc w:val="center"/>
            </w:pPr>
            <w:r>
              <w:t>67%</w:t>
            </w:r>
          </w:p>
        </w:tc>
        <w:tc>
          <w:tcPr>
            <w:tcW w:w="790" w:type="dxa"/>
            <w:shd w:val="clear" w:color="auto" w:fill="auto"/>
            <w:vAlign w:val="center"/>
          </w:tcPr>
          <w:p w14:paraId="16673494" w14:textId="3266780B" w:rsidR="00C73EB7" w:rsidRPr="00D03B0C" w:rsidRDefault="00C73EB7" w:rsidP="00C73EB7">
            <w:pPr>
              <w:jc w:val="center"/>
            </w:pPr>
            <w:r>
              <w:t>74.4%</w:t>
            </w:r>
          </w:p>
        </w:tc>
        <w:tc>
          <w:tcPr>
            <w:tcW w:w="790" w:type="dxa"/>
            <w:shd w:val="clear" w:color="auto" w:fill="auto"/>
            <w:vAlign w:val="center"/>
          </w:tcPr>
          <w:p w14:paraId="1058C7A4" w14:textId="5A4EEE57" w:rsidR="00C73EB7" w:rsidRPr="00D03B0C" w:rsidRDefault="00E34614" w:rsidP="00C73EB7">
            <w:pPr>
              <w:jc w:val="center"/>
            </w:pPr>
            <w:r w:rsidRPr="00E34614">
              <w:rPr>
                <w:sz w:val="14"/>
                <w:szCs w:val="14"/>
              </w:rPr>
              <w:t>Unavailable due to COVID-19</w:t>
            </w:r>
          </w:p>
        </w:tc>
        <w:tc>
          <w:tcPr>
            <w:tcW w:w="790" w:type="dxa"/>
            <w:shd w:val="clear" w:color="auto" w:fill="auto"/>
            <w:vAlign w:val="center"/>
          </w:tcPr>
          <w:p w14:paraId="38EFA90F" w14:textId="77777777" w:rsidR="00C73EB7" w:rsidRPr="00D03B0C" w:rsidRDefault="00C73EB7" w:rsidP="00C73EB7">
            <w:pPr>
              <w:jc w:val="center"/>
            </w:pPr>
          </w:p>
        </w:tc>
        <w:tc>
          <w:tcPr>
            <w:tcW w:w="790" w:type="dxa"/>
            <w:shd w:val="clear" w:color="auto" w:fill="auto"/>
            <w:vAlign w:val="center"/>
          </w:tcPr>
          <w:p w14:paraId="5D356D0E" w14:textId="77777777" w:rsidR="00C73EB7" w:rsidRPr="00D03B0C" w:rsidRDefault="00C73EB7" w:rsidP="00C73EB7">
            <w:pPr>
              <w:jc w:val="center"/>
            </w:pPr>
          </w:p>
        </w:tc>
        <w:tc>
          <w:tcPr>
            <w:tcW w:w="791" w:type="dxa"/>
            <w:shd w:val="clear" w:color="auto" w:fill="auto"/>
            <w:vAlign w:val="center"/>
          </w:tcPr>
          <w:p w14:paraId="65A58C4C" w14:textId="77777777" w:rsidR="00C73EB7" w:rsidRPr="00D03B0C" w:rsidRDefault="00C73EB7" w:rsidP="00C73EB7">
            <w:pPr>
              <w:jc w:val="center"/>
            </w:pPr>
          </w:p>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54"/>
        <w:gridCol w:w="787"/>
        <w:gridCol w:w="786"/>
        <w:gridCol w:w="852"/>
        <w:gridCol w:w="786"/>
        <w:gridCol w:w="786"/>
        <w:gridCol w:w="787"/>
      </w:tblGrid>
      <w:tr w:rsidR="006D2F6B" w14:paraId="4EF7DD9F" w14:textId="77777777" w:rsidTr="0007160F">
        <w:trPr>
          <w:jc w:val="center"/>
        </w:trPr>
        <w:tc>
          <w:tcPr>
            <w:tcW w:w="4254" w:type="dxa"/>
            <w:shd w:val="clear" w:color="auto" w:fill="auto"/>
          </w:tcPr>
          <w:p w14:paraId="13269C94" w14:textId="77777777" w:rsidR="006D2F6B" w:rsidRPr="006D2F6B" w:rsidRDefault="006D2F6B" w:rsidP="00D03B0C">
            <w:pPr>
              <w:rPr>
                <w:b/>
              </w:rPr>
            </w:pPr>
            <w:r w:rsidRPr="006D2F6B">
              <w:rPr>
                <w:b/>
              </w:rPr>
              <w:t>Targets or Measures</w:t>
            </w:r>
          </w:p>
        </w:tc>
        <w:tc>
          <w:tcPr>
            <w:tcW w:w="787" w:type="dxa"/>
            <w:shd w:val="clear" w:color="auto" w:fill="auto"/>
          </w:tcPr>
          <w:p w14:paraId="4B51A1C5" w14:textId="77777777" w:rsidR="006D2F6B" w:rsidRPr="006D2F6B" w:rsidRDefault="006D2F6B" w:rsidP="00D56F59">
            <w:pPr>
              <w:jc w:val="center"/>
              <w:rPr>
                <w:b/>
              </w:rPr>
            </w:pPr>
            <w:r w:rsidRPr="006D2F6B">
              <w:rPr>
                <w:b/>
              </w:rPr>
              <w:t>Base</w:t>
            </w:r>
          </w:p>
        </w:tc>
        <w:tc>
          <w:tcPr>
            <w:tcW w:w="786" w:type="dxa"/>
            <w:shd w:val="clear" w:color="auto" w:fill="auto"/>
          </w:tcPr>
          <w:p w14:paraId="15B7F1C3" w14:textId="77777777" w:rsidR="006D2F6B" w:rsidRPr="006D2F6B" w:rsidRDefault="006D2F6B" w:rsidP="00D56F59">
            <w:pPr>
              <w:jc w:val="center"/>
              <w:rPr>
                <w:b/>
              </w:rPr>
            </w:pPr>
            <w:r w:rsidRPr="006D2F6B">
              <w:rPr>
                <w:b/>
              </w:rPr>
              <w:t>Year 1</w:t>
            </w:r>
          </w:p>
        </w:tc>
        <w:tc>
          <w:tcPr>
            <w:tcW w:w="852" w:type="dxa"/>
            <w:shd w:val="clear" w:color="auto" w:fill="auto"/>
          </w:tcPr>
          <w:p w14:paraId="4CC28E98" w14:textId="77777777" w:rsidR="006D2F6B" w:rsidRPr="006D2F6B" w:rsidRDefault="006D2F6B" w:rsidP="00D56F59">
            <w:pPr>
              <w:jc w:val="center"/>
              <w:rPr>
                <w:b/>
              </w:rPr>
            </w:pPr>
            <w:r w:rsidRPr="006D2F6B">
              <w:rPr>
                <w:b/>
              </w:rPr>
              <w:t>Year 2</w:t>
            </w:r>
          </w:p>
        </w:tc>
        <w:tc>
          <w:tcPr>
            <w:tcW w:w="786" w:type="dxa"/>
            <w:shd w:val="clear" w:color="auto" w:fill="auto"/>
          </w:tcPr>
          <w:p w14:paraId="5EE5455E" w14:textId="77777777" w:rsidR="006D2F6B" w:rsidRPr="006D2F6B" w:rsidRDefault="006D2F6B" w:rsidP="00D56F59">
            <w:pPr>
              <w:jc w:val="center"/>
              <w:rPr>
                <w:b/>
              </w:rPr>
            </w:pPr>
            <w:r w:rsidRPr="006D2F6B">
              <w:rPr>
                <w:b/>
              </w:rPr>
              <w:t>Year 3</w:t>
            </w:r>
          </w:p>
        </w:tc>
        <w:tc>
          <w:tcPr>
            <w:tcW w:w="786" w:type="dxa"/>
            <w:shd w:val="clear" w:color="auto" w:fill="auto"/>
          </w:tcPr>
          <w:p w14:paraId="1CA3136C" w14:textId="77777777" w:rsidR="006D2F6B" w:rsidRPr="006D2F6B" w:rsidRDefault="006D2F6B" w:rsidP="00D56F59">
            <w:pPr>
              <w:jc w:val="center"/>
              <w:rPr>
                <w:b/>
              </w:rPr>
            </w:pPr>
            <w:r w:rsidRPr="006D2F6B">
              <w:rPr>
                <w:b/>
              </w:rPr>
              <w:t>Year 4</w:t>
            </w:r>
          </w:p>
        </w:tc>
        <w:tc>
          <w:tcPr>
            <w:tcW w:w="787" w:type="dxa"/>
            <w:shd w:val="clear" w:color="auto" w:fill="auto"/>
          </w:tcPr>
          <w:p w14:paraId="372CDBC5" w14:textId="77777777" w:rsidR="006D2F6B" w:rsidRPr="006D2F6B" w:rsidRDefault="006D2F6B" w:rsidP="00D56F59">
            <w:pPr>
              <w:jc w:val="center"/>
              <w:rPr>
                <w:b/>
              </w:rPr>
            </w:pPr>
            <w:r w:rsidRPr="006D2F6B">
              <w:rPr>
                <w:b/>
              </w:rPr>
              <w:t>Year 5</w:t>
            </w:r>
          </w:p>
        </w:tc>
      </w:tr>
      <w:tr w:rsidR="00EF0385" w14:paraId="71FE611D" w14:textId="77777777" w:rsidTr="0007160F">
        <w:trPr>
          <w:jc w:val="center"/>
        </w:trPr>
        <w:tc>
          <w:tcPr>
            <w:tcW w:w="4254" w:type="dxa"/>
            <w:shd w:val="clear" w:color="auto" w:fill="auto"/>
          </w:tcPr>
          <w:p w14:paraId="15FDFA6D" w14:textId="072B8D29" w:rsidR="00EF0385" w:rsidRPr="006D2F6B" w:rsidRDefault="00EF0385" w:rsidP="00EF0385">
            <w:pPr>
              <w:pStyle w:val="PlainText"/>
            </w:pPr>
            <w:r w:rsidRPr="00DE7757">
              <w:t xml:space="preserve">Increase in the proportion of parents/carers that they are satisfied </w:t>
            </w:r>
            <w:r>
              <w:t xml:space="preserve">(score of 4 or 5) </w:t>
            </w:r>
            <w:r w:rsidRPr="00DE7757">
              <w:t>their child is making progress in Mathematics</w:t>
            </w:r>
            <w:r>
              <w:t xml:space="preserve"> </w:t>
            </w:r>
          </w:p>
        </w:tc>
        <w:tc>
          <w:tcPr>
            <w:tcW w:w="787" w:type="dxa"/>
            <w:shd w:val="clear" w:color="auto" w:fill="auto"/>
            <w:vAlign w:val="center"/>
          </w:tcPr>
          <w:p w14:paraId="4B7CDD05" w14:textId="1327B935" w:rsidR="00EF0385" w:rsidRPr="006D2F6B" w:rsidRDefault="00EF0385" w:rsidP="00EF0385">
            <w:pPr>
              <w:jc w:val="center"/>
            </w:pPr>
            <w:r>
              <w:t>See 2019</w:t>
            </w:r>
          </w:p>
        </w:tc>
        <w:tc>
          <w:tcPr>
            <w:tcW w:w="786" w:type="dxa"/>
            <w:shd w:val="clear" w:color="auto" w:fill="auto"/>
            <w:vAlign w:val="center"/>
          </w:tcPr>
          <w:p w14:paraId="1037F637" w14:textId="14AAE53F" w:rsidR="00EF0385" w:rsidRPr="006D2F6B" w:rsidRDefault="00EF0385" w:rsidP="00EF0385">
            <w:pPr>
              <w:jc w:val="center"/>
            </w:pPr>
            <w:r>
              <w:t>52.6</w:t>
            </w:r>
          </w:p>
        </w:tc>
        <w:tc>
          <w:tcPr>
            <w:tcW w:w="852" w:type="dxa"/>
            <w:shd w:val="clear" w:color="auto" w:fill="auto"/>
            <w:vAlign w:val="center"/>
          </w:tcPr>
          <w:p w14:paraId="4DED56F3" w14:textId="277983F0" w:rsidR="00EF0385" w:rsidRPr="001D3C91" w:rsidRDefault="0007160F" w:rsidP="00EF0385">
            <w:pPr>
              <w:jc w:val="center"/>
            </w:pPr>
            <w:r w:rsidRPr="001D3C91">
              <w:t xml:space="preserve">* </w:t>
            </w:r>
          </w:p>
        </w:tc>
        <w:tc>
          <w:tcPr>
            <w:tcW w:w="786" w:type="dxa"/>
            <w:shd w:val="clear" w:color="auto" w:fill="auto"/>
            <w:vAlign w:val="center"/>
          </w:tcPr>
          <w:p w14:paraId="252D803F" w14:textId="77777777" w:rsidR="00EF0385" w:rsidRPr="006D2F6B" w:rsidRDefault="00EF0385" w:rsidP="00EF0385">
            <w:pPr>
              <w:jc w:val="center"/>
            </w:pPr>
          </w:p>
        </w:tc>
        <w:tc>
          <w:tcPr>
            <w:tcW w:w="786" w:type="dxa"/>
            <w:shd w:val="clear" w:color="auto" w:fill="auto"/>
            <w:vAlign w:val="center"/>
          </w:tcPr>
          <w:p w14:paraId="5D9DADCD" w14:textId="77777777" w:rsidR="00EF0385" w:rsidRPr="006D2F6B" w:rsidRDefault="00EF0385" w:rsidP="00EF0385">
            <w:pPr>
              <w:jc w:val="center"/>
            </w:pPr>
          </w:p>
        </w:tc>
        <w:tc>
          <w:tcPr>
            <w:tcW w:w="787" w:type="dxa"/>
            <w:shd w:val="clear" w:color="auto" w:fill="auto"/>
            <w:vAlign w:val="center"/>
          </w:tcPr>
          <w:p w14:paraId="0521852A" w14:textId="77777777" w:rsidR="00EF0385" w:rsidRPr="006D2F6B" w:rsidRDefault="00EF0385" w:rsidP="00EF0385">
            <w:pPr>
              <w:jc w:val="center"/>
            </w:pPr>
          </w:p>
        </w:tc>
      </w:tr>
      <w:tr w:rsidR="00EF0385" w14:paraId="38F74B11" w14:textId="77777777" w:rsidTr="0007160F">
        <w:trPr>
          <w:jc w:val="center"/>
        </w:trPr>
        <w:tc>
          <w:tcPr>
            <w:tcW w:w="4254" w:type="dxa"/>
            <w:shd w:val="clear" w:color="auto" w:fill="auto"/>
          </w:tcPr>
          <w:p w14:paraId="46E092F7" w14:textId="362933E3" w:rsidR="00EF0385" w:rsidRPr="006D2F6B" w:rsidRDefault="00EF0385" w:rsidP="00EF0385">
            <w:r w:rsidRPr="00DE7757">
              <w:t>Increase in the proportion of students who are satisfied that they have made progress in Mathematics</w:t>
            </w:r>
          </w:p>
        </w:tc>
        <w:tc>
          <w:tcPr>
            <w:tcW w:w="1573" w:type="dxa"/>
            <w:gridSpan w:val="2"/>
            <w:shd w:val="clear" w:color="auto" w:fill="auto"/>
            <w:vAlign w:val="center"/>
          </w:tcPr>
          <w:p w14:paraId="4392190E" w14:textId="3A3ACDE9" w:rsidR="00EF0385" w:rsidRPr="006D2F6B" w:rsidRDefault="00EF0385" w:rsidP="00EF0385">
            <w:pPr>
              <w:jc w:val="center"/>
            </w:pPr>
            <w:r>
              <w:t>To be collected in 2020</w:t>
            </w:r>
          </w:p>
        </w:tc>
        <w:tc>
          <w:tcPr>
            <w:tcW w:w="852" w:type="dxa"/>
            <w:shd w:val="clear" w:color="auto" w:fill="auto"/>
            <w:vAlign w:val="center"/>
          </w:tcPr>
          <w:p w14:paraId="56D80C92" w14:textId="7BC75285" w:rsidR="00EF0385" w:rsidRPr="001D3C91" w:rsidRDefault="0007160F" w:rsidP="00EF0385">
            <w:pPr>
              <w:jc w:val="center"/>
            </w:pPr>
            <w:r w:rsidRPr="001D3C91">
              <w:t>*</w:t>
            </w:r>
          </w:p>
        </w:tc>
        <w:tc>
          <w:tcPr>
            <w:tcW w:w="786" w:type="dxa"/>
            <w:shd w:val="clear" w:color="auto" w:fill="auto"/>
            <w:vAlign w:val="center"/>
          </w:tcPr>
          <w:p w14:paraId="396718C1" w14:textId="77777777" w:rsidR="00EF0385" w:rsidRPr="006D2F6B" w:rsidRDefault="00EF0385" w:rsidP="00EF0385">
            <w:pPr>
              <w:jc w:val="center"/>
            </w:pPr>
          </w:p>
        </w:tc>
        <w:tc>
          <w:tcPr>
            <w:tcW w:w="786" w:type="dxa"/>
            <w:shd w:val="clear" w:color="auto" w:fill="auto"/>
            <w:vAlign w:val="center"/>
          </w:tcPr>
          <w:p w14:paraId="432D642D" w14:textId="77777777" w:rsidR="00EF0385" w:rsidRPr="006D2F6B" w:rsidRDefault="00EF0385" w:rsidP="00EF0385">
            <w:pPr>
              <w:jc w:val="center"/>
            </w:pPr>
          </w:p>
        </w:tc>
        <w:tc>
          <w:tcPr>
            <w:tcW w:w="787" w:type="dxa"/>
            <w:shd w:val="clear" w:color="auto" w:fill="auto"/>
            <w:vAlign w:val="center"/>
          </w:tcPr>
          <w:p w14:paraId="3F68F7CD" w14:textId="77777777" w:rsidR="00EF0385" w:rsidRPr="006D2F6B" w:rsidRDefault="00EF0385" w:rsidP="00EF0385">
            <w:pPr>
              <w:jc w:val="center"/>
            </w:pPr>
          </w:p>
        </w:tc>
      </w:tr>
      <w:tr w:rsidR="0007160F" w14:paraId="265C2FFB" w14:textId="77777777" w:rsidTr="00627221">
        <w:trPr>
          <w:jc w:val="center"/>
        </w:trPr>
        <w:tc>
          <w:tcPr>
            <w:tcW w:w="9038" w:type="dxa"/>
            <w:gridSpan w:val="7"/>
            <w:shd w:val="clear" w:color="auto" w:fill="auto"/>
          </w:tcPr>
          <w:p w14:paraId="172CA254" w14:textId="759DBFD9" w:rsidR="0007160F" w:rsidRPr="0007160F" w:rsidRDefault="0007160F" w:rsidP="00EF0385">
            <w:pPr>
              <w:jc w:val="center"/>
              <w:rPr>
                <w:sz w:val="14"/>
                <w:szCs w:val="14"/>
              </w:rPr>
            </w:pPr>
            <w:r w:rsidRPr="0007160F">
              <w:rPr>
                <w:sz w:val="14"/>
                <w:szCs w:val="14"/>
              </w:rPr>
              <w:t xml:space="preserve">*Alternate focus </w:t>
            </w:r>
            <w:r>
              <w:rPr>
                <w:sz w:val="14"/>
                <w:szCs w:val="14"/>
              </w:rPr>
              <w:t xml:space="preserve">to support </w:t>
            </w:r>
            <w:r w:rsidR="001D3C91">
              <w:rPr>
                <w:sz w:val="14"/>
                <w:szCs w:val="14"/>
              </w:rPr>
              <w:t xml:space="preserve">and maintain the wellbeing and engagement of students and </w:t>
            </w:r>
            <w:r>
              <w:rPr>
                <w:sz w:val="14"/>
                <w:szCs w:val="14"/>
              </w:rPr>
              <w:t>families during COVID-19</w:t>
            </w:r>
          </w:p>
        </w:tc>
      </w:tr>
    </w:tbl>
    <w:p w14:paraId="02078B9E" w14:textId="77777777" w:rsidR="008A01DA" w:rsidRPr="008A01DA" w:rsidRDefault="008A01DA" w:rsidP="00C0648C">
      <w:pPr>
        <w:pStyle w:val="Heading4"/>
      </w:pPr>
      <w:r>
        <w:t>School program and process data</w:t>
      </w:r>
    </w:p>
    <w:p w14:paraId="0F47B99C" w14:textId="277EBABC" w:rsidR="007D0242" w:rsidRPr="001D3C91" w:rsidRDefault="007D0242" w:rsidP="00EF0385">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sidRPr="001D3C91">
        <w:rPr>
          <w:sz w:val="21"/>
        </w:rPr>
        <w:t xml:space="preserve">All team leaders and teachers </w:t>
      </w:r>
      <w:r w:rsidR="001D3C91" w:rsidRPr="001D3C91">
        <w:rPr>
          <w:sz w:val="21"/>
        </w:rPr>
        <w:t>provided with training in relation to</w:t>
      </w:r>
      <w:r w:rsidR="009F70BB" w:rsidRPr="001D3C91">
        <w:rPr>
          <w:sz w:val="21"/>
        </w:rPr>
        <w:t xml:space="preserve"> </w:t>
      </w:r>
      <w:r w:rsidRPr="001D3C91">
        <w:rPr>
          <w:sz w:val="21"/>
        </w:rPr>
        <w:t>the National Numeracy Progressions</w:t>
      </w:r>
    </w:p>
    <w:p w14:paraId="786D2AC0" w14:textId="423A6993" w:rsidR="00F00DB2" w:rsidRPr="001D3C91" w:rsidRDefault="00F11C71" w:rsidP="00EF0385">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sidRPr="001D3C91">
        <w:rPr>
          <w:sz w:val="21"/>
        </w:rPr>
        <w:t xml:space="preserve">Teachers of the early years beginning to adopt a play based approach to </w:t>
      </w:r>
      <w:r w:rsidR="001D3C91" w:rsidRPr="001D3C91">
        <w:rPr>
          <w:sz w:val="21"/>
        </w:rPr>
        <w:t xml:space="preserve">support </w:t>
      </w:r>
      <w:r w:rsidRPr="001D3C91">
        <w:rPr>
          <w:sz w:val="21"/>
        </w:rPr>
        <w:t>conceptual development in Mathematics</w:t>
      </w:r>
    </w:p>
    <w:p w14:paraId="0A9A1A7D" w14:textId="7822321B" w:rsidR="00EF0385" w:rsidRDefault="00EF0385" w:rsidP="00EF0385">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sidRPr="001D3C91">
        <w:rPr>
          <w:sz w:val="21"/>
        </w:rPr>
        <w:t xml:space="preserve">All teachers use the Neville Bonner Primary School Mathematics Scope &amp; Sequence, in alignment with the Australian Curriculum and modified to suit the needs of </w:t>
      </w:r>
      <w:r w:rsidR="001D3C91" w:rsidRPr="001D3C91">
        <w:rPr>
          <w:sz w:val="21"/>
        </w:rPr>
        <w:t>each</w:t>
      </w:r>
      <w:r w:rsidRPr="001D3C91">
        <w:rPr>
          <w:sz w:val="21"/>
        </w:rPr>
        <w:t xml:space="preserve"> Learning Group</w:t>
      </w:r>
    </w:p>
    <w:p w14:paraId="52E922D4" w14:textId="57A2ABAE" w:rsidR="001D3C91" w:rsidRDefault="001D3C91" w:rsidP="00EF0385">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Pr>
          <w:sz w:val="21"/>
        </w:rPr>
        <w:t xml:space="preserve">Increased systematic use of online Mathematics learning </w:t>
      </w:r>
      <w:r w:rsidR="00CC43A7">
        <w:rPr>
          <w:sz w:val="21"/>
        </w:rPr>
        <w:t>including, but not limited to,</w:t>
      </w:r>
      <w:r>
        <w:rPr>
          <w:sz w:val="21"/>
        </w:rPr>
        <w:t xml:space="preserve"> Mathletics</w:t>
      </w:r>
      <w:r w:rsidR="00CC43A7">
        <w:rPr>
          <w:sz w:val="21"/>
        </w:rPr>
        <w:t>(K to Year 6)</w:t>
      </w:r>
    </w:p>
    <w:p w14:paraId="33648BA3" w14:textId="678F4FD3" w:rsidR="00DD18F1" w:rsidRPr="001D3C91" w:rsidRDefault="00DD18F1" w:rsidP="00EF0385">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Pr>
          <w:sz w:val="21"/>
        </w:rPr>
        <w:lastRenderedPageBreak/>
        <w:t>School wide systematic implementation of an explicit teaching model for the delivery of online Mathematics teaching and learning during Virtual School</w:t>
      </w:r>
    </w:p>
    <w:p w14:paraId="60878293" w14:textId="55B880A5" w:rsidR="007D0242" w:rsidRPr="002F1BE2" w:rsidRDefault="007D0242" w:rsidP="007D0242">
      <w:pPr>
        <w:pStyle w:val="PlainText"/>
        <w:pBdr>
          <w:top w:val="single" w:sz="4" w:space="1" w:color="auto"/>
          <w:left w:val="single" w:sz="4" w:space="4" w:color="auto"/>
          <w:bottom w:val="single" w:sz="4" w:space="1" w:color="auto"/>
          <w:right w:val="single" w:sz="4" w:space="4" w:color="auto"/>
        </w:pBdr>
        <w:ind w:left="1"/>
        <w:rPr>
          <w:highlight w:val="yellow"/>
        </w:rPr>
      </w:pPr>
    </w:p>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DFB70DA" w14:textId="10834079" w:rsidR="00161E50" w:rsidRDefault="00600A28" w:rsidP="006D2F6B">
            <w:pPr>
              <w:pStyle w:val="PlainText"/>
              <w:numPr>
                <w:ilvl w:val="0"/>
                <w:numId w:val="2"/>
              </w:numPr>
              <w:ind w:left="426" w:hanging="425"/>
            </w:pPr>
            <w:r>
              <w:t>PIPs (BASE) and NAPLAN data for 2020 was not available due to COVID-19</w:t>
            </w:r>
          </w:p>
        </w:tc>
      </w:tr>
    </w:tbl>
    <w:p w14:paraId="113E7E85" w14:textId="3E48A2B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57791E">
        <w:trPr>
          <w:trHeight w:val="223"/>
          <w:jc w:val="center"/>
        </w:trPr>
        <w:tc>
          <w:tcPr>
            <w:tcW w:w="9027" w:type="dxa"/>
            <w:shd w:val="clear" w:color="auto" w:fill="auto"/>
          </w:tcPr>
          <w:p w14:paraId="70685718" w14:textId="66F194DA" w:rsidR="0057791E" w:rsidRPr="00E945FD" w:rsidRDefault="0057791E" w:rsidP="0057791E">
            <w:pPr>
              <w:rPr>
                <w:b/>
                <w:bCs/>
              </w:rPr>
            </w:pPr>
            <w:r w:rsidRPr="00E945FD">
              <w:rPr>
                <w:b/>
                <w:bCs/>
              </w:rPr>
              <w:t>Implement Middle Years Mental Computation</w:t>
            </w:r>
            <w:r>
              <w:rPr>
                <w:b/>
                <w:bCs/>
              </w:rPr>
              <w:t xml:space="preserve"> (MYMC)</w:t>
            </w:r>
            <w:r w:rsidRPr="00E945FD">
              <w:rPr>
                <w:b/>
                <w:bCs/>
              </w:rPr>
              <w:t xml:space="preserve"> and Count Me In Too</w:t>
            </w:r>
            <w:r>
              <w:rPr>
                <w:b/>
                <w:bCs/>
              </w:rPr>
              <w:t xml:space="preserve"> (CMIT)</w:t>
            </w:r>
            <w:r w:rsidRPr="00E945FD">
              <w:rPr>
                <w:b/>
                <w:bCs/>
              </w:rPr>
              <w:t xml:space="preserve"> pedagogy across the school</w:t>
            </w:r>
          </w:p>
          <w:p w14:paraId="5CB1D8A5" w14:textId="22BED97E" w:rsidR="002D43D6" w:rsidRDefault="0057791E" w:rsidP="0057791E">
            <w:pPr>
              <w:pStyle w:val="PlainText"/>
              <w:numPr>
                <w:ilvl w:val="0"/>
                <w:numId w:val="2"/>
              </w:numPr>
              <w:ind w:left="426" w:hanging="425"/>
            </w:pPr>
            <w:r>
              <w:t xml:space="preserve">The Mathematics Team facilitated school wide professional learning </w:t>
            </w:r>
          </w:p>
          <w:p w14:paraId="6FDE813C" w14:textId="600B0BB4" w:rsidR="0057791E" w:rsidRDefault="002D43D6" w:rsidP="002D43D6">
            <w:pPr>
              <w:pStyle w:val="PlainText"/>
              <w:numPr>
                <w:ilvl w:val="0"/>
                <w:numId w:val="2"/>
              </w:numPr>
              <w:ind w:left="426" w:hanging="425"/>
            </w:pPr>
            <w:r>
              <w:t xml:space="preserve">MYMC and CMIT assessment </w:t>
            </w:r>
            <w:r w:rsidR="0057791E">
              <w:t>tools are available for staff to use</w:t>
            </w:r>
            <w:r>
              <w:t xml:space="preserve"> with t</w:t>
            </w:r>
            <w:r w:rsidR="0057791E">
              <w:t xml:space="preserve">eachers </w:t>
            </w:r>
            <w:r w:rsidR="00600A28">
              <w:t>engaging in</w:t>
            </w:r>
            <w:r w:rsidR="0057791E">
              <w:t xml:space="preserve"> the use of MYMC and CMIT assessment strategies</w:t>
            </w:r>
          </w:p>
          <w:p w14:paraId="41EA48CA" w14:textId="1230D316" w:rsidR="00F85ED9" w:rsidRDefault="00F85ED9" w:rsidP="002D43D6">
            <w:pPr>
              <w:pStyle w:val="PlainText"/>
              <w:numPr>
                <w:ilvl w:val="0"/>
                <w:numId w:val="2"/>
              </w:numPr>
              <w:ind w:left="426" w:hanging="425"/>
            </w:pPr>
            <w:r>
              <w:t>Schedule for Early Number Assessment (SENA) used to determine next-step teaching and learning</w:t>
            </w:r>
          </w:p>
          <w:p w14:paraId="42A757CA" w14:textId="0481A3D2" w:rsidR="00771250" w:rsidRDefault="0057791E" w:rsidP="00771250">
            <w:pPr>
              <w:pStyle w:val="ListBullet"/>
            </w:pPr>
            <w:r>
              <w:t xml:space="preserve">Additional </w:t>
            </w:r>
            <w:r w:rsidR="00600A28">
              <w:t>concrete materials</w:t>
            </w:r>
            <w:r>
              <w:t xml:space="preserve"> purchased to assist with hands on learning of Mathematical concepts</w:t>
            </w:r>
          </w:p>
          <w:p w14:paraId="2D32ACB6" w14:textId="692F77C3" w:rsidR="00771250" w:rsidRPr="004C33D6" w:rsidRDefault="00771250" w:rsidP="00771250">
            <w:pPr>
              <w:pStyle w:val="ListBullet"/>
            </w:pPr>
            <w:r w:rsidRPr="004C33D6">
              <w:t xml:space="preserve">Whole of school approach to the teaching of Mathematics </w:t>
            </w:r>
            <w:r w:rsidR="00EA4582">
              <w:t xml:space="preserve">including the systematic use of online learning tools and programs </w:t>
            </w:r>
          </w:p>
          <w:p w14:paraId="63CE2BB3" w14:textId="2351B157" w:rsidR="00771250" w:rsidRPr="007D0242" w:rsidRDefault="00771250" w:rsidP="00771250">
            <w:pPr>
              <w:pStyle w:val="ListBullet"/>
            </w:pPr>
            <w:r w:rsidRPr="007D0242">
              <w:t>Embedded NBPS Scope and Sequence documents</w:t>
            </w:r>
            <w:r w:rsidR="00EA4582">
              <w:t>.</w:t>
            </w:r>
          </w:p>
          <w:p w14:paraId="30BF494D" w14:textId="0C187B97" w:rsidR="0057791E" w:rsidRDefault="0057791E" w:rsidP="005F5D31">
            <w:pPr>
              <w:pStyle w:val="PlainText"/>
            </w:pPr>
          </w:p>
          <w:p w14:paraId="5C168074" w14:textId="77777777" w:rsidR="00CA26FB" w:rsidRDefault="00CA26FB" w:rsidP="00CA26FB">
            <w:pPr>
              <w:pStyle w:val="ListBullet"/>
              <w:numPr>
                <w:ilvl w:val="0"/>
                <w:numId w:val="0"/>
              </w:numPr>
              <w:ind w:left="360" w:hanging="360"/>
            </w:pPr>
          </w:p>
          <w:p w14:paraId="202E5984" w14:textId="615D0103" w:rsidR="00CA26FB" w:rsidRPr="00CA26FB" w:rsidRDefault="0057791E" w:rsidP="00CA26FB">
            <w:pPr>
              <w:pStyle w:val="BodyText"/>
              <w:rPr>
                <w:b/>
              </w:rPr>
            </w:pPr>
            <w:r>
              <w:rPr>
                <w:b/>
              </w:rPr>
              <w:t>Embraced the online learning opportunit</w:t>
            </w:r>
            <w:r w:rsidR="00EA4582">
              <w:rPr>
                <w:b/>
              </w:rPr>
              <w:t>ies</w:t>
            </w:r>
            <w:r>
              <w:rPr>
                <w:b/>
              </w:rPr>
              <w:t xml:space="preserve"> to strengthen approach to </w:t>
            </w:r>
            <w:r w:rsidR="00AE6038">
              <w:rPr>
                <w:b/>
              </w:rPr>
              <w:t>teaching and learning of Mathematics</w:t>
            </w:r>
          </w:p>
          <w:p w14:paraId="57B08918" w14:textId="66CEB43A" w:rsidR="0057791E" w:rsidRDefault="0057791E" w:rsidP="00CA26FB">
            <w:pPr>
              <w:pStyle w:val="ListBullet"/>
            </w:pPr>
            <w:r>
              <w:t>Streamlined the administrative processes for managing student online subscriptions including Mathletics</w:t>
            </w:r>
          </w:p>
          <w:p w14:paraId="422D5B4A" w14:textId="4859C438" w:rsidR="00CA26FB" w:rsidRDefault="0057791E" w:rsidP="00CA26FB">
            <w:pPr>
              <w:pStyle w:val="ListBullet"/>
            </w:pPr>
            <w:r>
              <w:t>Developed a suite of online resources</w:t>
            </w:r>
          </w:p>
          <w:p w14:paraId="039EB6BF" w14:textId="5DA90E6D" w:rsidR="00771250" w:rsidRDefault="00771250" w:rsidP="00CA26FB">
            <w:pPr>
              <w:pStyle w:val="ListBullet"/>
            </w:pPr>
            <w:r>
              <w:t>An innovative approach to online learning in the form of an ‘</w:t>
            </w:r>
            <w:r w:rsidR="00EA4582">
              <w:t>Virtual S</w:t>
            </w:r>
            <w:r>
              <w:t xml:space="preserve">chool’ was developed to provide structure, predictability and </w:t>
            </w:r>
            <w:r w:rsidR="005F5D31">
              <w:t xml:space="preserve">a </w:t>
            </w:r>
            <w:r>
              <w:t>high quality</w:t>
            </w:r>
            <w:r w:rsidR="005F5D31">
              <w:t xml:space="preserve"> and respectful</w:t>
            </w:r>
            <w:r>
              <w:t xml:space="preserve"> learning </w:t>
            </w:r>
            <w:r w:rsidR="005F5D31">
              <w:t xml:space="preserve">environment </w:t>
            </w:r>
            <w:r>
              <w:t xml:space="preserve">for students. The </w:t>
            </w:r>
            <w:r w:rsidR="00EA4582">
              <w:t>Virtual School</w:t>
            </w:r>
            <w:r>
              <w:t xml:space="preserve"> provided </w:t>
            </w:r>
            <w:r w:rsidR="00EA4582">
              <w:t>an explicit teaching model including teacher developed lessons with</w:t>
            </w:r>
            <w:r>
              <w:t xml:space="preserve"> links to relevant educational resources and</w:t>
            </w:r>
            <w:r w:rsidR="00EA4582">
              <w:t xml:space="preserve"> activities,</w:t>
            </w:r>
            <w:r>
              <w:t xml:space="preserve"> </w:t>
            </w:r>
            <w:r w:rsidR="00EA4582">
              <w:t>with support materials for parents/carers.</w:t>
            </w:r>
          </w:p>
          <w:p w14:paraId="5D0F6745" w14:textId="77777777" w:rsidR="0057791E" w:rsidRDefault="0057791E" w:rsidP="00AE6038">
            <w:pPr>
              <w:pStyle w:val="ListBullet"/>
              <w:numPr>
                <w:ilvl w:val="0"/>
                <w:numId w:val="0"/>
              </w:numPr>
            </w:pPr>
          </w:p>
          <w:p w14:paraId="11C1D550" w14:textId="6F632398" w:rsidR="00AE6038" w:rsidRPr="00CA26FB" w:rsidRDefault="00AE6038" w:rsidP="00AE6038">
            <w:pPr>
              <w:pStyle w:val="BodyText"/>
              <w:rPr>
                <w:b/>
              </w:rPr>
            </w:pPr>
            <w:r>
              <w:rPr>
                <w:b/>
              </w:rPr>
              <w:t>Implemented the initial phase of play-based pedagogies in Mathematics</w:t>
            </w:r>
          </w:p>
          <w:p w14:paraId="5421210C" w14:textId="0C189380" w:rsidR="00AE6038" w:rsidRDefault="00AE6038" w:rsidP="00AE6038">
            <w:pPr>
              <w:pStyle w:val="ListBullet"/>
            </w:pPr>
            <w:r>
              <w:t xml:space="preserve">Resource library </w:t>
            </w:r>
            <w:r w:rsidR="00414930">
              <w:t>expanded</w:t>
            </w:r>
            <w:r>
              <w:t xml:space="preserve"> throughout the year to match content of the Australian Curriculum with student interests</w:t>
            </w:r>
          </w:p>
          <w:p w14:paraId="25DF4621" w14:textId="182DFEC6" w:rsidR="00414930" w:rsidRDefault="00414930" w:rsidP="00AE6038">
            <w:pPr>
              <w:pStyle w:val="ListBullet"/>
            </w:pPr>
            <w:r>
              <w:t xml:space="preserve">Ongoing professional learning in relation to play based pedagogies </w:t>
            </w:r>
          </w:p>
          <w:p w14:paraId="617A6F61" w14:textId="34C88810" w:rsidR="00AE6038" w:rsidRDefault="00AE6038" w:rsidP="00AE6038">
            <w:pPr>
              <w:pStyle w:val="ListBullet"/>
            </w:pPr>
            <w:r>
              <w:t>Timetabling for play based learning opportunities in each learning area in</w:t>
            </w:r>
            <w:r w:rsidR="00414930">
              <w:t xml:space="preserve"> early years </w:t>
            </w:r>
          </w:p>
          <w:p w14:paraId="48C5D032" w14:textId="781BB37A" w:rsidR="00771250" w:rsidRPr="00CA26FB" w:rsidRDefault="00771250" w:rsidP="00771250">
            <w:pPr>
              <w:pStyle w:val="ListBullet"/>
              <w:numPr>
                <w:ilvl w:val="0"/>
                <w:numId w:val="0"/>
              </w:numPr>
            </w:pP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F11C71">
        <w:trPr>
          <w:trHeight w:val="116"/>
          <w:jc w:val="center"/>
        </w:trPr>
        <w:tc>
          <w:tcPr>
            <w:tcW w:w="9027" w:type="dxa"/>
            <w:shd w:val="clear" w:color="auto" w:fill="auto"/>
          </w:tcPr>
          <w:p w14:paraId="1EFD791D" w14:textId="77777777" w:rsidR="00DC0585" w:rsidRPr="00DC0585" w:rsidRDefault="00DC0585" w:rsidP="00DC0585">
            <w:pPr>
              <w:pStyle w:val="ListBullet"/>
              <w:numPr>
                <w:ilvl w:val="0"/>
                <w:numId w:val="0"/>
              </w:numPr>
              <w:ind w:left="360" w:hanging="360"/>
              <w:rPr>
                <w:b/>
                <w:bCs/>
                <w:i/>
              </w:rPr>
            </w:pPr>
            <w:r w:rsidRPr="00DC0585">
              <w:rPr>
                <w:b/>
                <w:bCs/>
              </w:rPr>
              <w:t>Implement Count Me In Too (Kindergarten to Year 2)</w:t>
            </w:r>
          </w:p>
          <w:p w14:paraId="59AE4D37" w14:textId="150C842A" w:rsidR="00DC0585" w:rsidRPr="00414930" w:rsidRDefault="00DC0585" w:rsidP="00414930">
            <w:pPr>
              <w:pStyle w:val="ListBullet"/>
              <w:rPr>
                <w:i/>
              </w:rPr>
            </w:pPr>
            <w:r>
              <w:t xml:space="preserve">Adding </w:t>
            </w:r>
            <w:r w:rsidR="00F85ED9">
              <w:t xml:space="preserve">SENA </w:t>
            </w:r>
            <w:r>
              <w:t>into the Assessment Schedule &amp; up skilling new staff</w:t>
            </w:r>
          </w:p>
          <w:p w14:paraId="7D1BFF0F" w14:textId="4623778E" w:rsidR="00DC0585" w:rsidRPr="00DC0585" w:rsidRDefault="00DC0585" w:rsidP="00DC0585">
            <w:pPr>
              <w:pStyle w:val="ListBullet"/>
              <w:numPr>
                <w:ilvl w:val="0"/>
                <w:numId w:val="0"/>
              </w:numPr>
              <w:rPr>
                <w:b/>
                <w:bCs/>
                <w:i/>
              </w:rPr>
            </w:pPr>
            <w:r w:rsidRPr="00DC0585">
              <w:rPr>
                <w:b/>
                <w:bCs/>
              </w:rPr>
              <w:t>Implement Middle Years Mental Computation (Year 3 to Year 6)</w:t>
            </w:r>
          </w:p>
          <w:p w14:paraId="3972D6C8" w14:textId="2E8447C3" w:rsidR="00DC0585" w:rsidRPr="00414930" w:rsidRDefault="00414930" w:rsidP="00414930">
            <w:pPr>
              <w:pStyle w:val="ListBullet"/>
              <w:rPr>
                <w:i/>
              </w:rPr>
            </w:pPr>
            <w:r>
              <w:lastRenderedPageBreak/>
              <w:t>Adding MYMC into the Assessment Schedule &amp; up skilling new staff</w:t>
            </w:r>
          </w:p>
          <w:p w14:paraId="3614E520" w14:textId="428871EE" w:rsidR="00DC0585" w:rsidRPr="00DC0585" w:rsidRDefault="00DC0585" w:rsidP="00DC0585">
            <w:pPr>
              <w:pStyle w:val="ListBullet"/>
              <w:numPr>
                <w:ilvl w:val="0"/>
                <w:numId w:val="0"/>
              </w:numPr>
              <w:rPr>
                <w:b/>
                <w:bCs/>
              </w:rPr>
            </w:pPr>
            <w:r w:rsidRPr="00DC0585">
              <w:rPr>
                <w:b/>
                <w:bCs/>
              </w:rPr>
              <w:t>Integrate experiential, investigative and play-based pedagogies in teaching and learning of Mathematics</w:t>
            </w:r>
          </w:p>
          <w:p w14:paraId="3A39ACD3" w14:textId="4FF9F917" w:rsidR="00937D6F" w:rsidRDefault="00414930" w:rsidP="00F85ED9">
            <w:pPr>
              <w:pStyle w:val="ListBullet"/>
              <w:rPr>
                <w:iCs/>
              </w:rPr>
            </w:pPr>
            <w:r w:rsidRPr="00414930">
              <w:rPr>
                <w:iCs/>
              </w:rPr>
              <w:t>Con</w:t>
            </w:r>
            <w:r>
              <w:rPr>
                <w:iCs/>
              </w:rPr>
              <w:t>tinu</w:t>
            </w:r>
            <w:r w:rsidR="00F231B7">
              <w:rPr>
                <w:iCs/>
              </w:rPr>
              <w:t>ing</w:t>
            </w:r>
            <w:r>
              <w:rPr>
                <w:iCs/>
              </w:rPr>
              <w:t xml:space="preserve"> </w:t>
            </w:r>
            <w:r w:rsidR="00F231B7">
              <w:rPr>
                <w:iCs/>
              </w:rPr>
              <w:t xml:space="preserve">to resource the school with concrete materials to support hands on learning </w:t>
            </w:r>
          </w:p>
          <w:p w14:paraId="21501890" w14:textId="47118DED" w:rsidR="00F231B7" w:rsidRPr="00414930" w:rsidRDefault="00F231B7" w:rsidP="00F85ED9">
            <w:pPr>
              <w:pStyle w:val="ListBullet"/>
              <w:rPr>
                <w:iCs/>
              </w:rPr>
            </w:pPr>
            <w:r>
              <w:rPr>
                <w:iCs/>
              </w:rPr>
              <w:t>Continuing the provision of professional learning and upskilling of new staff</w:t>
            </w:r>
          </w:p>
        </w:tc>
      </w:tr>
    </w:tbl>
    <w:p w14:paraId="3DA2C702" w14:textId="77777777" w:rsidR="006722BC" w:rsidRDefault="006722BC" w:rsidP="006722BC">
      <w:pPr>
        <w:pStyle w:val="Heading2"/>
        <w:tabs>
          <w:tab w:val="clear" w:pos="2410"/>
          <w:tab w:val="left" w:pos="1276"/>
        </w:tabs>
        <w:ind w:left="0" w:firstLine="0"/>
      </w:pPr>
    </w:p>
    <w:p w14:paraId="6F6A05B7" w14:textId="219DCBDE" w:rsidR="00EB70CE" w:rsidRPr="000F0410" w:rsidRDefault="00EB70CE" w:rsidP="006722BC">
      <w:pPr>
        <w:pStyle w:val="Heading2"/>
        <w:tabs>
          <w:tab w:val="clear" w:pos="2410"/>
          <w:tab w:val="left" w:pos="1276"/>
        </w:tabs>
        <w:ind w:left="0" w:firstLine="0"/>
        <w:rPr>
          <w:color w:val="auto"/>
        </w:rPr>
      </w:pPr>
      <w:r w:rsidRPr="000F0410">
        <w:t xml:space="preserve">Priority </w:t>
      </w:r>
      <w:r>
        <w:t>2</w:t>
      </w:r>
      <w:r w:rsidRPr="000F0410">
        <w:t>:</w:t>
      </w:r>
      <w:r w:rsidRPr="000F0410">
        <w:rPr>
          <w:color w:val="auto"/>
        </w:rPr>
        <w:tab/>
      </w:r>
      <w:r w:rsidR="00311873" w:rsidRPr="00D906FE">
        <w:rPr>
          <w:color w:val="auto"/>
        </w:rPr>
        <w:t>Students will improve reading skills with a particular focus on deep comprehension</w:t>
      </w:r>
    </w:p>
    <w:p w14:paraId="516A240E" w14:textId="77777777" w:rsidR="00EB70CE" w:rsidRPr="00837137" w:rsidRDefault="00EB70CE" w:rsidP="00EB70CE">
      <w:pPr>
        <w:pStyle w:val="Heading3"/>
      </w:pPr>
      <w:r w:rsidRPr="00837137">
        <w:t>Targets or measures</w:t>
      </w:r>
    </w:p>
    <w:p w14:paraId="6FF6208C" w14:textId="3766285A" w:rsidR="00EB70CE" w:rsidRDefault="00EB70CE" w:rsidP="00EB70CE">
      <w:pPr>
        <w:pStyle w:val="BodyText"/>
      </w:pPr>
      <w:r>
        <w:t>By the end of 20</w:t>
      </w:r>
      <w:r w:rsidR="00311873">
        <w:t>23</w:t>
      </w:r>
      <w:r>
        <w:t xml:space="preserve"> we will achieve:</w:t>
      </w:r>
    </w:p>
    <w:p w14:paraId="28EEE736" w14:textId="77777777" w:rsidR="00311873" w:rsidRPr="00D906FE" w:rsidRDefault="00311873" w:rsidP="00311873">
      <w:pPr>
        <w:pStyle w:val="ListBullet"/>
      </w:pPr>
      <w:r w:rsidRPr="00D906FE">
        <w:t>An increase the proportion of students at or above expected growth in NAPLAN Reading</w:t>
      </w:r>
    </w:p>
    <w:p w14:paraId="7028D842" w14:textId="77777777" w:rsidR="00311873" w:rsidRPr="00D906FE" w:rsidRDefault="00311873" w:rsidP="00311873">
      <w:pPr>
        <w:pStyle w:val="ListBullet"/>
      </w:pPr>
      <w:r w:rsidRPr="00D906FE">
        <w:t>An increase in the proportion of students in the top two NAPLAN bands of Reading</w:t>
      </w:r>
    </w:p>
    <w:p w14:paraId="69FD4D6A" w14:textId="77777777" w:rsidR="00311873" w:rsidRPr="00D906FE" w:rsidRDefault="00311873" w:rsidP="00311873">
      <w:pPr>
        <w:pStyle w:val="ListBullet"/>
      </w:pPr>
      <w:r w:rsidRPr="00D906FE">
        <w:t>An increase in the proportion of children making expected growth or better in PIPS Reading</w:t>
      </w:r>
    </w:p>
    <w:p w14:paraId="6BF90988" w14:textId="5F028191" w:rsidR="00EB70CE" w:rsidRPr="00373DC0" w:rsidRDefault="00EB70CE" w:rsidP="00EB70CE">
      <w:pPr>
        <w:pStyle w:val="BodyText"/>
      </w:pPr>
      <w:r w:rsidRPr="00373DC0">
        <w:t>In 20</w:t>
      </w:r>
      <w:r w:rsidR="00311873">
        <w:t>20</w:t>
      </w:r>
      <w:r w:rsidRPr="00373DC0">
        <w:t xml:space="preserve"> we </w:t>
      </w:r>
      <w:r>
        <w:t>implemented</w:t>
      </w:r>
      <w:r w:rsidRPr="00373DC0">
        <w:t xml:space="preserve"> this priority throug</w:t>
      </w:r>
      <w:r>
        <w:t xml:space="preserve">h the following </w:t>
      </w:r>
      <w:r w:rsidRPr="00373DC0">
        <w:t>strategies.</w:t>
      </w:r>
    </w:p>
    <w:p w14:paraId="682115FB" w14:textId="07ED2605" w:rsidR="00EC011A" w:rsidRDefault="00EC011A" w:rsidP="00EC011A">
      <w:pPr>
        <w:pStyle w:val="ListBullet"/>
      </w:pPr>
      <w:r>
        <w:t xml:space="preserve">Whole of school professional learning model – cycle of shared learning/implementation modules </w:t>
      </w:r>
    </w:p>
    <w:p w14:paraId="4BEF8C3C" w14:textId="2AB24C5A" w:rsidR="00EB70CE" w:rsidRDefault="002D43D6" w:rsidP="00EB70CE">
      <w:pPr>
        <w:pStyle w:val="ListBullet"/>
      </w:pPr>
      <w:r>
        <w:t>School Leader</w:t>
      </w:r>
      <w:r w:rsidR="00F87382">
        <w:t>s delivered consistent and evidence informed</w:t>
      </w:r>
      <w:r>
        <w:t xml:space="preserve"> teaching of comprehension</w:t>
      </w:r>
      <w:r w:rsidR="00F87382">
        <w:t xml:space="preserve"> Kindergarten to Year 6</w:t>
      </w:r>
    </w:p>
    <w:p w14:paraId="3FE3ADF1" w14:textId="1FC0DE05" w:rsidR="00EB70CE" w:rsidRDefault="00EC011A" w:rsidP="00EB70CE">
      <w:pPr>
        <w:pStyle w:val="ListBullet"/>
      </w:pPr>
      <w:r>
        <w:t>P</w:t>
      </w:r>
      <w:r w:rsidR="002D43D6">
        <w:t>lay pedagogies as a vehicle for language</w:t>
      </w:r>
      <w:r>
        <w:t xml:space="preserve"> and </w:t>
      </w:r>
      <w:r w:rsidR="002D43D6">
        <w:t>vocabulary development to support comprehensi</w:t>
      </w:r>
      <w:r>
        <w:t>on</w:t>
      </w:r>
    </w:p>
    <w:p w14:paraId="32A84660" w14:textId="7E317149"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77777777" w:rsidR="00EB70CE" w:rsidRPr="00D03B0C" w:rsidRDefault="00EB70CE" w:rsidP="00654356">
            <w:pPr>
              <w:jc w:val="center"/>
              <w:rPr>
                <w:b/>
              </w:rPr>
            </w:pPr>
            <w:r w:rsidRPr="00D03B0C">
              <w:rPr>
                <w:b/>
              </w:rPr>
              <w:t>Year 1</w:t>
            </w:r>
          </w:p>
        </w:tc>
        <w:tc>
          <w:tcPr>
            <w:tcW w:w="790" w:type="dxa"/>
            <w:shd w:val="clear" w:color="auto" w:fill="auto"/>
          </w:tcPr>
          <w:p w14:paraId="0D73E116" w14:textId="77777777" w:rsidR="00EB70CE" w:rsidRPr="00D03B0C" w:rsidRDefault="00EB70CE" w:rsidP="00654356">
            <w:pPr>
              <w:jc w:val="center"/>
              <w:rPr>
                <w:b/>
              </w:rPr>
            </w:pPr>
            <w:r w:rsidRPr="00D03B0C">
              <w:rPr>
                <w:b/>
              </w:rPr>
              <w:t>Year 2</w:t>
            </w:r>
          </w:p>
        </w:tc>
        <w:tc>
          <w:tcPr>
            <w:tcW w:w="790" w:type="dxa"/>
            <w:shd w:val="clear" w:color="auto" w:fill="auto"/>
          </w:tcPr>
          <w:p w14:paraId="318EBF9E" w14:textId="77777777" w:rsidR="00EB70CE" w:rsidRPr="00D03B0C" w:rsidRDefault="00EB70CE" w:rsidP="00654356">
            <w:pPr>
              <w:jc w:val="center"/>
              <w:rPr>
                <w:b/>
              </w:rPr>
            </w:pPr>
            <w:r w:rsidRPr="00D03B0C">
              <w:rPr>
                <w:b/>
              </w:rPr>
              <w:t>Year 3</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4F035E" w14:paraId="619F7E44" w14:textId="77777777" w:rsidTr="00BA0B62">
        <w:trPr>
          <w:jc w:val="center"/>
        </w:trPr>
        <w:tc>
          <w:tcPr>
            <w:tcW w:w="4297" w:type="dxa"/>
            <w:shd w:val="clear" w:color="auto" w:fill="auto"/>
          </w:tcPr>
          <w:p w14:paraId="2513CA2B" w14:textId="7CF0B1E3" w:rsidR="004F035E" w:rsidRPr="00D03B0C" w:rsidRDefault="004F035E" w:rsidP="004F035E">
            <w:pPr>
              <w:pStyle w:val="PlainText"/>
            </w:pPr>
            <w:r>
              <w:t>An increase the proportion of students at or above expected growth in NAPLAN Reading</w:t>
            </w:r>
          </w:p>
        </w:tc>
        <w:tc>
          <w:tcPr>
            <w:tcW w:w="790" w:type="dxa"/>
            <w:shd w:val="clear" w:color="auto" w:fill="auto"/>
            <w:vAlign w:val="center"/>
          </w:tcPr>
          <w:p w14:paraId="033F8A2C" w14:textId="4E899551" w:rsidR="004F035E" w:rsidRPr="00D03B0C" w:rsidRDefault="004F035E" w:rsidP="004F035E">
            <w:pPr>
              <w:jc w:val="center"/>
            </w:pPr>
            <w:r>
              <w:t>63.5%</w:t>
            </w:r>
          </w:p>
        </w:tc>
        <w:tc>
          <w:tcPr>
            <w:tcW w:w="790" w:type="dxa"/>
            <w:shd w:val="clear" w:color="auto" w:fill="auto"/>
            <w:vAlign w:val="center"/>
          </w:tcPr>
          <w:p w14:paraId="37A47674" w14:textId="10610CA5" w:rsidR="004F035E" w:rsidRPr="00D03B0C" w:rsidRDefault="004F035E" w:rsidP="004F035E">
            <w:pPr>
              <w:jc w:val="center"/>
            </w:pPr>
            <w:r>
              <w:t>70%</w:t>
            </w:r>
          </w:p>
        </w:tc>
        <w:tc>
          <w:tcPr>
            <w:tcW w:w="790" w:type="dxa"/>
            <w:shd w:val="clear" w:color="auto" w:fill="auto"/>
            <w:vAlign w:val="center"/>
          </w:tcPr>
          <w:p w14:paraId="3B610A06" w14:textId="3927551B" w:rsidR="004F035E" w:rsidRPr="00D03B0C" w:rsidRDefault="004F035E" w:rsidP="004F035E">
            <w:pPr>
              <w:jc w:val="center"/>
            </w:pPr>
            <w:r w:rsidRPr="00E34614">
              <w:rPr>
                <w:sz w:val="14"/>
                <w:szCs w:val="14"/>
              </w:rPr>
              <w:t>Unavailable due to COVID-19</w:t>
            </w:r>
          </w:p>
        </w:tc>
        <w:tc>
          <w:tcPr>
            <w:tcW w:w="790" w:type="dxa"/>
            <w:shd w:val="clear" w:color="auto" w:fill="auto"/>
            <w:vAlign w:val="center"/>
          </w:tcPr>
          <w:p w14:paraId="14CA5668" w14:textId="77777777" w:rsidR="004F035E" w:rsidRPr="00D03B0C" w:rsidRDefault="004F035E" w:rsidP="004F035E">
            <w:pPr>
              <w:jc w:val="center"/>
            </w:pPr>
          </w:p>
        </w:tc>
        <w:tc>
          <w:tcPr>
            <w:tcW w:w="790" w:type="dxa"/>
            <w:shd w:val="clear" w:color="auto" w:fill="auto"/>
            <w:vAlign w:val="center"/>
          </w:tcPr>
          <w:p w14:paraId="31619F89" w14:textId="77777777" w:rsidR="004F035E" w:rsidRPr="00D03B0C" w:rsidRDefault="004F035E" w:rsidP="004F035E">
            <w:pPr>
              <w:jc w:val="center"/>
            </w:pPr>
          </w:p>
        </w:tc>
        <w:tc>
          <w:tcPr>
            <w:tcW w:w="791" w:type="dxa"/>
            <w:shd w:val="clear" w:color="auto" w:fill="auto"/>
            <w:vAlign w:val="center"/>
          </w:tcPr>
          <w:p w14:paraId="093216C0" w14:textId="77777777" w:rsidR="004F035E" w:rsidRPr="00D03B0C" w:rsidRDefault="004F035E" w:rsidP="004F035E">
            <w:pPr>
              <w:jc w:val="center"/>
            </w:pPr>
          </w:p>
        </w:tc>
      </w:tr>
      <w:tr w:rsidR="004F035E" w14:paraId="4B3410E5" w14:textId="77777777" w:rsidTr="00BA0B62">
        <w:trPr>
          <w:jc w:val="center"/>
        </w:trPr>
        <w:tc>
          <w:tcPr>
            <w:tcW w:w="4297" w:type="dxa"/>
            <w:shd w:val="clear" w:color="auto" w:fill="auto"/>
          </w:tcPr>
          <w:p w14:paraId="3EBBF196" w14:textId="7F029C3C" w:rsidR="004F035E" w:rsidRPr="00D03B0C" w:rsidRDefault="004F035E" w:rsidP="004F035E">
            <w:r>
              <w:t>An increase in the proportion of students in the top two NAPLAN bands of Reading</w:t>
            </w:r>
          </w:p>
        </w:tc>
        <w:tc>
          <w:tcPr>
            <w:tcW w:w="790" w:type="dxa"/>
            <w:shd w:val="clear" w:color="auto" w:fill="auto"/>
            <w:vAlign w:val="center"/>
          </w:tcPr>
          <w:p w14:paraId="3E0829FE" w14:textId="77777777" w:rsidR="004F035E" w:rsidRDefault="004F035E" w:rsidP="004F035E">
            <w:pPr>
              <w:jc w:val="center"/>
              <w:rPr>
                <w:sz w:val="16"/>
                <w:szCs w:val="16"/>
              </w:rPr>
            </w:pPr>
            <w:r>
              <w:rPr>
                <w:sz w:val="16"/>
                <w:szCs w:val="16"/>
              </w:rPr>
              <w:t>Yr3 46.9%</w:t>
            </w:r>
          </w:p>
          <w:p w14:paraId="4B2FDD23" w14:textId="5A3FC18D" w:rsidR="004F035E" w:rsidRPr="00D03B0C" w:rsidRDefault="004F035E" w:rsidP="004F035E">
            <w:pPr>
              <w:jc w:val="center"/>
            </w:pPr>
            <w:r>
              <w:rPr>
                <w:sz w:val="16"/>
                <w:szCs w:val="16"/>
              </w:rPr>
              <w:t>Yr5 32.3%</w:t>
            </w:r>
          </w:p>
        </w:tc>
        <w:tc>
          <w:tcPr>
            <w:tcW w:w="790" w:type="dxa"/>
            <w:shd w:val="clear" w:color="auto" w:fill="auto"/>
            <w:vAlign w:val="center"/>
          </w:tcPr>
          <w:p w14:paraId="6DB0B56E" w14:textId="77777777" w:rsidR="004F035E" w:rsidRDefault="004F035E" w:rsidP="004F035E">
            <w:pPr>
              <w:jc w:val="center"/>
              <w:rPr>
                <w:sz w:val="16"/>
                <w:szCs w:val="16"/>
              </w:rPr>
            </w:pPr>
            <w:r>
              <w:rPr>
                <w:sz w:val="16"/>
                <w:szCs w:val="16"/>
              </w:rPr>
              <w:t>Yr3 50.6%</w:t>
            </w:r>
          </w:p>
          <w:p w14:paraId="064352CC" w14:textId="2F2D3A78" w:rsidR="004F035E" w:rsidRPr="00D03B0C" w:rsidRDefault="004F035E" w:rsidP="004F035E">
            <w:pPr>
              <w:jc w:val="center"/>
            </w:pPr>
            <w:r>
              <w:rPr>
                <w:sz w:val="16"/>
                <w:szCs w:val="16"/>
              </w:rPr>
              <w:t>Yr5 39.4%</w:t>
            </w:r>
          </w:p>
        </w:tc>
        <w:tc>
          <w:tcPr>
            <w:tcW w:w="790" w:type="dxa"/>
            <w:shd w:val="clear" w:color="auto" w:fill="auto"/>
            <w:vAlign w:val="center"/>
          </w:tcPr>
          <w:p w14:paraId="5FCC0FBC" w14:textId="27410221" w:rsidR="004F035E" w:rsidRPr="00D03B0C" w:rsidRDefault="004F035E" w:rsidP="004F035E">
            <w:pPr>
              <w:jc w:val="center"/>
            </w:pPr>
            <w:r w:rsidRPr="00E34614">
              <w:rPr>
                <w:sz w:val="14"/>
                <w:szCs w:val="14"/>
              </w:rPr>
              <w:t>Unavailable due to COVID-19</w:t>
            </w:r>
          </w:p>
        </w:tc>
        <w:tc>
          <w:tcPr>
            <w:tcW w:w="790" w:type="dxa"/>
            <w:shd w:val="clear" w:color="auto" w:fill="auto"/>
            <w:vAlign w:val="center"/>
          </w:tcPr>
          <w:p w14:paraId="32847EE8" w14:textId="77777777" w:rsidR="004F035E" w:rsidRPr="00D03B0C" w:rsidRDefault="004F035E" w:rsidP="004F035E">
            <w:pPr>
              <w:jc w:val="center"/>
            </w:pPr>
          </w:p>
        </w:tc>
        <w:tc>
          <w:tcPr>
            <w:tcW w:w="790" w:type="dxa"/>
            <w:shd w:val="clear" w:color="auto" w:fill="auto"/>
            <w:vAlign w:val="center"/>
          </w:tcPr>
          <w:p w14:paraId="20055B6E" w14:textId="77777777" w:rsidR="004F035E" w:rsidRPr="00D03B0C" w:rsidRDefault="004F035E" w:rsidP="004F035E">
            <w:pPr>
              <w:jc w:val="center"/>
            </w:pPr>
          </w:p>
        </w:tc>
        <w:tc>
          <w:tcPr>
            <w:tcW w:w="791" w:type="dxa"/>
            <w:shd w:val="clear" w:color="auto" w:fill="auto"/>
            <w:vAlign w:val="center"/>
          </w:tcPr>
          <w:p w14:paraId="089159F0" w14:textId="77777777" w:rsidR="004F035E" w:rsidRPr="00D03B0C" w:rsidRDefault="004F035E" w:rsidP="004F035E">
            <w:pPr>
              <w:jc w:val="center"/>
            </w:pPr>
          </w:p>
        </w:tc>
      </w:tr>
      <w:tr w:rsidR="004F035E" w14:paraId="408AAAB7" w14:textId="77777777" w:rsidTr="00BA0B62">
        <w:trPr>
          <w:jc w:val="center"/>
        </w:trPr>
        <w:tc>
          <w:tcPr>
            <w:tcW w:w="4297" w:type="dxa"/>
            <w:shd w:val="clear" w:color="auto" w:fill="auto"/>
          </w:tcPr>
          <w:p w14:paraId="64E1690C" w14:textId="38F390A8" w:rsidR="004F035E" w:rsidRPr="00D03B0C" w:rsidRDefault="004F035E" w:rsidP="004F035E">
            <w:r>
              <w:t>An increase in the proportion of children making expected growth or better in PIPS Reading</w:t>
            </w:r>
          </w:p>
        </w:tc>
        <w:tc>
          <w:tcPr>
            <w:tcW w:w="790" w:type="dxa"/>
            <w:shd w:val="clear" w:color="auto" w:fill="auto"/>
            <w:vAlign w:val="center"/>
          </w:tcPr>
          <w:p w14:paraId="3687D803" w14:textId="16D2EAA6" w:rsidR="004F035E" w:rsidRPr="00D03B0C" w:rsidRDefault="004F035E" w:rsidP="004F035E">
            <w:pPr>
              <w:jc w:val="center"/>
            </w:pPr>
            <w:r>
              <w:t>72%</w:t>
            </w:r>
          </w:p>
        </w:tc>
        <w:tc>
          <w:tcPr>
            <w:tcW w:w="790" w:type="dxa"/>
            <w:shd w:val="clear" w:color="auto" w:fill="auto"/>
            <w:vAlign w:val="center"/>
          </w:tcPr>
          <w:p w14:paraId="1476BF16" w14:textId="47DBBED7" w:rsidR="004F035E" w:rsidRPr="00D03B0C" w:rsidRDefault="004F035E" w:rsidP="004F035E">
            <w:pPr>
              <w:jc w:val="center"/>
            </w:pPr>
            <w:r>
              <w:t>86.4%</w:t>
            </w:r>
          </w:p>
        </w:tc>
        <w:tc>
          <w:tcPr>
            <w:tcW w:w="790" w:type="dxa"/>
            <w:shd w:val="clear" w:color="auto" w:fill="auto"/>
            <w:vAlign w:val="center"/>
          </w:tcPr>
          <w:p w14:paraId="2A8D7A39" w14:textId="1612FC26" w:rsidR="004F035E" w:rsidRPr="00D03B0C" w:rsidRDefault="004F035E" w:rsidP="004F035E">
            <w:pPr>
              <w:jc w:val="center"/>
            </w:pPr>
            <w:r w:rsidRPr="00E34614">
              <w:rPr>
                <w:sz w:val="14"/>
                <w:szCs w:val="14"/>
              </w:rPr>
              <w:t>Unavailable due to COVID-19</w:t>
            </w:r>
          </w:p>
        </w:tc>
        <w:tc>
          <w:tcPr>
            <w:tcW w:w="790" w:type="dxa"/>
            <w:shd w:val="clear" w:color="auto" w:fill="auto"/>
            <w:vAlign w:val="center"/>
          </w:tcPr>
          <w:p w14:paraId="10969E46" w14:textId="77777777" w:rsidR="004F035E" w:rsidRPr="00D03B0C" w:rsidRDefault="004F035E" w:rsidP="004F035E">
            <w:pPr>
              <w:jc w:val="center"/>
            </w:pPr>
          </w:p>
        </w:tc>
        <w:tc>
          <w:tcPr>
            <w:tcW w:w="790" w:type="dxa"/>
            <w:shd w:val="clear" w:color="auto" w:fill="auto"/>
            <w:vAlign w:val="center"/>
          </w:tcPr>
          <w:p w14:paraId="7D42946E" w14:textId="77777777" w:rsidR="004F035E" w:rsidRPr="00D03B0C" w:rsidRDefault="004F035E" w:rsidP="004F035E">
            <w:pPr>
              <w:jc w:val="center"/>
            </w:pPr>
          </w:p>
        </w:tc>
        <w:tc>
          <w:tcPr>
            <w:tcW w:w="791" w:type="dxa"/>
            <w:shd w:val="clear" w:color="auto" w:fill="auto"/>
            <w:vAlign w:val="center"/>
          </w:tcPr>
          <w:p w14:paraId="7E453838" w14:textId="77777777" w:rsidR="004F035E" w:rsidRPr="00D03B0C" w:rsidRDefault="004F035E" w:rsidP="004F035E">
            <w:pPr>
              <w:jc w:val="center"/>
            </w:pPr>
          </w:p>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05"/>
        <w:gridCol w:w="927"/>
        <w:gridCol w:w="781"/>
        <w:gridCol w:w="781"/>
        <w:gridCol w:w="781"/>
        <w:gridCol w:w="781"/>
        <w:gridCol w:w="782"/>
      </w:tblGrid>
      <w:tr w:rsidR="00EB70CE" w14:paraId="1396D008" w14:textId="77777777" w:rsidTr="00BA0B62">
        <w:trPr>
          <w:jc w:val="center"/>
        </w:trPr>
        <w:tc>
          <w:tcPr>
            <w:tcW w:w="4205" w:type="dxa"/>
            <w:shd w:val="clear" w:color="auto" w:fill="auto"/>
          </w:tcPr>
          <w:p w14:paraId="6A81EE33" w14:textId="77777777" w:rsidR="00EB70CE" w:rsidRPr="006D2F6B" w:rsidRDefault="00EB70CE" w:rsidP="00654356">
            <w:pPr>
              <w:rPr>
                <w:b/>
              </w:rPr>
            </w:pPr>
            <w:r w:rsidRPr="006D2F6B">
              <w:rPr>
                <w:b/>
              </w:rPr>
              <w:t>Targets or Measures</w:t>
            </w:r>
          </w:p>
        </w:tc>
        <w:tc>
          <w:tcPr>
            <w:tcW w:w="927" w:type="dxa"/>
            <w:shd w:val="clear" w:color="auto" w:fill="auto"/>
          </w:tcPr>
          <w:p w14:paraId="159C188F" w14:textId="77777777" w:rsidR="00EB70CE" w:rsidRPr="006D2F6B" w:rsidRDefault="00EB70CE" w:rsidP="00654356">
            <w:pPr>
              <w:jc w:val="center"/>
              <w:rPr>
                <w:b/>
              </w:rPr>
            </w:pPr>
            <w:r w:rsidRPr="006D2F6B">
              <w:rPr>
                <w:b/>
              </w:rPr>
              <w:t>Base</w:t>
            </w:r>
          </w:p>
        </w:tc>
        <w:tc>
          <w:tcPr>
            <w:tcW w:w="781" w:type="dxa"/>
            <w:shd w:val="clear" w:color="auto" w:fill="auto"/>
          </w:tcPr>
          <w:p w14:paraId="2066ED5C" w14:textId="77777777" w:rsidR="00EB70CE" w:rsidRPr="006D2F6B" w:rsidRDefault="00EB70CE" w:rsidP="00654356">
            <w:pPr>
              <w:jc w:val="center"/>
              <w:rPr>
                <w:b/>
              </w:rPr>
            </w:pPr>
            <w:r w:rsidRPr="006D2F6B">
              <w:rPr>
                <w:b/>
              </w:rPr>
              <w:t>Year 1</w:t>
            </w:r>
          </w:p>
        </w:tc>
        <w:tc>
          <w:tcPr>
            <w:tcW w:w="781" w:type="dxa"/>
            <w:shd w:val="clear" w:color="auto" w:fill="auto"/>
          </w:tcPr>
          <w:p w14:paraId="27AC99DF" w14:textId="77777777" w:rsidR="00EB70CE" w:rsidRPr="006D2F6B" w:rsidRDefault="00EB70CE" w:rsidP="00654356">
            <w:pPr>
              <w:jc w:val="center"/>
              <w:rPr>
                <w:b/>
              </w:rPr>
            </w:pPr>
            <w:r w:rsidRPr="006D2F6B">
              <w:rPr>
                <w:b/>
              </w:rPr>
              <w:t>Year 2</w:t>
            </w:r>
          </w:p>
        </w:tc>
        <w:tc>
          <w:tcPr>
            <w:tcW w:w="781" w:type="dxa"/>
            <w:shd w:val="clear" w:color="auto" w:fill="auto"/>
          </w:tcPr>
          <w:p w14:paraId="2397C360" w14:textId="77777777" w:rsidR="00EB70CE" w:rsidRPr="006D2F6B" w:rsidRDefault="00EB70CE" w:rsidP="00654356">
            <w:pPr>
              <w:jc w:val="center"/>
              <w:rPr>
                <w:b/>
              </w:rPr>
            </w:pPr>
            <w:r w:rsidRPr="006D2F6B">
              <w:rPr>
                <w:b/>
              </w:rPr>
              <w:t>Year 3</w:t>
            </w:r>
          </w:p>
        </w:tc>
        <w:tc>
          <w:tcPr>
            <w:tcW w:w="781" w:type="dxa"/>
            <w:shd w:val="clear" w:color="auto" w:fill="auto"/>
          </w:tcPr>
          <w:p w14:paraId="102EF8AB" w14:textId="77777777" w:rsidR="00EB70CE" w:rsidRPr="006D2F6B" w:rsidRDefault="00EB70CE" w:rsidP="00654356">
            <w:pPr>
              <w:jc w:val="center"/>
              <w:rPr>
                <w:b/>
              </w:rPr>
            </w:pPr>
            <w:r w:rsidRPr="006D2F6B">
              <w:rPr>
                <w:b/>
              </w:rPr>
              <w:t>Year 4</w:t>
            </w:r>
          </w:p>
        </w:tc>
        <w:tc>
          <w:tcPr>
            <w:tcW w:w="782" w:type="dxa"/>
            <w:shd w:val="clear" w:color="auto" w:fill="auto"/>
          </w:tcPr>
          <w:p w14:paraId="750673D6" w14:textId="77777777" w:rsidR="00EB70CE" w:rsidRPr="006D2F6B" w:rsidRDefault="00EB70CE" w:rsidP="00654356">
            <w:pPr>
              <w:jc w:val="center"/>
              <w:rPr>
                <w:b/>
              </w:rPr>
            </w:pPr>
            <w:r w:rsidRPr="006D2F6B">
              <w:rPr>
                <w:b/>
              </w:rPr>
              <w:t>Year 5</w:t>
            </w:r>
          </w:p>
        </w:tc>
      </w:tr>
      <w:tr w:rsidR="00F87382" w14:paraId="715AAF1C" w14:textId="77777777" w:rsidTr="00854443">
        <w:trPr>
          <w:jc w:val="center"/>
        </w:trPr>
        <w:tc>
          <w:tcPr>
            <w:tcW w:w="4205" w:type="dxa"/>
            <w:shd w:val="clear" w:color="auto" w:fill="auto"/>
          </w:tcPr>
          <w:p w14:paraId="1BB77CFA" w14:textId="2F768B7D" w:rsidR="00F87382" w:rsidRPr="006D2F6B" w:rsidRDefault="00F87382" w:rsidP="00F87382">
            <w:pPr>
              <w:pStyle w:val="PlainText"/>
            </w:pPr>
            <w:r w:rsidRPr="00D906FE">
              <w:t xml:space="preserve">Increase the proportion of parents/carers who are satisfied </w:t>
            </w:r>
            <w:r>
              <w:t xml:space="preserve">(score of 4 or 5) </w:t>
            </w:r>
            <w:r w:rsidRPr="00D906FE">
              <w:t>that their child is progressing in reading.</w:t>
            </w:r>
          </w:p>
        </w:tc>
        <w:tc>
          <w:tcPr>
            <w:tcW w:w="927" w:type="dxa"/>
            <w:shd w:val="clear" w:color="auto" w:fill="auto"/>
            <w:vAlign w:val="center"/>
          </w:tcPr>
          <w:p w14:paraId="694253E4" w14:textId="2348ADF5" w:rsidR="00F87382" w:rsidRPr="006D2F6B" w:rsidRDefault="00F87382" w:rsidP="00F87382">
            <w:pPr>
              <w:jc w:val="center"/>
            </w:pPr>
            <w:r>
              <w:t>See 2019</w:t>
            </w:r>
          </w:p>
        </w:tc>
        <w:tc>
          <w:tcPr>
            <w:tcW w:w="781" w:type="dxa"/>
            <w:shd w:val="clear" w:color="auto" w:fill="auto"/>
            <w:vAlign w:val="center"/>
          </w:tcPr>
          <w:p w14:paraId="30994033" w14:textId="457CDEF8" w:rsidR="00F87382" w:rsidRPr="006D2F6B" w:rsidRDefault="00F87382" w:rsidP="00F87382">
            <w:pPr>
              <w:jc w:val="center"/>
            </w:pPr>
            <w:r w:rsidRPr="00802B7A">
              <w:t>69.4</w:t>
            </w:r>
          </w:p>
        </w:tc>
        <w:tc>
          <w:tcPr>
            <w:tcW w:w="781" w:type="dxa"/>
            <w:shd w:val="clear" w:color="auto" w:fill="auto"/>
            <w:vAlign w:val="center"/>
          </w:tcPr>
          <w:p w14:paraId="0240AD5D" w14:textId="7D7704FF" w:rsidR="00F87382" w:rsidRPr="006D2F6B" w:rsidRDefault="00FA6C82" w:rsidP="00F87382">
            <w:pPr>
              <w:jc w:val="center"/>
            </w:pPr>
            <w:r>
              <w:t>*</w:t>
            </w:r>
          </w:p>
        </w:tc>
        <w:tc>
          <w:tcPr>
            <w:tcW w:w="781" w:type="dxa"/>
            <w:shd w:val="clear" w:color="auto" w:fill="auto"/>
            <w:vAlign w:val="center"/>
          </w:tcPr>
          <w:p w14:paraId="06476B2E" w14:textId="77777777" w:rsidR="00F87382" w:rsidRPr="006D2F6B" w:rsidRDefault="00F87382" w:rsidP="00F87382"/>
        </w:tc>
        <w:tc>
          <w:tcPr>
            <w:tcW w:w="781" w:type="dxa"/>
            <w:shd w:val="clear" w:color="auto" w:fill="auto"/>
            <w:vAlign w:val="center"/>
          </w:tcPr>
          <w:p w14:paraId="7CE7857F" w14:textId="77777777" w:rsidR="00F87382" w:rsidRPr="006D2F6B" w:rsidRDefault="00F87382" w:rsidP="00F87382"/>
        </w:tc>
        <w:tc>
          <w:tcPr>
            <w:tcW w:w="782" w:type="dxa"/>
            <w:shd w:val="clear" w:color="auto" w:fill="auto"/>
            <w:vAlign w:val="center"/>
          </w:tcPr>
          <w:p w14:paraId="58F95C67" w14:textId="77777777" w:rsidR="00F87382" w:rsidRPr="006D2F6B" w:rsidRDefault="00F87382" w:rsidP="00F87382"/>
        </w:tc>
      </w:tr>
      <w:tr w:rsidR="00F87382" w14:paraId="6DD2C688" w14:textId="77777777" w:rsidTr="00F01C66">
        <w:trPr>
          <w:jc w:val="center"/>
        </w:trPr>
        <w:tc>
          <w:tcPr>
            <w:tcW w:w="4205" w:type="dxa"/>
            <w:shd w:val="clear" w:color="auto" w:fill="auto"/>
          </w:tcPr>
          <w:p w14:paraId="3EFCC141" w14:textId="4A9E3D69" w:rsidR="00F87382" w:rsidRPr="006D2F6B" w:rsidRDefault="00F87382" w:rsidP="00F87382">
            <w:r w:rsidRPr="00D906FE">
              <w:t>Increase the proportion of students who are satisfied that they are progressing in reading</w:t>
            </w:r>
          </w:p>
        </w:tc>
        <w:tc>
          <w:tcPr>
            <w:tcW w:w="1708" w:type="dxa"/>
            <w:gridSpan w:val="2"/>
            <w:shd w:val="clear" w:color="auto" w:fill="auto"/>
            <w:vAlign w:val="center"/>
          </w:tcPr>
          <w:p w14:paraId="5982A543" w14:textId="1CBAB516" w:rsidR="00F87382" w:rsidRPr="006D2F6B" w:rsidRDefault="00F87382" w:rsidP="00F87382">
            <w:pPr>
              <w:jc w:val="center"/>
            </w:pPr>
            <w:r w:rsidRPr="00802B7A">
              <w:t>To be collected start 2020</w:t>
            </w:r>
          </w:p>
        </w:tc>
        <w:tc>
          <w:tcPr>
            <w:tcW w:w="781" w:type="dxa"/>
            <w:shd w:val="clear" w:color="auto" w:fill="auto"/>
          </w:tcPr>
          <w:p w14:paraId="040ADB54" w14:textId="5A07B10F" w:rsidR="00F87382" w:rsidRPr="006D2F6B" w:rsidRDefault="00FA6C82" w:rsidP="00F87382">
            <w:pPr>
              <w:jc w:val="center"/>
            </w:pPr>
            <w:r>
              <w:t>*</w:t>
            </w:r>
          </w:p>
        </w:tc>
        <w:tc>
          <w:tcPr>
            <w:tcW w:w="781" w:type="dxa"/>
            <w:shd w:val="clear" w:color="auto" w:fill="auto"/>
            <w:vAlign w:val="center"/>
          </w:tcPr>
          <w:p w14:paraId="2F8CD83E" w14:textId="77777777" w:rsidR="00F87382" w:rsidRPr="006D2F6B" w:rsidRDefault="00F87382" w:rsidP="00F87382"/>
        </w:tc>
        <w:tc>
          <w:tcPr>
            <w:tcW w:w="781" w:type="dxa"/>
            <w:shd w:val="clear" w:color="auto" w:fill="auto"/>
            <w:vAlign w:val="center"/>
          </w:tcPr>
          <w:p w14:paraId="49509B3D" w14:textId="77777777" w:rsidR="00F87382" w:rsidRPr="006D2F6B" w:rsidRDefault="00F87382" w:rsidP="00F87382"/>
        </w:tc>
        <w:tc>
          <w:tcPr>
            <w:tcW w:w="782" w:type="dxa"/>
            <w:shd w:val="clear" w:color="auto" w:fill="auto"/>
          </w:tcPr>
          <w:p w14:paraId="34604F66" w14:textId="77777777" w:rsidR="00F87382" w:rsidRPr="006D2F6B" w:rsidRDefault="00F87382" w:rsidP="00F87382"/>
        </w:tc>
      </w:tr>
      <w:tr w:rsidR="00FA6C82" w14:paraId="3F35C4C9" w14:textId="77777777" w:rsidTr="00250C88">
        <w:trPr>
          <w:jc w:val="center"/>
        </w:trPr>
        <w:tc>
          <w:tcPr>
            <w:tcW w:w="9038" w:type="dxa"/>
            <w:gridSpan w:val="7"/>
            <w:shd w:val="clear" w:color="auto" w:fill="auto"/>
          </w:tcPr>
          <w:p w14:paraId="19467651" w14:textId="02F32643" w:rsidR="00FA6C82" w:rsidRPr="006D2F6B" w:rsidRDefault="00FA6C82" w:rsidP="00FA6C82">
            <w:pPr>
              <w:jc w:val="center"/>
            </w:pPr>
            <w:r w:rsidRPr="0007160F">
              <w:rPr>
                <w:sz w:val="14"/>
                <w:szCs w:val="14"/>
              </w:rPr>
              <w:t xml:space="preserve">*Alternate focus </w:t>
            </w:r>
            <w:r>
              <w:rPr>
                <w:sz w:val="14"/>
                <w:szCs w:val="14"/>
              </w:rPr>
              <w:t>to support and maintain the wellbeing and engagement of students and families during COVID-19</w:t>
            </w:r>
          </w:p>
        </w:tc>
      </w:tr>
    </w:tbl>
    <w:p w14:paraId="4A173E60" w14:textId="77777777" w:rsidR="00EB70CE" w:rsidRPr="008A01DA" w:rsidRDefault="00EB70CE" w:rsidP="00EB70CE">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9038"/>
      </w:tblGrid>
      <w:tr w:rsidR="00FA6C82" w14:paraId="18FB16D9" w14:textId="77777777" w:rsidTr="00EF4516">
        <w:trPr>
          <w:jc w:val="center"/>
        </w:trPr>
        <w:tc>
          <w:tcPr>
            <w:tcW w:w="9038" w:type="dxa"/>
            <w:shd w:val="clear" w:color="auto" w:fill="auto"/>
          </w:tcPr>
          <w:p w14:paraId="280E843D" w14:textId="0A7C796C" w:rsidR="00FA6C82" w:rsidRPr="001D3C91" w:rsidRDefault="00FA6C82" w:rsidP="00FA6C82">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sidRPr="001D3C91">
              <w:rPr>
                <w:sz w:val="21"/>
              </w:rPr>
              <w:t xml:space="preserve">All team leaders and teachers provided with training in relation to the National </w:t>
            </w:r>
            <w:r>
              <w:rPr>
                <w:sz w:val="21"/>
              </w:rPr>
              <w:t>Literacy</w:t>
            </w:r>
            <w:r w:rsidRPr="001D3C91">
              <w:rPr>
                <w:sz w:val="21"/>
              </w:rPr>
              <w:t xml:space="preserve"> Progressions</w:t>
            </w:r>
          </w:p>
          <w:p w14:paraId="4FF3E350" w14:textId="246AC800" w:rsidR="00FA6C82" w:rsidRPr="001D3C91" w:rsidRDefault="00FA6C82" w:rsidP="00FA6C82">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sidRPr="001D3C91">
              <w:rPr>
                <w:sz w:val="21"/>
              </w:rPr>
              <w:t xml:space="preserve">Teachers of the early years beginning to adopt a play based approach to support development in </w:t>
            </w:r>
            <w:r>
              <w:rPr>
                <w:sz w:val="21"/>
              </w:rPr>
              <w:t xml:space="preserve">language, vocabulary and comprehension </w:t>
            </w:r>
          </w:p>
          <w:p w14:paraId="5A645505" w14:textId="731F4CDD" w:rsidR="00FA6C82" w:rsidRDefault="00FA6C82" w:rsidP="00FA6C82">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Pr>
                <w:sz w:val="21"/>
              </w:rPr>
              <w:t>Use of</w:t>
            </w:r>
            <w:r w:rsidRPr="001D3C91">
              <w:rPr>
                <w:sz w:val="21"/>
              </w:rPr>
              <w:t xml:space="preserve"> Neville Bonner Primary School </w:t>
            </w:r>
            <w:r>
              <w:rPr>
                <w:sz w:val="21"/>
              </w:rPr>
              <w:t>English Scope</w:t>
            </w:r>
            <w:r w:rsidRPr="001D3C91">
              <w:rPr>
                <w:sz w:val="21"/>
              </w:rPr>
              <w:t xml:space="preserve"> &amp; Sequence, in alignment with the Australian Curriculum and modified to suit the needs of each Learning Group</w:t>
            </w:r>
          </w:p>
          <w:p w14:paraId="76BEAD59" w14:textId="75E96F9A" w:rsidR="00FA6C82" w:rsidRPr="00CC43A7" w:rsidRDefault="00FA6C82" w:rsidP="00CC43A7">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Pr>
                <w:sz w:val="21"/>
              </w:rPr>
              <w:t xml:space="preserve">Increased systematic use of online English learning </w:t>
            </w:r>
            <w:r w:rsidR="00CC43A7">
              <w:rPr>
                <w:sz w:val="21"/>
              </w:rPr>
              <w:t>including, but not limited to,</w:t>
            </w:r>
            <w:r>
              <w:rPr>
                <w:sz w:val="21"/>
              </w:rPr>
              <w:t xml:space="preserve"> Reading Eggs</w:t>
            </w:r>
            <w:r w:rsidR="00CC43A7">
              <w:rPr>
                <w:sz w:val="21"/>
              </w:rPr>
              <w:t>(P to Year 6) Soundwaves (K to Year 6)</w:t>
            </w:r>
          </w:p>
          <w:p w14:paraId="6A938DDB" w14:textId="208D66B5" w:rsidR="00FA6C82" w:rsidRPr="001D3C91" w:rsidRDefault="00FA6C82" w:rsidP="00FA6C82">
            <w:pPr>
              <w:pStyle w:val="PlainText"/>
              <w:numPr>
                <w:ilvl w:val="0"/>
                <w:numId w:val="2"/>
              </w:numPr>
              <w:pBdr>
                <w:top w:val="single" w:sz="4" w:space="1" w:color="auto"/>
                <w:left w:val="single" w:sz="4" w:space="4" w:color="auto"/>
                <w:bottom w:val="single" w:sz="4" w:space="1" w:color="auto"/>
                <w:right w:val="single" w:sz="4" w:space="4" w:color="auto"/>
              </w:pBdr>
              <w:ind w:left="426" w:hanging="425"/>
              <w:rPr>
                <w:sz w:val="21"/>
              </w:rPr>
            </w:pPr>
            <w:r>
              <w:rPr>
                <w:sz w:val="21"/>
              </w:rPr>
              <w:t xml:space="preserve">School wide systematic implementation of an explicit teaching model for the delivery of online </w:t>
            </w:r>
            <w:r w:rsidR="00CC43A7">
              <w:rPr>
                <w:sz w:val="21"/>
              </w:rPr>
              <w:t>English</w:t>
            </w:r>
            <w:r>
              <w:rPr>
                <w:sz w:val="21"/>
              </w:rPr>
              <w:t xml:space="preserve"> teaching and learning during Virtual School</w:t>
            </w:r>
          </w:p>
          <w:p w14:paraId="39B5FC60" w14:textId="77777777" w:rsidR="00FA6C82" w:rsidRPr="002F1BE2" w:rsidRDefault="00FA6C82" w:rsidP="00FA6C82">
            <w:pPr>
              <w:pStyle w:val="PlainText"/>
              <w:pBdr>
                <w:top w:val="single" w:sz="4" w:space="1" w:color="auto"/>
                <w:left w:val="single" w:sz="4" w:space="4" w:color="auto"/>
                <w:bottom w:val="single" w:sz="4" w:space="1" w:color="auto"/>
                <w:right w:val="single" w:sz="4" w:space="4" w:color="auto"/>
              </w:pBdr>
              <w:ind w:left="1"/>
              <w:rPr>
                <w:highlight w:val="yellow"/>
              </w:rPr>
            </w:pPr>
          </w:p>
          <w:p w14:paraId="746D1CE9" w14:textId="24B9F0C1" w:rsidR="00FA6C82" w:rsidRPr="006D2F6B" w:rsidRDefault="00FA6C82" w:rsidP="00654356">
            <w:pPr>
              <w:jc w:val="center"/>
              <w:rPr>
                <w:b/>
              </w:rPr>
            </w:pP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17DDC188" w14:textId="3A055C94" w:rsidR="00EB70CE" w:rsidRDefault="00CC43A7" w:rsidP="00654356">
            <w:pPr>
              <w:pStyle w:val="PlainText"/>
              <w:numPr>
                <w:ilvl w:val="0"/>
                <w:numId w:val="2"/>
              </w:numPr>
              <w:ind w:left="426" w:hanging="425"/>
            </w:pPr>
            <w:r>
              <w:t>PIPs (BASE) and NAPLAN data for 2020 was not available due to COVID-19</w:t>
            </w:r>
          </w:p>
        </w:tc>
      </w:tr>
    </w:tbl>
    <w:p w14:paraId="529C3E95" w14:textId="0BE20FDE"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BA0B62">
        <w:trPr>
          <w:trHeight w:val="223"/>
          <w:jc w:val="center"/>
        </w:trPr>
        <w:tc>
          <w:tcPr>
            <w:tcW w:w="9027" w:type="dxa"/>
            <w:shd w:val="clear" w:color="auto" w:fill="auto"/>
          </w:tcPr>
          <w:p w14:paraId="42715C70" w14:textId="77777777" w:rsidR="006A3E0B" w:rsidRPr="006A3E0B" w:rsidRDefault="006A3E0B" w:rsidP="006A3E0B">
            <w:pPr>
              <w:pStyle w:val="BodyText"/>
              <w:rPr>
                <w:b/>
              </w:rPr>
            </w:pPr>
            <w:r w:rsidRPr="006A3E0B">
              <w:rPr>
                <w:b/>
              </w:rPr>
              <w:t>School Leader modelling of the teaching of comprehension using quality literature</w:t>
            </w:r>
          </w:p>
          <w:p w14:paraId="0547DADE" w14:textId="2A40B8C6" w:rsidR="006A3E0B" w:rsidRDefault="006A3E0B" w:rsidP="006A3E0B">
            <w:pPr>
              <w:pStyle w:val="ListBullet"/>
            </w:pPr>
            <w:r>
              <w:t>A consistent ePACT agenda and considered timetabling to facilitate peer feedback, maximise student learning time and create more opportunities for teacher modelling</w:t>
            </w:r>
          </w:p>
          <w:p w14:paraId="330E5DF5" w14:textId="7FC9DDA6" w:rsidR="006A3E0B" w:rsidRDefault="006A3E0B" w:rsidP="00CA26FB">
            <w:pPr>
              <w:pStyle w:val="ListBullet"/>
            </w:pPr>
            <w:r>
              <w:t xml:space="preserve">Employment of a full-time library assistant to accession new inventory and enhance the </w:t>
            </w:r>
            <w:r w:rsidR="00CC43A7">
              <w:t>Library learning environment</w:t>
            </w:r>
            <w:r>
              <w:t xml:space="preserve"> </w:t>
            </w:r>
          </w:p>
          <w:p w14:paraId="51F1092F" w14:textId="21FD822B" w:rsidR="00CA26FB" w:rsidRDefault="006A3E0B" w:rsidP="00CA26FB">
            <w:pPr>
              <w:pStyle w:val="ListBullet"/>
              <w:rPr>
                <w:bCs/>
              </w:rPr>
            </w:pPr>
            <w:r w:rsidRPr="006A3E0B">
              <w:rPr>
                <w:bCs/>
              </w:rPr>
              <w:t>U</w:t>
            </w:r>
            <w:r w:rsidR="00BA0B62" w:rsidRPr="006A3E0B">
              <w:rPr>
                <w:bCs/>
              </w:rPr>
              <w:t xml:space="preserve">pdated </w:t>
            </w:r>
            <w:r w:rsidR="006A67F3">
              <w:rPr>
                <w:bCs/>
              </w:rPr>
              <w:t xml:space="preserve">and continued implementation of </w:t>
            </w:r>
            <w:r w:rsidR="00BA0B62" w:rsidRPr="006A3E0B">
              <w:rPr>
                <w:bCs/>
              </w:rPr>
              <w:t>the Neville Bonner Primary Circle of Practice in English</w:t>
            </w:r>
          </w:p>
          <w:p w14:paraId="2B7A5902" w14:textId="15778204" w:rsidR="00B63480" w:rsidRDefault="00B63480" w:rsidP="00CA26FB">
            <w:pPr>
              <w:pStyle w:val="ListBullet"/>
              <w:rPr>
                <w:bCs/>
              </w:rPr>
            </w:pPr>
            <w:r>
              <w:rPr>
                <w:bCs/>
              </w:rPr>
              <w:t>Professional development for all teaching staff in using the National Literacy and Numeracy Progressions to track student growth and plan future learning</w:t>
            </w:r>
          </w:p>
          <w:p w14:paraId="2CDEE54B" w14:textId="77777777" w:rsidR="006A67F3" w:rsidRDefault="006A67F3" w:rsidP="006A67F3">
            <w:pPr>
              <w:pStyle w:val="ListBullet"/>
            </w:pPr>
            <w:r>
              <w:t xml:space="preserve">Whole of school professional learning model – cycle of shared learning/implementation modules </w:t>
            </w:r>
          </w:p>
          <w:p w14:paraId="24C3977D" w14:textId="30B677AB" w:rsidR="006A67F3" w:rsidRDefault="006A67F3" w:rsidP="006A67F3">
            <w:pPr>
              <w:pStyle w:val="ListBullet"/>
            </w:pPr>
            <w:r>
              <w:t>School Leaders delivered consistent and evidence informed teaching of comprehension</w:t>
            </w:r>
            <w:r w:rsidR="004473E4">
              <w:t>,</w:t>
            </w:r>
            <w:r>
              <w:t xml:space="preserve"> </w:t>
            </w:r>
            <w:r w:rsidR="004473E4">
              <w:t xml:space="preserve">intentionally timetabled for </w:t>
            </w:r>
            <w:r>
              <w:t>Kindergarten to Year 6</w:t>
            </w:r>
          </w:p>
          <w:p w14:paraId="6319A97F" w14:textId="6A8846D3" w:rsidR="004473E4" w:rsidRDefault="004473E4" w:rsidP="004473E4">
            <w:pPr>
              <w:pStyle w:val="ListBullet"/>
              <w:numPr>
                <w:ilvl w:val="0"/>
                <w:numId w:val="0"/>
              </w:numPr>
              <w:ind w:left="360" w:hanging="360"/>
            </w:pPr>
          </w:p>
          <w:p w14:paraId="11340562" w14:textId="541CC1FF" w:rsidR="004473E4" w:rsidRPr="00CA26FB" w:rsidRDefault="004473E4" w:rsidP="004473E4">
            <w:pPr>
              <w:pStyle w:val="BodyText"/>
              <w:rPr>
                <w:b/>
              </w:rPr>
            </w:pPr>
            <w:r>
              <w:rPr>
                <w:b/>
              </w:rPr>
              <w:t>Embraced the online learning opportunities to strengthen approach to teaching and learning of comprehension</w:t>
            </w:r>
          </w:p>
          <w:p w14:paraId="13BF4E15" w14:textId="1576886A" w:rsidR="004473E4" w:rsidRDefault="004473E4" w:rsidP="004473E4">
            <w:pPr>
              <w:pStyle w:val="ListBullet"/>
            </w:pPr>
            <w:r>
              <w:t>Streamlined the administrative processes for managing student online subscriptions including Reading Eggs and Soundwaves</w:t>
            </w:r>
          </w:p>
          <w:p w14:paraId="2D232810" w14:textId="77777777" w:rsidR="004473E4" w:rsidRDefault="004473E4" w:rsidP="004473E4">
            <w:pPr>
              <w:pStyle w:val="ListBullet"/>
            </w:pPr>
            <w:r>
              <w:t>Developed a suite of online resources</w:t>
            </w:r>
          </w:p>
          <w:p w14:paraId="38C4BCA3" w14:textId="77777777" w:rsidR="004473E4" w:rsidRDefault="004473E4" w:rsidP="004473E4">
            <w:pPr>
              <w:pStyle w:val="ListBullet"/>
            </w:pPr>
            <w:r>
              <w:t>An innovative approach to online learning in the form of an ‘Virtual School’ was developed to provide structure, predictability and a high quality and respectful learning environment for students. The Virtual School provided an explicit teaching model including teacher developed lessons with links to relevant educational resources and activities, with support materials for parents/carers.</w:t>
            </w:r>
          </w:p>
          <w:p w14:paraId="0911F6C1" w14:textId="3D7E92C5" w:rsidR="004473E4" w:rsidRDefault="004473E4" w:rsidP="004473E4">
            <w:pPr>
              <w:pStyle w:val="ListBullet"/>
              <w:numPr>
                <w:ilvl w:val="0"/>
                <w:numId w:val="0"/>
              </w:numPr>
              <w:ind w:left="360" w:hanging="360"/>
            </w:pPr>
          </w:p>
          <w:p w14:paraId="3BD15F37" w14:textId="6A3E9E0A" w:rsidR="00CC09CA" w:rsidRDefault="00CC09CA" w:rsidP="004473E4">
            <w:pPr>
              <w:pStyle w:val="ListBullet"/>
              <w:numPr>
                <w:ilvl w:val="0"/>
                <w:numId w:val="0"/>
              </w:numPr>
              <w:ind w:left="360" w:hanging="360"/>
            </w:pPr>
          </w:p>
          <w:p w14:paraId="7F41D665" w14:textId="77777777" w:rsidR="00CC09CA" w:rsidRPr="006A67F3" w:rsidRDefault="00CC09CA" w:rsidP="004473E4">
            <w:pPr>
              <w:pStyle w:val="ListBullet"/>
              <w:numPr>
                <w:ilvl w:val="0"/>
                <w:numId w:val="0"/>
              </w:numPr>
              <w:ind w:left="360" w:hanging="360"/>
            </w:pPr>
          </w:p>
          <w:p w14:paraId="4117FFAD" w14:textId="2CDFE241" w:rsidR="00CA26FB" w:rsidRPr="006A3E0B" w:rsidRDefault="006A3E0B" w:rsidP="00CA26FB">
            <w:pPr>
              <w:pStyle w:val="BodyText"/>
              <w:rPr>
                <w:b/>
              </w:rPr>
            </w:pPr>
            <w:r w:rsidRPr="006A3E0B">
              <w:rPr>
                <w:b/>
              </w:rPr>
              <w:lastRenderedPageBreak/>
              <w:t>Using play pedagogies as a vehicle for language and vocabulary development to support comprehension</w:t>
            </w:r>
          </w:p>
          <w:p w14:paraId="5D4C8315" w14:textId="77777777" w:rsidR="00937D6F" w:rsidRDefault="00773590" w:rsidP="00CA26FB">
            <w:pPr>
              <w:pStyle w:val="ListBullet"/>
            </w:pPr>
            <w:r>
              <w:t>Opening of Birimbigang and scheduled lessons in the new contemporary building designed for 21</w:t>
            </w:r>
            <w:r w:rsidRPr="00773590">
              <w:rPr>
                <w:vertAlign w:val="superscript"/>
              </w:rPr>
              <w:t>st</w:t>
            </w:r>
            <w:r>
              <w:t xml:space="preserve"> Century learning</w:t>
            </w:r>
          </w:p>
          <w:p w14:paraId="5AF906D3" w14:textId="7E1317A2" w:rsidR="00773590" w:rsidRDefault="00773590" w:rsidP="00CA26FB">
            <w:pPr>
              <w:pStyle w:val="ListBullet"/>
            </w:pPr>
            <w:r>
              <w:t>Play and investigation opportunities</w:t>
            </w:r>
            <w:r w:rsidR="00CC09CA">
              <w:t xml:space="preserve"> that are embedded in Preschool are</w:t>
            </w:r>
            <w:r>
              <w:t xml:space="preserve"> becoming a regular part of </w:t>
            </w:r>
            <w:r w:rsidR="00CC09CA">
              <w:t>K</w:t>
            </w:r>
            <w:r>
              <w:t>-1 learning programmes</w:t>
            </w:r>
          </w:p>
          <w:p w14:paraId="4F19C6D9" w14:textId="0AFBBBF7" w:rsidR="00773590" w:rsidRPr="00CA26FB" w:rsidRDefault="00773590" w:rsidP="00CA26FB">
            <w:pPr>
              <w:pStyle w:val="ListBullet"/>
            </w:pPr>
            <w:r>
              <w:t>Increased resourcing of play and investigation support materials</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B63480">
        <w:trPr>
          <w:trHeight w:val="116"/>
          <w:jc w:val="center"/>
        </w:trPr>
        <w:tc>
          <w:tcPr>
            <w:tcW w:w="9027" w:type="dxa"/>
            <w:shd w:val="clear" w:color="auto" w:fill="auto"/>
          </w:tcPr>
          <w:p w14:paraId="70BC207C" w14:textId="6599E2AD" w:rsidR="00937D6F" w:rsidRDefault="00420772" w:rsidP="00420772">
            <w:pPr>
              <w:pStyle w:val="ListBullet2"/>
              <w:numPr>
                <w:ilvl w:val="0"/>
                <w:numId w:val="22"/>
              </w:numPr>
              <w:ind w:left="453"/>
            </w:pPr>
            <w:r>
              <w:t>Further development of p</w:t>
            </w:r>
            <w:r w:rsidR="00B63480">
              <w:t>rofessional learning, including creating professional learning communities with other schools to share and reflect on practice</w:t>
            </w:r>
          </w:p>
          <w:p w14:paraId="0D87EBAA" w14:textId="5EB6FE4E" w:rsidR="00996074" w:rsidRDefault="00B63480" w:rsidP="00420772">
            <w:pPr>
              <w:pStyle w:val="ListBullet2"/>
              <w:numPr>
                <w:ilvl w:val="0"/>
                <w:numId w:val="22"/>
              </w:numPr>
              <w:ind w:left="453"/>
            </w:pPr>
            <w:r>
              <w:t>Contin</w:t>
            </w:r>
            <w:r w:rsidR="00420772">
              <w:t>uing</w:t>
            </w:r>
            <w:r>
              <w:t xml:space="preserve"> to embed ‘play’ and ‘investigations’ in daily and weekly timetables and programmes</w:t>
            </w:r>
          </w:p>
          <w:p w14:paraId="6F5A9339" w14:textId="4F4EC957" w:rsidR="00420772" w:rsidRDefault="00420772" w:rsidP="00420772">
            <w:pPr>
              <w:pStyle w:val="ListBullet"/>
              <w:numPr>
                <w:ilvl w:val="0"/>
                <w:numId w:val="22"/>
              </w:numPr>
              <w:spacing w:after="160" w:line="259" w:lineRule="auto"/>
              <w:ind w:left="453"/>
              <w:rPr>
                <w:iCs/>
              </w:rPr>
            </w:pPr>
            <w:r w:rsidRPr="00414930">
              <w:rPr>
                <w:iCs/>
              </w:rPr>
              <w:t>Con</w:t>
            </w:r>
            <w:r>
              <w:rPr>
                <w:iCs/>
              </w:rPr>
              <w:t xml:space="preserve">tinuing to resource the school with appropriate literature materials and play provocations  </w:t>
            </w:r>
          </w:p>
          <w:p w14:paraId="4D0D0527" w14:textId="1BBADDD5" w:rsidR="00B63480" w:rsidRDefault="00420772" w:rsidP="00420772">
            <w:pPr>
              <w:pStyle w:val="ListBullet"/>
              <w:numPr>
                <w:ilvl w:val="0"/>
                <w:numId w:val="22"/>
              </w:numPr>
              <w:ind w:left="453"/>
            </w:pPr>
            <w:r>
              <w:rPr>
                <w:iCs/>
              </w:rPr>
              <w:t>Upskilling of new staff</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05A9A145" w14:textId="77777777" w:rsidR="00271528" w:rsidRPr="00557F65" w:rsidRDefault="00271528" w:rsidP="00E061B8">
      <w:pPr>
        <w:pStyle w:val="Heading2"/>
      </w:pPr>
      <w:r>
        <w:lastRenderedPageBreak/>
        <w:t>Reporting on preschool improvement</w:t>
      </w:r>
    </w:p>
    <w:p w14:paraId="579C7EB3" w14:textId="1B370386"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F92A" w14:textId="77777777" w:rsidR="002A26A6" w:rsidRDefault="002A26A6" w:rsidP="00CA0BAD">
      <w:pPr>
        <w:spacing w:after="0" w:line="240" w:lineRule="auto"/>
      </w:pPr>
      <w:r>
        <w:separator/>
      </w:r>
    </w:p>
  </w:endnote>
  <w:endnote w:type="continuationSeparator" w:id="0">
    <w:p w14:paraId="55A0F5B5" w14:textId="77777777" w:rsidR="002A26A6" w:rsidRDefault="002A26A6"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4D5D4484"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973FC8">
              <w:rPr>
                <w:rFonts w:ascii="Arial" w:hAnsi="Arial" w:cs="Arial"/>
                <w:noProof/>
                <w:color w:val="808080" w:themeColor="background1" w:themeShade="80"/>
                <w:sz w:val="20"/>
                <w:szCs w:val="20"/>
              </w:rPr>
              <w:t>Monday, 21 December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0"/>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25235" w14:textId="77777777" w:rsidR="002A26A6" w:rsidRDefault="002A26A6" w:rsidP="00CA0BAD">
      <w:pPr>
        <w:spacing w:after="0" w:line="240" w:lineRule="auto"/>
      </w:pPr>
      <w:r>
        <w:separator/>
      </w:r>
    </w:p>
  </w:footnote>
  <w:footnote w:type="continuationSeparator" w:id="0">
    <w:p w14:paraId="24B85598" w14:textId="77777777" w:rsidR="002A26A6" w:rsidRDefault="002A26A6"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C2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71DBB"/>
    <w:multiLevelType w:val="hybridMultilevel"/>
    <w:tmpl w:val="96E08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3E3E07"/>
    <w:multiLevelType w:val="hybridMultilevel"/>
    <w:tmpl w:val="909AF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4179F"/>
    <w:multiLevelType w:val="hybridMultilevel"/>
    <w:tmpl w:val="D550F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713A7E67"/>
    <w:multiLevelType w:val="hybridMultilevel"/>
    <w:tmpl w:val="7CA41A1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2"/>
  </w:num>
  <w:num w:numId="2">
    <w:abstractNumId w:val="10"/>
  </w:num>
  <w:num w:numId="3">
    <w:abstractNumId w:val="18"/>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3"/>
  </w:num>
  <w:num w:numId="19">
    <w:abstractNumId w:val="14"/>
  </w:num>
  <w:num w:numId="20">
    <w:abstractNumId w:val="13"/>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7160F"/>
    <w:rsid w:val="000F7E7C"/>
    <w:rsid w:val="00107AE2"/>
    <w:rsid w:val="00115AA9"/>
    <w:rsid w:val="00127C5E"/>
    <w:rsid w:val="00132917"/>
    <w:rsid w:val="001401D5"/>
    <w:rsid w:val="00161E50"/>
    <w:rsid w:val="00163579"/>
    <w:rsid w:val="001641AE"/>
    <w:rsid w:val="00183DE5"/>
    <w:rsid w:val="00184F6F"/>
    <w:rsid w:val="0018621D"/>
    <w:rsid w:val="001B26EA"/>
    <w:rsid w:val="001B2E33"/>
    <w:rsid w:val="001B6C20"/>
    <w:rsid w:val="001D3C91"/>
    <w:rsid w:val="002145F7"/>
    <w:rsid w:val="0024781C"/>
    <w:rsid w:val="00266E77"/>
    <w:rsid w:val="002678CE"/>
    <w:rsid w:val="00271528"/>
    <w:rsid w:val="00282D2C"/>
    <w:rsid w:val="002A26A6"/>
    <w:rsid w:val="002D43D6"/>
    <w:rsid w:val="002F1BE2"/>
    <w:rsid w:val="002F2C6F"/>
    <w:rsid w:val="002F4184"/>
    <w:rsid w:val="00300F72"/>
    <w:rsid w:val="00311873"/>
    <w:rsid w:val="00334BBF"/>
    <w:rsid w:val="00342B3F"/>
    <w:rsid w:val="00365890"/>
    <w:rsid w:val="00365A1C"/>
    <w:rsid w:val="00373DC0"/>
    <w:rsid w:val="00377F0F"/>
    <w:rsid w:val="00392660"/>
    <w:rsid w:val="003B5E3D"/>
    <w:rsid w:val="003C2864"/>
    <w:rsid w:val="003C69DC"/>
    <w:rsid w:val="003E1EFB"/>
    <w:rsid w:val="00414930"/>
    <w:rsid w:val="00420772"/>
    <w:rsid w:val="00423187"/>
    <w:rsid w:val="00435AB7"/>
    <w:rsid w:val="00435C6B"/>
    <w:rsid w:val="00436626"/>
    <w:rsid w:val="004473E4"/>
    <w:rsid w:val="00461D07"/>
    <w:rsid w:val="00481BD2"/>
    <w:rsid w:val="00492440"/>
    <w:rsid w:val="004C32E2"/>
    <w:rsid w:val="004C33D6"/>
    <w:rsid w:val="004D00F4"/>
    <w:rsid w:val="004D5E45"/>
    <w:rsid w:val="004F035E"/>
    <w:rsid w:val="00500A74"/>
    <w:rsid w:val="00520A86"/>
    <w:rsid w:val="00557F65"/>
    <w:rsid w:val="005611F4"/>
    <w:rsid w:val="0057672E"/>
    <w:rsid w:val="0057791E"/>
    <w:rsid w:val="0058339C"/>
    <w:rsid w:val="0059350F"/>
    <w:rsid w:val="005A4749"/>
    <w:rsid w:val="005C7432"/>
    <w:rsid w:val="005E76E4"/>
    <w:rsid w:val="005F3B55"/>
    <w:rsid w:val="005F5D31"/>
    <w:rsid w:val="00600A28"/>
    <w:rsid w:val="00610A38"/>
    <w:rsid w:val="00631663"/>
    <w:rsid w:val="0066643F"/>
    <w:rsid w:val="006722BC"/>
    <w:rsid w:val="00674E1D"/>
    <w:rsid w:val="006830C3"/>
    <w:rsid w:val="006A31D6"/>
    <w:rsid w:val="006A3E0B"/>
    <w:rsid w:val="006A5062"/>
    <w:rsid w:val="006A67F3"/>
    <w:rsid w:val="006D2F6B"/>
    <w:rsid w:val="006E6459"/>
    <w:rsid w:val="00733263"/>
    <w:rsid w:val="007347A7"/>
    <w:rsid w:val="007375B4"/>
    <w:rsid w:val="00752390"/>
    <w:rsid w:val="00771250"/>
    <w:rsid w:val="00773590"/>
    <w:rsid w:val="00792959"/>
    <w:rsid w:val="00797874"/>
    <w:rsid w:val="007B0189"/>
    <w:rsid w:val="007D0242"/>
    <w:rsid w:val="007D407C"/>
    <w:rsid w:val="008300DD"/>
    <w:rsid w:val="00837137"/>
    <w:rsid w:val="00846E51"/>
    <w:rsid w:val="00854443"/>
    <w:rsid w:val="008679D5"/>
    <w:rsid w:val="00896B58"/>
    <w:rsid w:val="008A01DA"/>
    <w:rsid w:val="00915ADE"/>
    <w:rsid w:val="0093040B"/>
    <w:rsid w:val="00932E67"/>
    <w:rsid w:val="00937D6F"/>
    <w:rsid w:val="00950193"/>
    <w:rsid w:val="00954566"/>
    <w:rsid w:val="00973FC8"/>
    <w:rsid w:val="00996074"/>
    <w:rsid w:val="00997CD0"/>
    <w:rsid w:val="009B454E"/>
    <w:rsid w:val="009B7107"/>
    <w:rsid w:val="009E2D26"/>
    <w:rsid w:val="009F70BB"/>
    <w:rsid w:val="00A112C4"/>
    <w:rsid w:val="00A1525D"/>
    <w:rsid w:val="00A42D40"/>
    <w:rsid w:val="00A54B28"/>
    <w:rsid w:val="00A967A3"/>
    <w:rsid w:val="00AB3505"/>
    <w:rsid w:val="00AD7D38"/>
    <w:rsid w:val="00AE1CAD"/>
    <w:rsid w:val="00AE2FBD"/>
    <w:rsid w:val="00AE3C70"/>
    <w:rsid w:val="00AE6038"/>
    <w:rsid w:val="00AF0BBA"/>
    <w:rsid w:val="00B06296"/>
    <w:rsid w:val="00B10319"/>
    <w:rsid w:val="00B30D28"/>
    <w:rsid w:val="00B36AF4"/>
    <w:rsid w:val="00B41802"/>
    <w:rsid w:val="00B53B59"/>
    <w:rsid w:val="00B63480"/>
    <w:rsid w:val="00B734D8"/>
    <w:rsid w:val="00BA0B62"/>
    <w:rsid w:val="00BD4A43"/>
    <w:rsid w:val="00C0648C"/>
    <w:rsid w:val="00C06492"/>
    <w:rsid w:val="00C06726"/>
    <w:rsid w:val="00C26814"/>
    <w:rsid w:val="00C36B48"/>
    <w:rsid w:val="00C63CC4"/>
    <w:rsid w:val="00C73EB7"/>
    <w:rsid w:val="00C77B0A"/>
    <w:rsid w:val="00C91C8E"/>
    <w:rsid w:val="00C95D8A"/>
    <w:rsid w:val="00CA0BAD"/>
    <w:rsid w:val="00CA26FB"/>
    <w:rsid w:val="00CC09CA"/>
    <w:rsid w:val="00CC43A7"/>
    <w:rsid w:val="00CF3F40"/>
    <w:rsid w:val="00D03B0C"/>
    <w:rsid w:val="00D21886"/>
    <w:rsid w:val="00D56F59"/>
    <w:rsid w:val="00D66148"/>
    <w:rsid w:val="00D731BD"/>
    <w:rsid w:val="00D750CD"/>
    <w:rsid w:val="00DA09ED"/>
    <w:rsid w:val="00DA4480"/>
    <w:rsid w:val="00DB037A"/>
    <w:rsid w:val="00DC0585"/>
    <w:rsid w:val="00DD18F1"/>
    <w:rsid w:val="00DE43E6"/>
    <w:rsid w:val="00DE75EB"/>
    <w:rsid w:val="00DF0245"/>
    <w:rsid w:val="00DF695B"/>
    <w:rsid w:val="00E061B8"/>
    <w:rsid w:val="00E14A54"/>
    <w:rsid w:val="00E34614"/>
    <w:rsid w:val="00E434FA"/>
    <w:rsid w:val="00E81A9D"/>
    <w:rsid w:val="00E93A41"/>
    <w:rsid w:val="00E945FD"/>
    <w:rsid w:val="00EA1B8A"/>
    <w:rsid w:val="00EA4582"/>
    <w:rsid w:val="00EB70CE"/>
    <w:rsid w:val="00EC011A"/>
    <w:rsid w:val="00EF0385"/>
    <w:rsid w:val="00EF2574"/>
    <w:rsid w:val="00F00DB2"/>
    <w:rsid w:val="00F05C79"/>
    <w:rsid w:val="00F11C71"/>
    <w:rsid w:val="00F231B7"/>
    <w:rsid w:val="00F43658"/>
    <w:rsid w:val="00F536D7"/>
    <w:rsid w:val="00F82F49"/>
    <w:rsid w:val="00F85ED9"/>
    <w:rsid w:val="00F87382"/>
    <w:rsid w:val="00F87A19"/>
    <w:rsid w:val="00FA6811"/>
    <w:rsid w:val="00FA6A61"/>
    <w:rsid w:val="00FA6C82"/>
    <w:rsid w:val="00FB31F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2D7676"/>
    <w:rsid w:val="003D1F1C"/>
    <w:rsid w:val="0075342A"/>
    <w:rsid w:val="008B6DE0"/>
    <w:rsid w:val="008F4B21"/>
    <w:rsid w:val="00B03D6B"/>
    <w:rsid w:val="00CA79E6"/>
    <w:rsid w:val="00FE4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Running a school</Value>
    </Section>
    <Publisheddate xmlns="b38bb1c8-5c99-4561-a624-a5e6628d94c9" xsi:nil="true"/>
    <Relates_x0020_to xmlns="01d31f61-9245-4fcb-8ab0-90be871bbbe7">
      <Value>ESO staff</Value>
      <Value>Business Services Officer</Value>
      <Value>Business managers</Value>
      <Value>Teachers</Value>
      <Value>School leaders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Business services officers</Value>
      <Value>School support</Value>
      <Value>ESO staff</Value>
    </Targeted_x0020_audience>
    <Purpose xmlns="b38bb1c8-5c99-4561-a624-a5e6628d94c9" xsi:nil="true"/>
    <Year xmlns="b38bb1c8-5c99-4561-a624-a5e6628d94c9" xsi:nil="true"/>
    <Function xmlns="b38bb1c8-5c99-4561-a624-a5e6628d9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6" ma:contentTypeDescription="Create a new document." ma:contentTypeScope="" ma:versionID="6b03bf3d7cd56194f573caa9a54ff69a">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ad2e891714ea9f1bc3c5fae9eb423acc"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20"/>
          <xsd:enumeration value="2019"/>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91BF-2D2E-4CC9-95CA-D6A8600ED651}">
  <ds:schemaRefs>
    <ds:schemaRef ds:uri="http://schemas.microsoft.com/sharepoint/v3/contenttype/forms"/>
  </ds:schemaRefs>
</ds:datastoreItem>
</file>

<file path=customXml/itemProps2.xml><?xml version="1.0" encoding="utf-8"?>
<ds:datastoreItem xmlns:ds="http://schemas.openxmlformats.org/officeDocument/2006/customXml" ds:itemID="{75B7ACD1-F65A-44FA-9447-D8C9216A371C}">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3.xml><?xml version="1.0" encoding="utf-8"?>
<ds:datastoreItem xmlns:ds="http://schemas.openxmlformats.org/officeDocument/2006/customXml" ds:itemID="{8207F1F2-3FB8-47A3-B7E3-A79E96D4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TOOL Impact Report v05Dec2019</vt:lpstr>
    </vt:vector>
  </TitlesOfParts>
  <Company>ACT Government</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Impact Report v05Dec2019</dc:title>
  <dc:subject/>
  <dc:creator>ACT Education Directorate</dc:creator>
  <cp:keywords/>
  <dc:description/>
  <cp:lastModifiedBy>Brough, Melissa-Louise</cp:lastModifiedBy>
  <cp:revision>3</cp:revision>
  <cp:lastPrinted>2020-12-21T02:02:00Z</cp:lastPrinted>
  <dcterms:created xsi:type="dcterms:W3CDTF">2020-12-21T02:00:00Z</dcterms:created>
  <dcterms:modified xsi:type="dcterms:W3CDTF">2020-12-21T02:02:00Z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