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</w:rPr>
        <w:alias w:val="DDList"/>
        <w:tag w:val="DDList"/>
        <w:id w:val="4240380"/>
        <w:placeholder>
          <w:docPart w:val="D009FF18D63449F38EF834228DC3F6AB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70B68382" w14:textId="77777777" w:rsidR="00BA52B3" w:rsidRPr="0029006B" w:rsidRDefault="00633379" w:rsidP="0029006B">
          <w:pPr>
            <w:pStyle w:val="Title"/>
            <w:spacing w:after="120"/>
            <w:rPr>
              <w:rStyle w:val="SchoolName"/>
            </w:rPr>
          </w:pPr>
          <w:r>
            <w:rPr>
              <w:rStyle w:val="SchoolName"/>
            </w:rPr>
            <w:t>Alfred Deakin High School</w:t>
          </w:r>
        </w:p>
      </w:sdtContent>
    </w:sdt>
    <w:p w14:paraId="24DFFC1A" w14:textId="77777777" w:rsidR="00BA52B3" w:rsidRPr="005F3926" w:rsidRDefault="00BA52B3" w:rsidP="00BA52B3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633379">
            <w:t>South Canberra/ Weston</w:t>
          </w:r>
        </w:sdtContent>
      </w:sdt>
    </w:p>
    <w:p w14:paraId="3FD73E3F" w14:textId="77777777" w:rsidR="00BA52B3" w:rsidRDefault="002A177D" w:rsidP="000A207B">
      <w:pPr>
        <w:pStyle w:val="Title"/>
      </w:pPr>
      <w:r>
        <w:t>Action</w:t>
      </w:r>
      <w:r w:rsidR="00BA52B3">
        <w:t xml:space="preserve"> </w:t>
      </w:r>
      <w:r w:rsidR="00BA52B3" w:rsidRPr="005F3926">
        <w:t xml:space="preserve">Plan </w:t>
      </w:r>
      <w:r w:rsidR="00BA52B3">
        <w:t>20</w:t>
      </w:r>
      <w:r w:rsidR="00633379">
        <w:t>19</w:t>
      </w:r>
    </w:p>
    <w:p w14:paraId="3F7BD7B2" w14:textId="77777777" w:rsidR="00460F6D" w:rsidRPr="00E140FA" w:rsidRDefault="00633379" w:rsidP="00BC589B">
      <w:pPr>
        <w:pStyle w:val="Heading1"/>
      </w:pPr>
      <w:r>
        <w:t>T</w:t>
      </w:r>
      <w:r w:rsidR="00460F6D" w:rsidRPr="00E140FA">
        <w:t>he purpose of this document</w:t>
      </w:r>
    </w:p>
    <w:p w14:paraId="0D0E9538" w14:textId="77777777" w:rsidR="000C1B4B" w:rsidRPr="00825280" w:rsidRDefault="000C1B4B" w:rsidP="00825280">
      <w:pPr>
        <w:pStyle w:val="BodyText"/>
      </w:pPr>
      <w:r w:rsidRPr="00825280">
        <w:t xml:space="preserve">This </w:t>
      </w:r>
      <w:r w:rsidR="0047385D" w:rsidRPr="00825280">
        <w:t xml:space="preserve">is a </w:t>
      </w:r>
      <w:r w:rsidR="0047385D" w:rsidRPr="00825280">
        <w:rPr>
          <w:i/>
          <w:u w:val="single"/>
        </w:rPr>
        <w:t xml:space="preserve">working </w:t>
      </w:r>
      <w:r w:rsidRPr="00825280">
        <w:rPr>
          <w:i/>
          <w:u w:val="single"/>
        </w:rPr>
        <w:t>document</w:t>
      </w:r>
      <w:r w:rsidRPr="00825280">
        <w:t xml:space="preserve"> </w:t>
      </w:r>
      <w:r w:rsidR="0047385D" w:rsidRPr="00825280">
        <w:t xml:space="preserve">and </w:t>
      </w:r>
      <w:r w:rsidRPr="00825280">
        <w:t>should be read in conjunction with, and flows dire</w:t>
      </w:r>
      <w:r w:rsidR="00235B19" w:rsidRPr="00825280">
        <w:t xml:space="preserve">ctly from, our </w:t>
      </w:r>
      <w:r w:rsidR="00825280">
        <w:t>School Improvement Plan</w:t>
      </w:r>
      <w:r w:rsidRPr="00825280">
        <w:t xml:space="preserve"> which articulates:</w:t>
      </w:r>
    </w:p>
    <w:p w14:paraId="037F38C0" w14:textId="77777777" w:rsidR="000C1B4B" w:rsidRDefault="000C1B4B" w:rsidP="000A207B">
      <w:pPr>
        <w:pStyle w:val="DotPointLVL1"/>
      </w:pPr>
      <w:r>
        <w:t>a commitment to t</w:t>
      </w:r>
      <w:r w:rsidRPr="007E3C23">
        <w:t>he Education Directorate</w:t>
      </w:r>
      <w:r>
        <w:t>’s</w:t>
      </w:r>
      <w:r w:rsidRPr="007E3C23">
        <w:t xml:space="preserve"> </w:t>
      </w:r>
      <w:r w:rsidR="00A214B7">
        <w:t>three S</w:t>
      </w:r>
      <w:r>
        <w:t xml:space="preserve">trategic </w:t>
      </w:r>
      <w:r w:rsidR="00A214B7">
        <w:t>I</w:t>
      </w:r>
      <w:r w:rsidRPr="007E3C23">
        <w:t>ndicators for 2018-2021</w:t>
      </w:r>
    </w:p>
    <w:p w14:paraId="42B0C217" w14:textId="77777777" w:rsidR="000C1B4B" w:rsidRPr="00825280" w:rsidRDefault="000C1B4B" w:rsidP="000A207B">
      <w:pPr>
        <w:pStyle w:val="DotPointLVL2"/>
      </w:pPr>
      <w:r w:rsidRPr="00825280">
        <w:t>To promote greater equity in learning outcomes in and across ACT public schools</w:t>
      </w:r>
    </w:p>
    <w:p w14:paraId="1212C9DE" w14:textId="77777777" w:rsidR="000C1B4B" w:rsidRPr="00825280" w:rsidRDefault="000C1B4B" w:rsidP="000A207B">
      <w:pPr>
        <w:pStyle w:val="DotPointLVL2"/>
      </w:pPr>
      <w:r w:rsidRPr="00825280">
        <w:t>To facilitate high quality teaching in ACT public schools and strengthen educational outcomes</w:t>
      </w:r>
    </w:p>
    <w:p w14:paraId="75D7177F" w14:textId="77777777" w:rsidR="000C1B4B" w:rsidRPr="00825280" w:rsidRDefault="000C1B4B" w:rsidP="000A207B">
      <w:pPr>
        <w:pStyle w:val="DotPointLVL2"/>
      </w:pPr>
      <w:r w:rsidRPr="00825280">
        <w:t>To centre teaching and learning around students as individuals</w:t>
      </w:r>
    </w:p>
    <w:p w14:paraId="57AD58C6" w14:textId="77777777" w:rsidR="000C1B4B" w:rsidRDefault="003C346B" w:rsidP="000A207B">
      <w:pPr>
        <w:pStyle w:val="DotPointLVL1"/>
      </w:pPr>
      <w:r>
        <w:t xml:space="preserve">our </w:t>
      </w:r>
      <w:r w:rsidR="000C1B4B">
        <w:t>priorities, as informed by the Directorate</w:t>
      </w:r>
      <w:r w:rsidR="00A214B7">
        <w:t>’</w:t>
      </w:r>
      <w:r w:rsidR="000C1B4B">
        <w:t xml:space="preserve">s Strategic Indicators, School Review findings and analysis of multiple sources of </w:t>
      </w:r>
      <w:r w:rsidR="00217CF8">
        <w:t>evidence</w:t>
      </w:r>
      <w:r w:rsidR="0080461F">
        <w:t xml:space="preserve"> are:</w:t>
      </w:r>
    </w:p>
    <w:p w14:paraId="303384AA" w14:textId="77777777" w:rsidR="00C94807" w:rsidRPr="00C94807" w:rsidRDefault="00633379" w:rsidP="00C94807">
      <w:pPr>
        <w:pStyle w:val="DotPointLVL2"/>
        <w:rPr>
          <w:i w:val="0"/>
        </w:rPr>
      </w:pPr>
      <w:r w:rsidRPr="00D76457">
        <w:t>Priority One</w:t>
      </w:r>
      <w:r>
        <w:t>: flexible and personalised learning experiences to maximise each student’s growth.</w:t>
      </w:r>
    </w:p>
    <w:p w14:paraId="43753457" w14:textId="77777777" w:rsidR="00C94807" w:rsidRPr="00C94807" w:rsidRDefault="00C94807" w:rsidP="00C94807">
      <w:pPr>
        <w:pStyle w:val="DotPointLVL2"/>
        <w:rPr>
          <w:i w:val="0"/>
        </w:rPr>
      </w:pPr>
      <w:r w:rsidRPr="00C94807">
        <w:t>Priority Two: equipping students to be successful members of our community.</w:t>
      </w:r>
    </w:p>
    <w:p w14:paraId="0265CB7F" w14:textId="77777777" w:rsidR="006E3C0D" w:rsidRPr="000A207B" w:rsidRDefault="006E3C0D" w:rsidP="00C94807">
      <w:pPr>
        <w:pStyle w:val="DotPointLVL2"/>
        <w:numPr>
          <w:ilvl w:val="0"/>
          <w:numId w:val="0"/>
        </w:numPr>
        <w:ind w:left="714"/>
        <w:rPr>
          <w:i w:val="0"/>
        </w:rPr>
      </w:pPr>
    </w:p>
    <w:p w14:paraId="163C6B1B" w14:textId="77777777" w:rsidR="000C1B4B" w:rsidRDefault="00217CF8" w:rsidP="000A207B">
      <w:pPr>
        <w:pStyle w:val="BodyText"/>
      </w:pPr>
      <w:r>
        <w:t>This Action Plan (A</w:t>
      </w:r>
      <w:r w:rsidR="000C1B4B">
        <w:t xml:space="preserve">P) translates the actions to be taken in the current year of our </w:t>
      </w:r>
      <w:r w:rsidR="00F129F8">
        <w:t>five-year</w:t>
      </w:r>
      <w:r w:rsidR="000C1B4B">
        <w:t xml:space="preserve"> school improvement cycle, continuing the emphasis on:</w:t>
      </w:r>
    </w:p>
    <w:p w14:paraId="26E5A57B" w14:textId="77777777" w:rsidR="000C1B4B" w:rsidRDefault="000C1B4B" w:rsidP="000A207B">
      <w:pPr>
        <w:pStyle w:val="DotPointLVL1"/>
      </w:pPr>
      <w:r>
        <w:t>improving student outcomes</w:t>
      </w:r>
    </w:p>
    <w:p w14:paraId="530A32C7" w14:textId="77777777" w:rsidR="000C1B4B" w:rsidRDefault="000C1B4B" w:rsidP="000A207B">
      <w:pPr>
        <w:pStyle w:val="DotPointLVL1"/>
      </w:pPr>
      <w:r>
        <w:t>monitoring and implementation of an inquiry approach to action scho</w:t>
      </w:r>
      <w:r w:rsidRPr="006E3C0D">
        <w:t xml:space="preserve">ol </w:t>
      </w:r>
      <w:r w:rsidR="00217CF8" w:rsidRPr="006E3C0D">
        <w:t>improvement</w:t>
      </w:r>
    </w:p>
    <w:p w14:paraId="494AE6FE" w14:textId="77777777" w:rsidR="000C1B4B" w:rsidRDefault="000C1B4B" w:rsidP="000A207B">
      <w:pPr>
        <w:pStyle w:val="DotPointLVL1"/>
      </w:pPr>
      <w:r>
        <w:t>monitoring and inquiry to inform daily teaching</w:t>
      </w:r>
    </w:p>
    <w:p w14:paraId="598C6AED" w14:textId="77777777" w:rsidR="00AF3B67" w:rsidRDefault="00AF3B67" w:rsidP="000A207B">
      <w:pPr>
        <w:pStyle w:val="DotPointLVL1"/>
      </w:pPr>
      <w:r>
        <w:t xml:space="preserve">identification and mitigation of risks to the delivery of our five-year </w:t>
      </w:r>
      <w:r w:rsidR="00EE3B84">
        <w:t>S</w:t>
      </w:r>
      <w:r>
        <w:t xml:space="preserve">chool </w:t>
      </w:r>
      <w:r w:rsidR="00EE3B84">
        <w:t>I</w:t>
      </w:r>
      <w:r>
        <w:t xml:space="preserve">mprovement </w:t>
      </w:r>
      <w:r w:rsidR="00EE3B84">
        <w:t>P</w:t>
      </w:r>
      <w:r>
        <w:t>lan.</w:t>
      </w:r>
    </w:p>
    <w:p w14:paraId="7AEED8F7" w14:textId="77777777" w:rsidR="00D22B30" w:rsidRPr="00D22B30" w:rsidRDefault="00757C87" w:rsidP="004B701F">
      <w:pPr>
        <w:pStyle w:val="Heading1"/>
      </w:pPr>
      <w:r>
        <w:t>Changes affect</w:t>
      </w:r>
      <w:r w:rsidRPr="006E3C0D">
        <w:t xml:space="preserve">ing </w:t>
      </w:r>
      <w:r w:rsidR="00217CF8" w:rsidRPr="006E3C0D">
        <w:t xml:space="preserve">our school’s </w:t>
      </w:r>
      <w:r w:rsidRPr="006E3C0D">
        <w:t>a</w:t>
      </w:r>
      <w:r>
        <w:t>nnual planning</w:t>
      </w:r>
    </w:p>
    <w:p w14:paraId="380677E3" w14:textId="77777777" w:rsidR="000C1B4B" w:rsidRDefault="00176E9C" w:rsidP="00141602">
      <w:pPr>
        <w:pStyle w:val="DotPointLVL1"/>
      </w:pPr>
      <w:r>
        <w:t xml:space="preserve">New SLA &amp; SLB appointed </w:t>
      </w:r>
      <w:r w:rsidR="005C2830">
        <w:t xml:space="preserve">in term 4 2018, end of first year School Improvement Plan </w:t>
      </w:r>
    </w:p>
    <w:p w14:paraId="6B32188D" w14:textId="77777777" w:rsidR="000C1B4B" w:rsidRDefault="005C2830" w:rsidP="00BC589B">
      <w:pPr>
        <w:pStyle w:val="DotPointLVL1"/>
      </w:pPr>
      <w:r>
        <w:t>Implementation of Future of Education strategy and ED Strategic Plan 2018-2021</w:t>
      </w:r>
    </w:p>
    <w:p w14:paraId="7BE4D84C" w14:textId="77777777" w:rsidR="000C1B4B" w:rsidRDefault="005C2830" w:rsidP="00BC589B">
      <w:pPr>
        <w:pStyle w:val="DotPointLVL1"/>
      </w:pPr>
      <w:r>
        <w:t>School Administrative System – implementation of wellbeing module in 2018 and assessment and reporting in 2019</w:t>
      </w:r>
    </w:p>
    <w:p w14:paraId="154ADE36" w14:textId="77777777" w:rsidR="005C2830" w:rsidRDefault="005C2830" w:rsidP="00BC589B">
      <w:pPr>
        <w:pStyle w:val="DotPointLVL1"/>
      </w:pPr>
      <w:r>
        <w:t xml:space="preserve">Challenge of securing a research partner to support </w:t>
      </w:r>
      <w:r w:rsidR="000F247C">
        <w:t>P</w:t>
      </w:r>
      <w:r>
        <w:t>riority 2</w:t>
      </w:r>
    </w:p>
    <w:p w14:paraId="743B882B" w14:textId="77777777" w:rsidR="005C2830" w:rsidRDefault="005C2830" w:rsidP="00BC589B">
      <w:pPr>
        <w:pStyle w:val="DotPointLVL1"/>
      </w:pPr>
      <w:r>
        <w:t>Ongoing challenge of access to healthy eating opportunities within the school</w:t>
      </w:r>
    </w:p>
    <w:p w14:paraId="2AE3CF8F" w14:textId="77777777" w:rsidR="000F0410" w:rsidRDefault="00757C87" w:rsidP="004B701F">
      <w:pPr>
        <w:pStyle w:val="Heading1"/>
      </w:pPr>
      <w:r>
        <w:t>Ou</w:t>
      </w:r>
      <w:r w:rsidRPr="006E3C0D">
        <w:t xml:space="preserve">r </w:t>
      </w:r>
      <w:r w:rsidR="00217CF8" w:rsidRPr="006E3C0D">
        <w:t xml:space="preserve">school’s </w:t>
      </w:r>
      <w:r w:rsidRPr="006E3C0D">
        <w:t>ap</w:t>
      </w:r>
      <w:r>
        <w:t>proach to inquiry and professional learning communities</w:t>
      </w:r>
    </w:p>
    <w:p w14:paraId="009E7732" w14:textId="12A914BD" w:rsidR="004B701F" w:rsidRDefault="004B701F" w:rsidP="004B701F">
      <w:pPr>
        <w:pStyle w:val="DotPointLVL1"/>
      </w:pPr>
      <w:r>
        <w:t xml:space="preserve">Clear distinction between operational and PLC sessions, </w:t>
      </w:r>
      <w:r w:rsidR="003D767B">
        <w:t>includ</w:t>
      </w:r>
      <w:r w:rsidR="009C45F3">
        <w:t>i</w:t>
      </w:r>
      <w:r w:rsidR="003D767B">
        <w:t>ng</w:t>
      </w:r>
      <w:r>
        <w:t xml:space="preserve"> purpose</w:t>
      </w:r>
    </w:p>
    <w:p w14:paraId="5A4F6F43" w14:textId="77777777" w:rsidR="0044192D" w:rsidRDefault="000F247C" w:rsidP="004B701F">
      <w:pPr>
        <w:pStyle w:val="DotPointLVL1"/>
      </w:pPr>
      <w:r>
        <w:t>Inquiry f</w:t>
      </w:r>
      <w:r w:rsidR="004B701F">
        <w:t xml:space="preserve">ocus on </w:t>
      </w:r>
      <w:r>
        <w:t>teacher impact</w:t>
      </w:r>
      <w:r w:rsidR="004B701F">
        <w:t xml:space="preserve"> </w:t>
      </w:r>
      <w:r>
        <w:t>through</w:t>
      </w:r>
      <w:r w:rsidR="004B701F">
        <w:t xml:space="preserve"> measuring growth in student learning </w:t>
      </w:r>
      <w:r>
        <w:t>using</w:t>
      </w:r>
      <w:r w:rsidR="004B701F">
        <w:t xml:space="preserve"> small data </w:t>
      </w:r>
    </w:p>
    <w:p w14:paraId="346C3CBA" w14:textId="1F87C655" w:rsidR="00F22811" w:rsidRPr="004B701F" w:rsidRDefault="0044192D" w:rsidP="0044192D">
      <w:pPr>
        <w:pStyle w:val="DotPointLVL1"/>
        <w:sectPr w:rsidR="00F22811" w:rsidRPr="004B701F" w:rsidSect="00F2281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Sharing and collaboration opportunities </w:t>
      </w:r>
      <w:r w:rsidR="000F247C">
        <w:t>throughout</w:t>
      </w:r>
      <w:r>
        <w:t xml:space="preserve"> PLC sessions </w:t>
      </w:r>
      <w:r w:rsidR="004B701F">
        <w:t xml:space="preserve"> </w:t>
      </w:r>
    </w:p>
    <w:p w14:paraId="37627347" w14:textId="77777777" w:rsidR="000C1B4B" w:rsidRPr="00DD4E6B" w:rsidRDefault="00882120" w:rsidP="000F0410">
      <w:pPr>
        <w:pStyle w:val="Heading1"/>
      </w:pPr>
      <w:r>
        <w:lastRenderedPageBreak/>
        <w:t>S</w:t>
      </w:r>
      <w:r w:rsidR="000C1B4B" w:rsidRPr="00DD4E6B">
        <w:t>trategies and actions</w:t>
      </w:r>
    </w:p>
    <w:p w14:paraId="56ED3E1D" w14:textId="77777777" w:rsidR="000F0410" w:rsidRPr="000F0410" w:rsidRDefault="000F0410" w:rsidP="000F0410">
      <w:pPr>
        <w:pStyle w:val="Heading2"/>
        <w:rPr>
          <w:color w:val="auto"/>
        </w:rPr>
      </w:pPr>
      <w:r w:rsidRPr="000F0410">
        <w:t>Priority 1:</w:t>
      </w:r>
      <w:r w:rsidR="00B02C40">
        <w:tab/>
        <w:t>Flexible and personalised learning experiences to maximise each student’s growth.</w:t>
      </w:r>
      <w:r w:rsidRPr="000F0410">
        <w:rPr>
          <w:color w:val="auto"/>
        </w:rPr>
        <w:tab/>
      </w:r>
    </w:p>
    <w:p w14:paraId="6674B7C6" w14:textId="77777777" w:rsidR="000C1B4B" w:rsidRDefault="00882120" w:rsidP="00BC589B">
      <w:pPr>
        <w:pStyle w:val="Heading3"/>
      </w:pPr>
      <w:r>
        <w:t>Strategies</w:t>
      </w:r>
    </w:p>
    <w:p w14:paraId="26BB0D95" w14:textId="77777777" w:rsidR="00B873D3" w:rsidRPr="00482DDC" w:rsidRDefault="00B873D3" w:rsidP="00B873D3">
      <w:pPr>
        <w:pStyle w:val="NumberedList"/>
      </w:pPr>
      <w:r w:rsidRPr="00482DDC">
        <w:t xml:space="preserve">Implement a school wide inquiry approach </w:t>
      </w:r>
      <w:r w:rsidR="002729F1" w:rsidRPr="00482DDC">
        <w:t>to</w:t>
      </w:r>
      <w:r w:rsidRPr="00482DDC">
        <w:t xml:space="preserve"> professional learning communities with a focus on using data and evidence to show growth in student learning </w:t>
      </w:r>
    </w:p>
    <w:p w14:paraId="7104E11F" w14:textId="18A8D1DD" w:rsidR="0057721F" w:rsidRPr="00482DDC" w:rsidRDefault="00837D1F" w:rsidP="00482DDC">
      <w:pPr>
        <w:pStyle w:val="NumberedList"/>
        <w:rPr>
          <w:i/>
        </w:rPr>
      </w:pPr>
      <w:r w:rsidRPr="00482DDC">
        <w:t>Develop</w:t>
      </w:r>
      <w:r w:rsidR="0010587A" w:rsidRPr="00482DDC">
        <w:t xml:space="preserve"> and trial </w:t>
      </w:r>
      <w:r w:rsidR="002729F1" w:rsidRPr="00482DDC">
        <w:t>models</w:t>
      </w:r>
      <w:r w:rsidR="0010587A" w:rsidRPr="00482DDC">
        <w:t xml:space="preserve"> which allow an increase in pedagogies focussing on 21</w:t>
      </w:r>
      <w:r w:rsidR="0010587A" w:rsidRPr="00482DDC">
        <w:rPr>
          <w:vertAlign w:val="superscript"/>
        </w:rPr>
        <w:t>st</w:t>
      </w:r>
      <w:r w:rsidR="0010587A" w:rsidRPr="00482DDC">
        <w:t xml:space="preserve"> </w:t>
      </w:r>
      <w:r w:rsidR="006C2D20" w:rsidRPr="00482DDC">
        <w:t>Century</w:t>
      </w:r>
      <w:r w:rsidR="0010587A" w:rsidRPr="00482DDC">
        <w:t xml:space="preserve"> skills and </w:t>
      </w:r>
      <w:r w:rsidR="006C2D20" w:rsidRPr="00482DDC">
        <w:t>General</w:t>
      </w:r>
      <w:r w:rsidR="0010587A" w:rsidRPr="00482DDC">
        <w:t xml:space="preserve"> </w:t>
      </w:r>
      <w:r w:rsidR="006C2D20" w:rsidRPr="00482DDC">
        <w:t>Capabilities</w:t>
      </w:r>
      <w:r w:rsidR="0010587A" w:rsidRPr="00482DDC">
        <w:t xml:space="preserve"> </w:t>
      </w:r>
    </w:p>
    <w:p w14:paraId="269C78BB" w14:textId="77777777" w:rsidR="00460F6D" w:rsidRPr="000F0410" w:rsidRDefault="006C2D20" w:rsidP="000F0410">
      <w:pPr>
        <w:pStyle w:val="NumberedList"/>
      </w:pPr>
      <w:r>
        <w:t>Develop an</w:t>
      </w:r>
      <w:r w:rsidR="002729F1">
        <w:t>d trial</w:t>
      </w:r>
      <w:r>
        <w:t xml:space="preserve"> </w:t>
      </w:r>
      <w:r w:rsidR="002729F1">
        <w:t>methodologies</w:t>
      </w:r>
      <w:r>
        <w:t xml:space="preserve"> </w:t>
      </w:r>
      <w:r w:rsidR="002B7944">
        <w:t>f</w:t>
      </w:r>
      <w:r w:rsidR="00465D81">
        <w:t>o</w:t>
      </w:r>
      <w:r w:rsidR="002B7944">
        <w:t>r providing</w:t>
      </w:r>
      <w:r w:rsidR="00465D81">
        <w:t xml:space="preserve"> evidenc</w:t>
      </w:r>
      <w:r w:rsidR="002B7944">
        <w:t>e</w:t>
      </w:r>
      <w:r w:rsidR="003D767B">
        <w:t xml:space="preserve"> of</w:t>
      </w:r>
      <w:r w:rsidR="002B7944">
        <w:t xml:space="preserve"> and assessing</w:t>
      </w:r>
      <w:r w:rsidR="00465D81">
        <w:t xml:space="preserve"> 21</w:t>
      </w:r>
      <w:r w:rsidR="00465D81" w:rsidRPr="0010587A">
        <w:rPr>
          <w:vertAlign w:val="superscript"/>
        </w:rPr>
        <w:t>st</w:t>
      </w:r>
      <w:r w:rsidR="00465D81">
        <w:t xml:space="preserve"> Century skills and General Capabilities</w:t>
      </w:r>
      <w:r w:rsidR="002729F1">
        <w:t xml:space="preserve"> which incorporate</w:t>
      </w:r>
      <w:r w:rsidR="00465D81">
        <w:t xml:space="preserve"> </w:t>
      </w:r>
      <w:r w:rsidR="002729F1">
        <w:t>student reflection on learning</w:t>
      </w:r>
    </w:p>
    <w:p w14:paraId="5BD06005" w14:textId="77777777" w:rsidR="00966686" w:rsidRDefault="008E63DF" w:rsidP="00BC589B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47385D" w14:paraId="7D437CF8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64008199" w14:textId="77777777" w:rsidR="0047385D" w:rsidRPr="00882120" w:rsidRDefault="0047385D" w:rsidP="001904EF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0278A600" w14:textId="77777777" w:rsidR="0047385D" w:rsidRPr="00882120" w:rsidRDefault="0047385D" w:rsidP="001904EF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6984F230" w14:textId="77777777" w:rsidR="0047385D" w:rsidRPr="00247B71" w:rsidRDefault="0047385D" w:rsidP="001904EF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2C4C1161" w14:textId="77777777" w:rsidR="0047385D" w:rsidRPr="002E73E5" w:rsidRDefault="0047385D" w:rsidP="001904EF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6E536B" w14:paraId="406EF2D7" w14:textId="77777777" w:rsidTr="003248DC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160F85F1" w14:textId="4D3B007F" w:rsidR="000454A5" w:rsidRDefault="006E536B" w:rsidP="000454A5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  </w:t>
            </w:r>
            <w:r>
              <w:t xml:space="preserve">Implement a school wide inquiry approach to professional learning communities </w:t>
            </w:r>
            <w:r w:rsidR="009C45F3">
              <w:t xml:space="preserve">(PLC) </w:t>
            </w:r>
            <w:r>
              <w:t xml:space="preserve">with a focus on using data and evidence to show growth in </w:t>
            </w:r>
            <w:r w:rsidR="000454A5">
              <w:t xml:space="preserve"> </w:t>
            </w:r>
          </w:p>
          <w:p w14:paraId="6C9237AE" w14:textId="77777777" w:rsidR="006E536B" w:rsidRPr="006E536B" w:rsidRDefault="000454A5" w:rsidP="000454A5">
            <w:pPr>
              <w:pStyle w:val="NumberedList"/>
              <w:numPr>
                <w:ilvl w:val="0"/>
                <w:numId w:val="0"/>
              </w:numPr>
            </w:pPr>
            <w:r>
              <w:t xml:space="preserve">                  </w:t>
            </w:r>
            <w:r w:rsidR="006E536B">
              <w:t xml:space="preserve">student learning </w:t>
            </w:r>
          </w:p>
        </w:tc>
      </w:tr>
      <w:tr w:rsidR="006E536B" w:rsidRPr="000F0410" w14:paraId="75BE3ABD" w14:textId="77777777" w:rsidTr="003248DC">
        <w:trPr>
          <w:jc w:val="center"/>
        </w:trPr>
        <w:tc>
          <w:tcPr>
            <w:tcW w:w="3524" w:type="dxa"/>
            <w:shd w:val="clear" w:color="auto" w:fill="auto"/>
          </w:tcPr>
          <w:p w14:paraId="7B66F9D8" w14:textId="77777777" w:rsidR="006E536B" w:rsidRDefault="000454A5" w:rsidP="003248DC">
            <w:pPr>
              <w:pStyle w:val="TableBodyLeft"/>
            </w:pPr>
            <w:r>
              <w:t xml:space="preserve">Research on professional learning communities </w:t>
            </w:r>
          </w:p>
          <w:p w14:paraId="388BC835" w14:textId="77777777" w:rsidR="006E536B" w:rsidRDefault="006E536B" w:rsidP="003248DC">
            <w:pPr>
              <w:pStyle w:val="TableBodyLeft"/>
            </w:pPr>
          </w:p>
          <w:p w14:paraId="658C7317" w14:textId="77777777" w:rsidR="006E536B" w:rsidRDefault="00956280" w:rsidP="003248DC">
            <w:pPr>
              <w:pStyle w:val="TableBodyLeft"/>
            </w:pPr>
            <w:r>
              <w:t>Staff</w:t>
            </w:r>
            <w:r w:rsidR="006E536B">
              <w:t xml:space="preserve"> knowledge and skills</w:t>
            </w:r>
          </w:p>
          <w:p w14:paraId="58283164" w14:textId="77777777" w:rsidR="000454A5" w:rsidRDefault="000454A5" w:rsidP="003248DC">
            <w:pPr>
              <w:pStyle w:val="TableBodyLeft"/>
            </w:pPr>
          </w:p>
          <w:p w14:paraId="18FBA2B8" w14:textId="77777777" w:rsidR="00956280" w:rsidRDefault="000454A5" w:rsidP="003248DC">
            <w:pPr>
              <w:pStyle w:val="TableBodyLeft"/>
            </w:pPr>
            <w:r>
              <w:t xml:space="preserve">Structured PLC meeting times </w:t>
            </w:r>
            <w:r w:rsidR="00956280">
              <w:t>(</w:t>
            </w:r>
            <w:r>
              <w:t>supplemented by</w:t>
            </w:r>
            <w:r w:rsidR="00956280">
              <w:t xml:space="preserve"> some</w:t>
            </w:r>
            <w:r>
              <w:t xml:space="preserve"> Faculty meeting time</w:t>
            </w:r>
            <w:r w:rsidR="00956280">
              <w:t>?)</w:t>
            </w:r>
          </w:p>
          <w:p w14:paraId="089E3B13" w14:textId="77777777" w:rsidR="00956280" w:rsidRDefault="00956280" w:rsidP="003248DC">
            <w:pPr>
              <w:pStyle w:val="TableBodyLeft"/>
            </w:pPr>
          </w:p>
          <w:p w14:paraId="394CED4B" w14:textId="77777777" w:rsidR="000454A5" w:rsidRDefault="00956280" w:rsidP="003248DC">
            <w:pPr>
              <w:pStyle w:val="TableBodyLeft"/>
            </w:pPr>
            <w:r>
              <w:t xml:space="preserve">Non-meeting and non-teaching times </w:t>
            </w:r>
            <w:r w:rsidR="000454A5">
              <w:t xml:space="preserve"> </w:t>
            </w:r>
          </w:p>
          <w:p w14:paraId="57382239" w14:textId="77777777" w:rsidR="000454A5" w:rsidRDefault="000454A5" w:rsidP="003248DC">
            <w:pPr>
              <w:pStyle w:val="TableBodyLeft"/>
            </w:pPr>
          </w:p>
          <w:p w14:paraId="1F85C597" w14:textId="77777777" w:rsidR="000454A5" w:rsidRDefault="000454A5" w:rsidP="003248DC">
            <w:pPr>
              <w:pStyle w:val="TableBodyLeft"/>
            </w:pPr>
            <w:r>
              <w:t xml:space="preserve"> </w:t>
            </w:r>
          </w:p>
          <w:p w14:paraId="69FA065F" w14:textId="77777777" w:rsidR="006E536B" w:rsidRPr="000F0410" w:rsidRDefault="006E536B" w:rsidP="003248DC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37D36685" w14:textId="77777777" w:rsidR="006E536B" w:rsidRDefault="006E536B" w:rsidP="003248DC">
            <w:pPr>
              <w:pStyle w:val="TableBodyLeft"/>
            </w:pPr>
            <w:r>
              <w:t xml:space="preserve">Principal </w:t>
            </w:r>
          </w:p>
          <w:p w14:paraId="4410C765" w14:textId="77777777" w:rsidR="006E536B" w:rsidRDefault="006E536B" w:rsidP="003248DC">
            <w:pPr>
              <w:pStyle w:val="TableBodyLeft"/>
            </w:pPr>
            <w:r>
              <w:t>SLB Curriculum</w:t>
            </w:r>
          </w:p>
          <w:p w14:paraId="52BE47AE" w14:textId="77777777" w:rsidR="000454A5" w:rsidRDefault="006E536B" w:rsidP="003248DC">
            <w:pPr>
              <w:pStyle w:val="TableBodyLeft"/>
            </w:pPr>
            <w:r>
              <w:t>SLB Wellbeing</w:t>
            </w:r>
          </w:p>
          <w:p w14:paraId="68D0BDD1" w14:textId="77777777" w:rsidR="000454A5" w:rsidRDefault="000454A5" w:rsidP="003248DC">
            <w:pPr>
              <w:pStyle w:val="TableBodyLeft"/>
            </w:pPr>
            <w:r>
              <w:t xml:space="preserve">Executive </w:t>
            </w:r>
            <w:r w:rsidR="001703DA">
              <w:t>team</w:t>
            </w:r>
          </w:p>
          <w:p w14:paraId="2B0EF270" w14:textId="77777777" w:rsidR="006E536B" w:rsidRPr="000F0410" w:rsidRDefault="000454A5" w:rsidP="003248DC">
            <w:pPr>
              <w:pStyle w:val="TableBodyLeft"/>
            </w:pPr>
            <w:r>
              <w:t xml:space="preserve">Classroom teachers </w:t>
            </w:r>
            <w:r w:rsidR="006E536B"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14:paraId="777781A9" w14:textId="77777777" w:rsidR="00956280" w:rsidRDefault="006E536B" w:rsidP="003248DC">
            <w:pPr>
              <w:pStyle w:val="TableBodyLeft"/>
            </w:pPr>
            <w:r>
              <w:t xml:space="preserve">Teachers will complete an </w:t>
            </w:r>
            <w:r w:rsidR="00956280">
              <w:t>inquiry</w:t>
            </w:r>
            <w:r>
              <w:t xml:space="preserve"> project which aims to</w:t>
            </w:r>
            <w:r w:rsidR="00956280">
              <w:t xml:space="preserve"> measure impact by</w:t>
            </w:r>
            <w:r>
              <w:t xml:space="preserve"> </w:t>
            </w:r>
            <w:r w:rsidR="00956280">
              <w:t>providing evidence of s</w:t>
            </w:r>
            <w:r>
              <w:t>tudent learning growth</w:t>
            </w:r>
            <w:r w:rsidR="00956280">
              <w:t>.</w:t>
            </w:r>
          </w:p>
          <w:p w14:paraId="3EB61B78" w14:textId="77777777" w:rsidR="00956280" w:rsidRDefault="00956280" w:rsidP="003248DC">
            <w:pPr>
              <w:pStyle w:val="TableBodyLeft"/>
            </w:pPr>
          </w:p>
          <w:p w14:paraId="6B4893CC" w14:textId="77777777" w:rsidR="006E536B" w:rsidRDefault="00956280" w:rsidP="003248DC">
            <w:pPr>
              <w:pStyle w:val="TableBodyLeft"/>
            </w:pPr>
            <w:r>
              <w:t>Processes:</w:t>
            </w:r>
          </w:p>
          <w:p w14:paraId="5A5AE4B5" w14:textId="77777777" w:rsidR="0081141C" w:rsidRDefault="0081141C" w:rsidP="0081141C">
            <w:pPr>
              <w:pStyle w:val="TableBodyLeft"/>
            </w:pPr>
            <w:r>
              <w:t xml:space="preserve">Defined meeting structures </w:t>
            </w:r>
          </w:p>
          <w:p w14:paraId="6C04C74C" w14:textId="77777777" w:rsidR="0081141C" w:rsidRDefault="0081141C" w:rsidP="0081141C">
            <w:pPr>
              <w:pStyle w:val="TableBodyLeft"/>
            </w:pPr>
            <w:r>
              <w:t xml:space="preserve">Reduction in amount of meetings </w:t>
            </w:r>
          </w:p>
          <w:p w14:paraId="0E5E9CC2" w14:textId="77777777" w:rsidR="0081141C" w:rsidRDefault="00956280" w:rsidP="0081141C">
            <w:pPr>
              <w:pStyle w:val="TableBodyLeft"/>
            </w:pPr>
            <w:r>
              <w:t>Changes</w:t>
            </w:r>
            <w:r w:rsidR="0081141C">
              <w:t xml:space="preserve"> to meeting processes</w:t>
            </w:r>
            <w:r>
              <w:t xml:space="preserve"> </w:t>
            </w:r>
          </w:p>
          <w:p w14:paraId="5EB0728D" w14:textId="77777777" w:rsidR="0081141C" w:rsidRDefault="0081141C" w:rsidP="0081141C">
            <w:pPr>
              <w:pStyle w:val="TableBodyLeft"/>
            </w:pPr>
          </w:p>
          <w:p w14:paraId="32276E47" w14:textId="77777777" w:rsidR="0081141C" w:rsidRDefault="0081141C" w:rsidP="0081141C">
            <w:pPr>
              <w:pStyle w:val="TableBodyLeft"/>
            </w:pPr>
            <w:r>
              <w:t>Artefacts:</w:t>
            </w:r>
          </w:p>
          <w:p w14:paraId="2DBE7894" w14:textId="77777777" w:rsidR="0081141C" w:rsidRDefault="0081141C" w:rsidP="0081141C">
            <w:pPr>
              <w:pStyle w:val="TableBodyLeft"/>
            </w:pPr>
            <w:r>
              <w:t>Meeting schedule</w:t>
            </w:r>
          </w:p>
          <w:p w14:paraId="7F2496FC" w14:textId="77777777" w:rsidR="0081141C" w:rsidRDefault="0081141C" w:rsidP="0081141C">
            <w:pPr>
              <w:pStyle w:val="TableBodyLeft"/>
            </w:pPr>
            <w:r>
              <w:t xml:space="preserve">Teacher summaries </w:t>
            </w:r>
            <w:r w:rsidR="00F92031">
              <w:t xml:space="preserve">of inquiry project </w:t>
            </w:r>
          </w:p>
          <w:p w14:paraId="39C13DDB" w14:textId="77777777" w:rsidR="00CC2EF1" w:rsidRDefault="00CC2EF1" w:rsidP="0081141C">
            <w:pPr>
              <w:pStyle w:val="TableBodyLeft"/>
            </w:pPr>
            <w:r>
              <w:lastRenderedPageBreak/>
              <w:t xml:space="preserve">Evidence of student growth </w:t>
            </w:r>
          </w:p>
          <w:p w14:paraId="456EBB39" w14:textId="0ADFD540" w:rsidR="00956280" w:rsidRPr="000F0410" w:rsidRDefault="009C45F3" w:rsidP="0081141C">
            <w:pPr>
              <w:pStyle w:val="TableBodyLeft"/>
            </w:pPr>
            <w:r>
              <w:t>Teacher Performance Development Plan (</w:t>
            </w:r>
            <w:r w:rsidR="0081141C">
              <w:t>TPDP</w:t>
            </w:r>
            <w:r>
              <w:t>)</w:t>
            </w:r>
            <w:r w:rsidR="0081141C">
              <w:t xml:space="preserve"> templates </w:t>
            </w:r>
          </w:p>
        </w:tc>
        <w:tc>
          <w:tcPr>
            <w:tcW w:w="3524" w:type="dxa"/>
            <w:shd w:val="clear" w:color="auto" w:fill="auto"/>
          </w:tcPr>
          <w:p w14:paraId="44114A2E" w14:textId="77777777" w:rsidR="00F92031" w:rsidRDefault="00F92031" w:rsidP="00F92031">
            <w:pPr>
              <w:pStyle w:val="TableBodyLeft"/>
            </w:pPr>
            <w:r>
              <w:lastRenderedPageBreak/>
              <w:t xml:space="preserve">By providing evidence of student growth </w:t>
            </w:r>
          </w:p>
          <w:p w14:paraId="6657A3B2" w14:textId="77777777" w:rsidR="00F92031" w:rsidRDefault="00F92031" w:rsidP="00F92031">
            <w:pPr>
              <w:pStyle w:val="TableBodyLeft"/>
            </w:pPr>
          </w:p>
          <w:p w14:paraId="4B2FCD76" w14:textId="77777777" w:rsidR="00F92031" w:rsidRDefault="00F92031" w:rsidP="003248DC">
            <w:pPr>
              <w:pStyle w:val="TableBodyLeft"/>
            </w:pPr>
            <w:r>
              <w:t xml:space="preserve">By identifying the impact of different teaching strategies </w:t>
            </w:r>
          </w:p>
          <w:p w14:paraId="03EA13FE" w14:textId="77777777" w:rsidR="00F92031" w:rsidRDefault="00F92031" w:rsidP="003248DC">
            <w:pPr>
              <w:pStyle w:val="TableBodyLeft"/>
            </w:pPr>
          </w:p>
          <w:p w14:paraId="460DAEDF" w14:textId="77777777" w:rsidR="006E536B" w:rsidRDefault="006E536B" w:rsidP="003248DC">
            <w:pPr>
              <w:pStyle w:val="TableBodyLeft"/>
            </w:pPr>
            <w:r>
              <w:t xml:space="preserve">By allowing greater </w:t>
            </w:r>
            <w:proofErr w:type="spellStart"/>
            <w:r>
              <w:t>personalisation</w:t>
            </w:r>
            <w:proofErr w:type="spellEnd"/>
            <w:r>
              <w:t xml:space="preserve"> of learning </w:t>
            </w:r>
            <w:r w:rsidR="00D543EE">
              <w:t xml:space="preserve">through the increased </w:t>
            </w:r>
            <w:r>
              <w:t>us</w:t>
            </w:r>
            <w:r w:rsidR="00D543EE">
              <w:t xml:space="preserve">e of </w:t>
            </w:r>
            <w:r>
              <w:t xml:space="preserve">evidence </w:t>
            </w:r>
          </w:p>
          <w:p w14:paraId="15FA7250" w14:textId="77777777" w:rsidR="006E536B" w:rsidRDefault="006E536B" w:rsidP="003248DC">
            <w:pPr>
              <w:pStyle w:val="TableBodyLeft"/>
            </w:pPr>
          </w:p>
          <w:p w14:paraId="44001D9C" w14:textId="77777777" w:rsidR="006E536B" w:rsidRDefault="006E536B" w:rsidP="003248DC">
            <w:pPr>
              <w:pStyle w:val="TableBodyLeft"/>
            </w:pPr>
          </w:p>
          <w:p w14:paraId="537CCC80" w14:textId="77777777" w:rsidR="006E536B" w:rsidRPr="000F0410" w:rsidRDefault="006E536B" w:rsidP="003248DC">
            <w:pPr>
              <w:pStyle w:val="TableBodyLeft"/>
            </w:pPr>
          </w:p>
        </w:tc>
      </w:tr>
      <w:tr w:rsidR="00837D1F" w14:paraId="4519FD91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1DE0689C" w14:textId="77777777" w:rsidR="00837D1F" w:rsidRPr="00453022" w:rsidRDefault="00837D1F" w:rsidP="00711143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453022">
              <w:rPr>
                <w:color w:val="000000" w:themeColor="text1"/>
              </w:rPr>
              <w:t xml:space="preserve">  </w:t>
            </w:r>
            <w:r w:rsidR="004121EB">
              <w:t>Develop and trial models which allow an increase in pedagogies focussing on 21</w:t>
            </w:r>
            <w:r w:rsidR="004121EB" w:rsidRPr="0010587A">
              <w:rPr>
                <w:vertAlign w:val="superscript"/>
              </w:rPr>
              <w:t>st</w:t>
            </w:r>
            <w:r w:rsidR="004121EB">
              <w:t xml:space="preserve"> Century skills and General Capabilities </w:t>
            </w:r>
          </w:p>
        </w:tc>
      </w:tr>
      <w:tr w:rsidR="00837D1F" w14:paraId="4DB7E91B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112175CD" w14:textId="77777777" w:rsidR="00837D1F" w:rsidRDefault="00614F25" w:rsidP="00837D1F">
            <w:pPr>
              <w:pStyle w:val="TableBodyLeft"/>
            </w:pPr>
            <w:r>
              <w:t xml:space="preserve">Research on </w:t>
            </w:r>
            <w:r w:rsidR="001703DA">
              <w:t xml:space="preserve">models – theory and practice </w:t>
            </w:r>
          </w:p>
          <w:p w14:paraId="4BB0EFF2" w14:textId="77777777" w:rsidR="00F1705A" w:rsidRDefault="00F1705A" w:rsidP="00837D1F">
            <w:pPr>
              <w:pStyle w:val="TableBodyLeft"/>
            </w:pPr>
          </w:p>
          <w:p w14:paraId="5DF1F2C6" w14:textId="77777777" w:rsidR="00614F25" w:rsidRDefault="001703DA" w:rsidP="00837D1F">
            <w:pPr>
              <w:pStyle w:val="TableBodyLeft"/>
            </w:pPr>
            <w:r>
              <w:t xml:space="preserve">Staff </w:t>
            </w:r>
            <w:r w:rsidR="00614F25">
              <w:t>knowledge and skills</w:t>
            </w:r>
          </w:p>
          <w:p w14:paraId="25FB8A4C" w14:textId="77777777" w:rsidR="001703DA" w:rsidRDefault="001703DA" w:rsidP="00837D1F">
            <w:pPr>
              <w:pStyle w:val="TableBodyLeft"/>
            </w:pPr>
          </w:p>
          <w:p w14:paraId="3DF53C75" w14:textId="77777777" w:rsidR="001703DA" w:rsidRDefault="001703DA" w:rsidP="00837D1F">
            <w:pPr>
              <w:pStyle w:val="TableBodyLeft"/>
            </w:pPr>
            <w:r>
              <w:t>Time for school visits</w:t>
            </w:r>
          </w:p>
          <w:p w14:paraId="041D2CD9" w14:textId="77777777" w:rsidR="001703DA" w:rsidRDefault="001703DA" w:rsidP="00837D1F">
            <w:pPr>
              <w:pStyle w:val="TableBodyLeft"/>
            </w:pPr>
          </w:p>
          <w:p w14:paraId="6E4E3A39" w14:textId="77777777" w:rsidR="00CC7DC1" w:rsidRDefault="00CC7DC1" w:rsidP="00CC7DC1">
            <w:pPr>
              <w:pStyle w:val="TableBodyLeft"/>
            </w:pPr>
            <w:r>
              <w:t xml:space="preserve">Time for development of artefacts </w:t>
            </w:r>
          </w:p>
          <w:p w14:paraId="4A1CA227" w14:textId="77777777" w:rsidR="00CC7DC1" w:rsidRDefault="00CC7DC1" w:rsidP="00837D1F">
            <w:pPr>
              <w:pStyle w:val="TableBodyLeft"/>
            </w:pPr>
          </w:p>
          <w:p w14:paraId="47859F57" w14:textId="53D7A385" w:rsidR="001703DA" w:rsidRDefault="009C45F3" w:rsidP="00837D1F">
            <w:pPr>
              <w:pStyle w:val="TableBodyLeft"/>
            </w:pPr>
            <w:r>
              <w:t xml:space="preserve">Education Support </w:t>
            </w:r>
            <w:proofErr w:type="gramStart"/>
            <w:r>
              <w:t>Office</w:t>
            </w:r>
            <w:r>
              <w:t xml:space="preserve"> </w:t>
            </w:r>
            <w:r>
              <w:t xml:space="preserve"> </w:t>
            </w:r>
            <w:r w:rsidR="00614F25">
              <w:t>–</w:t>
            </w:r>
            <w:proofErr w:type="gramEnd"/>
            <w:r w:rsidR="00614F25">
              <w:t xml:space="preserve"> Pedagogy</w:t>
            </w:r>
          </w:p>
          <w:p w14:paraId="6C3E9908" w14:textId="77777777" w:rsidR="00614F25" w:rsidRDefault="00614F25" w:rsidP="00837D1F">
            <w:pPr>
              <w:pStyle w:val="TableBodyLeft"/>
            </w:pPr>
            <w:r>
              <w:t xml:space="preserve"> </w:t>
            </w:r>
          </w:p>
          <w:p w14:paraId="3881AC3C" w14:textId="77777777" w:rsidR="00614F25" w:rsidRDefault="00614F25" w:rsidP="00837D1F">
            <w:pPr>
              <w:pStyle w:val="TableBodyLeft"/>
            </w:pPr>
          </w:p>
          <w:p w14:paraId="61B95C07" w14:textId="77777777" w:rsidR="00614F25" w:rsidRPr="000F0410" w:rsidRDefault="00614F25" w:rsidP="00837D1F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1F0C5768" w14:textId="77777777" w:rsidR="001703DA" w:rsidRDefault="001703DA" w:rsidP="00837D1F">
            <w:pPr>
              <w:pStyle w:val="TableBodyLeft"/>
            </w:pPr>
            <w:r>
              <w:t xml:space="preserve">Principal </w:t>
            </w:r>
          </w:p>
          <w:p w14:paraId="3781E29C" w14:textId="77777777" w:rsidR="00837D1F" w:rsidRDefault="00614F25" w:rsidP="00837D1F">
            <w:pPr>
              <w:pStyle w:val="TableBodyLeft"/>
            </w:pPr>
            <w:r>
              <w:t xml:space="preserve">SLB Curriculum </w:t>
            </w:r>
          </w:p>
          <w:p w14:paraId="0CDF4C7F" w14:textId="77777777" w:rsidR="00614F25" w:rsidRDefault="00614F25" w:rsidP="00837D1F">
            <w:pPr>
              <w:pStyle w:val="TableBodyLeft"/>
            </w:pPr>
            <w:r>
              <w:t xml:space="preserve">SLB Wellbeing </w:t>
            </w:r>
          </w:p>
          <w:p w14:paraId="6D866519" w14:textId="77777777" w:rsidR="006E12E7" w:rsidRDefault="00AB36BF" w:rsidP="00837D1F">
            <w:pPr>
              <w:pStyle w:val="TableBodyLeft"/>
            </w:pPr>
            <w:r>
              <w:t xml:space="preserve">Executive </w:t>
            </w:r>
            <w:r w:rsidR="006E12E7">
              <w:t>t</w:t>
            </w:r>
            <w:r>
              <w:t xml:space="preserve">eam </w:t>
            </w:r>
          </w:p>
          <w:p w14:paraId="57E15C6D" w14:textId="77777777" w:rsidR="001703DA" w:rsidRPr="000F0410" w:rsidRDefault="001703DA" w:rsidP="00837D1F">
            <w:pPr>
              <w:pStyle w:val="TableBodyLeft"/>
            </w:pPr>
            <w:r>
              <w:t xml:space="preserve">Classroom teachers </w:t>
            </w:r>
          </w:p>
        </w:tc>
        <w:tc>
          <w:tcPr>
            <w:tcW w:w="3524" w:type="dxa"/>
            <w:shd w:val="clear" w:color="auto" w:fill="auto"/>
          </w:tcPr>
          <w:p w14:paraId="7BA3B49C" w14:textId="77777777" w:rsidR="00E87FCB" w:rsidRDefault="00E87FCB" w:rsidP="00837D1F">
            <w:pPr>
              <w:pStyle w:val="TableBodyLeft"/>
            </w:pPr>
            <w:r>
              <w:t>Processes:</w:t>
            </w:r>
          </w:p>
          <w:p w14:paraId="5254BDE8" w14:textId="77777777" w:rsidR="000C1624" w:rsidRDefault="009E7481" w:rsidP="000C1624">
            <w:pPr>
              <w:pStyle w:val="TableBodyLeft"/>
            </w:pPr>
            <w:r>
              <w:t xml:space="preserve">Increased range of flexible and innovative pedagogies being used by teachers  </w:t>
            </w:r>
          </w:p>
          <w:p w14:paraId="1806433A" w14:textId="77777777" w:rsidR="000C1624" w:rsidRDefault="000C1624" w:rsidP="000C1624">
            <w:pPr>
              <w:pStyle w:val="TableBodyLeft"/>
            </w:pPr>
            <w:r>
              <w:t>Increased focus on 21</w:t>
            </w:r>
            <w:r w:rsidRPr="0010587A">
              <w:rPr>
                <w:vertAlign w:val="superscript"/>
              </w:rPr>
              <w:t>st</w:t>
            </w:r>
            <w:r>
              <w:t xml:space="preserve"> Century skills and General Capabilities</w:t>
            </w:r>
          </w:p>
          <w:p w14:paraId="434DC8A9" w14:textId="77777777" w:rsidR="00E87FCB" w:rsidRDefault="00E87FCB" w:rsidP="00837D1F">
            <w:pPr>
              <w:pStyle w:val="TableBodyLeft"/>
            </w:pPr>
          </w:p>
          <w:p w14:paraId="1A17C4E7" w14:textId="77777777" w:rsidR="00F1705A" w:rsidRDefault="00E87FCB" w:rsidP="00837D1F">
            <w:pPr>
              <w:pStyle w:val="TableBodyLeft"/>
            </w:pPr>
            <w:r>
              <w:t>Artefacts:</w:t>
            </w:r>
            <w:r w:rsidR="00614F25">
              <w:t xml:space="preserve"> </w:t>
            </w:r>
          </w:p>
          <w:p w14:paraId="1CE98CAA" w14:textId="77777777" w:rsidR="009E7481" w:rsidRDefault="009E7481" w:rsidP="009E7481">
            <w:pPr>
              <w:pStyle w:val="TableBodyLeft"/>
            </w:pPr>
            <w:r>
              <w:t xml:space="preserve">Comparative analysis of proposed models </w:t>
            </w:r>
          </w:p>
          <w:p w14:paraId="46C618D2" w14:textId="77777777" w:rsidR="00F1705A" w:rsidRDefault="00614F25" w:rsidP="00837D1F">
            <w:pPr>
              <w:pStyle w:val="TableBodyLeft"/>
            </w:pPr>
            <w:r>
              <w:t xml:space="preserve">Documented outcomes of consultations with school community </w:t>
            </w:r>
          </w:p>
          <w:p w14:paraId="38B2F992" w14:textId="77777777" w:rsidR="00614F25" w:rsidRPr="000F0410" w:rsidRDefault="00614F25" w:rsidP="00837D1F">
            <w:pPr>
              <w:pStyle w:val="TableBodyLeft"/>
            </w:pPr>
            <w:r>
              <w:t>Outcomes of trials</w:t>
            </w:r>
            <w:r w:rsidR="001703DA"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14:paraId="451D223E" w14:textId="77777777" w:rsidR="000C1624" w:rsidRDefault="00E16E59" w:rsidP="00837D1F">
            <w:pPr>
              <w:pStyle w:val="TableBodyLeft"/>
            </w:pPr>
            <w:r>
              <w:t>S</w:t>
            </w:r>
            <w:r w:rsidR="008A30F5">
              <w:t>tudents develop s</w:t>
            </w:r>
            <w:r>
              <w:t>kills for a</w:t>
            </w:r>
            <w:r w:rsidR="000C1624">
              <w:t xml:space="preserve">ctive lifelong learning to allow </w:t>
            </w:r>
            <w:r w:rsidR="00883B48">
              <w:t>them</w:t>
            </w:r>
            <w:r w:rsidR="000C1624">
              <w:t xml:space="preserve"> to be successful me</w:t>
            </w:r>
            <w:r>
              <w:t>mbers of society</w:t>
            </w:r>
            <w:r w:rsidR="000C1624">
              <w:t xml:space="preserve"> </w:t>
            </w:r>
          </w:p>
          <w:p w14:paraId="09B773F3" w14:textId="77777777" w:rsidR="000C1624" w:rsidRDefault="000C1624" w:rsidP="00837D1F">
            <w:pPr>
              <w:pStyle w:val="TableBodyLeft"/>
            </w:pPr>
          </w:p>
          <w:p w14:paraId="5DE7F96F" w14:textId="77777777" w:rsidR="00F1705A" w:rsidRDefault="000C1624" w:rsidP="00837D1F">
            <w:pPr>
              <w:pStyle w:val="TableBodyLeft"/>
            </w:pPr>
            <w:r>
              <w:t>Increased student engagement and ownership of the learning process</w:t>
            </w:r>
          </w:p>
          <w:p w14:paraId="2758EE18" w14:textId="77777777" w:rsidR="000C1624" w:rsidRDefault="000C1624" w:rsidP="00837D1F">
            <w:pPr>
              <w:pStyle w:val="TableBodyLeft"/>
            </w:pPr>
          </w:p>
          <w:p w14:paraId="19B2CF3C" w14:textId="77777777" w:rsidR="00F721DF" w:rsidRDefault="00F1705A" w:rsidP="00837D1F">
            <w:pPr>
              <w:pStyle w:val="TableBodyLeft"/>
            </w:pPr>
            <w:r>
              <w:t>Greater</w:t>
            </w:r>
            <w:r w:rsidR="00A220B7">
              <w:t xml:space="preserve"> student voice</w:t>
            </w:r>
            <w:r w:rsidR="000C1624">
              <w:t xml:space="preserve"> </w:t>
            </w:r>
            <w:r>
              <w:t xml:space="preserve">and reflection on learning </w:t>
            </w:r>
            <w:r w:rsidR="00F721DF">
              <w:t xml:space="preserve"> </w:t>
            </w:r>
          </w:p>
          <w:p w14:paraId="7BC4F354" w14:textId="77777777" w:rsidR="00F721DF" w:rsidRPr="000F0410" w:rsidRDefault="00F721DF" w:rsidP="00F721DF">
            <w:pPr>
              <w:pStyle w:val="NumberedList"/>
              <w:numPr>
                <w:ilvl w:val="0"/>
                <w:numId w:val="0"/>
              </w:numPr>
              <w:ind w:left="357" w:hanging="357"/>
            </w:pPr>
          </w:p>
        </w:tc>
      </w:tr>
      <w:tr w:rsidR="00837D1F" w14:paraId="423A58E8" w14:textId="77777777" w:rsidTr="004F051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237699EF" w14:textId="77777777" w:rsidR="00711143" w:rsidRDefault="00837D1F" w:rsidP="00711143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453022">
              <w:rPr>
                <w:color w:val="000000" w:themeColor="text1"/>
              </w:rPr>
              <w:t xml:space="preserve">  </w:t>
            </w:r>
            <w:r w:rsidR="00711143">
              <w:t>Develop and trial methodologies for providing evidence</w:t>
            </w:r>
            <w:r w:rsidR="00556195">
              <w:t xml:space="preserve"> of</w:t>
            </w:r>
            <w:r w:rsidR="00711143">
              <w:t xml:space="preserve"> and assessing 21</w:t>
            </w:r>
            <w:r w:rsidR="00711143" w:rsidRPr="0010587A">
              <w:rPr>
                <w:vertAlign w:val="superscript"/>
              </w:rPr>
              <w:t>st</w:t>
            </w:r>
            <w:r w:rsidR="00711143">
              <w:t xml:space="preserve"> Century skills and General Capabilities which incorporate student</w:t>
            </w:r>
          </w:p>
          <w:p w14:paraId="17FC3999" w14:textId="77777777" w:rsidR="00837D1F" w:rsidRPr="00453022" w:rsidRDefault="00711143" w:rsidP="00711143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>
              <w:rPr>
                <w:b/>
                <w:color w:val="000000" w:themeColor="text1"/>
              </w:rPr>
              <w:t xml:space="preserve">               </w:t>
            </w:r>
            <w:r>
              <w:t xml:space="preserve">   reflection on learning</w:t>
            </w:r>
          </w:p>
        </w:tc>
      </w:tr>
      <w:tr w:rsidR="007605CC" w:rsidRPr="000F0410" w14:paraId="3417E8E7" w14:textId="77777777" w:rsidTr="004F0515">
        <w:trPr>
          <w:jc w:val="center"/>
        </w:trPr>
        <w:tc>
          <w:tcPr>
            <w:tcW w:w="3524" w:type="dxa"/>
            <w:shd w:val="clear" w:color="auto" w:fill="auto"/>
          </w:tcPr>
          <w:p w14:paraId="53718A35" w14:textId="77777777" w:rsidR="00A220B7" w:rsidRDefault="007605CC" w:rsidP="007605CC">
            <w:pPr>
              <w:pStyle w:val="TableBodyLeft"/>
            </w:pPr>
            <w:r>
              <w:t xml:space="preserve">Research </w:t>
            </w:r>
            <w:r w:rsidR="00A220B7">
              <w:t xml:space="preserve">current practice </w:t>
            </w:r>
          </w:p>
          <w:p w14:paraId="45CFE97F" w14:textId="77777777" w:rsidR="007605CC" w:rsidRDefault="00A220B7" w:rsidP="007605CC">
            <w:pPr>
              <w:pStyle w:val="TableBodyLeft"/>
            </w:pPr>
            <w:r>
              <w:t>(tools, apps,</w:t>
            </w:r>
            <w:r w:rsidR="001672FB">
              <w:t xml:space="preserve"> </w:t>
            </w:r>
            <w:r w:rsidR="007605CC">
              <w:t>portfolio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543D8999" w14:textId="77777777" w:rsidR="007605CC" w:rsidRDefault="007605CC" w:rsidP="007605CC">
            <w:pPr>
              <w:pStyle w:val="TableBodyLeft"/>
            </w:pPr>
          </w:p>
          <w:p w14:paraId="57D491F7" w14:textId="77777777" w:rsidR="007605CC" w:rsidRDefault="00A220B7" w:rsidP="007605CC">
            <w:pPr>
              <w:pStyle w:val="TableBodyLeft"/>
            </w:pPr>
            <w:r>
              <w:t>Staff</w:t>
            </w:r>
            <w:r w:rsidR="007605CC">
              <w:t xml:space="preserve"> knowledge and skills</w:t>
            </w:r>
          </w:p>
          <w:p w14:paraId="10F09357" w14:textId="77777777" w:rsidR="007605CC" w:rsidRDefault="007605CC" w:rsidP="007605CC">
            <w:pPr>
              <w:pStyle w:val="TableBodyLeft"/>
            </w:pPr>
          </w:p>
          <w:p w14:paraId="78512594" w14:textId="734B5736" w:rsidR="00A220B7" w:rsidRDefault="00A220B7" w:rsidP="00A220B7">
            <w:pPr>
              <w:pStyle w:val="TableBodyLeft"/>
            </w:pPr>
            <w:r>
              <w:t>Time for school visits</w:t>
            </w:r>
            <w:r w:rsidR="009C45F3">
              <w:t xml:space="preserve"> to explore existing successful models </w:t>
            </w:r>
          </w:p>
          <w:p w14:paraId="5C1B88B6" w14:textId="77777777" w:rsidR="00A220B7" w:rsidRDefault="00A220B7" w:rsidP="007605CC">
            <w:pPr>
              <w:pStyle w:val="TableBodyLeft"/>
            </w:pPr>
          </w:p>
          <w:p w14:paraId="2758A854" w14:textId="77777777" w:rsidR="00A220B7" w:rsidRDefault="00A220B7" w:rsidP="007605CC">
            <w:pPr>
              <w:pStyle w:val="TableBodyLeft"/>
            </w:pPr>
            <w:r>
              <w:t xml:space="preserve">Time for development of artefacts </w:t>
            </w:r>
          </w:p>
          <w:p w14:paraId="0F3E5BCF" w14:textId="77777777" w:rsidR="00A220B7" w:rsidRDefault="00A220B7" w:rsidP="007605CC">
            <w:pPr>
              <w:pStyle w:val="TableBodyLeft"/>
            </w:pPr>
          </w:p>
          <w:p w14:paraId="6654DE00" w14:textId="7F4AD13F" w:rsidR="007605CC" w:rsidRDefault="009C45F3" w:rsidP="007605CC">
            <w:pPr>
              <w:pStyle w:val="TableBodyLeft"/>
            </w:pPr>
            <w:r>
              <w:t xml:space="preserve">Education Support Office </w:t>
            </w:r>
            <w:r w:rsidR="007605CC">
              <w:t xml:space="preserve">– Pedagogy </w:t>
            </w:r>
          </w:p>
          <w:p w14:paraId="60D5A2FB" w14:textId="77777777" w:rsidR="007605CC" w:rsidRPr="000F0410" w:rsidRDefault="007605CC" w:rsidP="007605CC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7EDA501F" w14:textId="77777777" w:rsidR="00E4302D" w:rsidRDefault="00E4302D" w:rsidP="00E4302D">
            <w:pPr>
              <w:pStyle w:val="TableBodyLeft"/>
            </w:pPr>
            <w:r>
              <w:lastRenderedPageBreak/>
              <w:t xml:space="preserve">SLB Curriculum </w:t>
            </w:r>
          </w:p>
          <w:p w14:paraId="1840A668" w14:textId="77777777" w:rsidR="00E4302D" w:rsidRDefault="00E4302D" w:rsidP="00E4302D">
            <w:pPr>
              <w:pStyle w:val="TableBodyLeft"/>
            </w:pPr>
            <w:r>
              <w:t xml:space="preserve">SLB Wellbeing </w:t>
            </w:r>
          </w:p>
          <w:p w14:paraId="033CA20D" w14:textId="77777777" w:rsidR="00E4302D" w:rsidRDefault="00E4302D" w:rsidP="00E4302D">
            <w:pPr>
              <w:pStyle w:val="TableBodyLeft"/>
            </w:pPr>
            <w:r>
              <w:t xml:space="preserve">Executive team </w:t>
            </w:r>
          </w:p>
          <w:p w14:paraId="48217E06" w14:textId="77777777" w:rsidR="006E12E7" w:rsidRPr="000F0410" w:rsidRDefault="00E4302D" w:rsidP="00E4302D">
            <w:pPr>
              <w:pStyle w:val="TableBodyLeft"/>
            </w:pPr>
            <w:r>
              <w:t>Classroom teachers</w:t>
            </w:r>
          </w:p>
        </w:tc>
        <w:tc>
          <w:tcPr>
            <w:tcW w:w="3524" w:type="dxa"/>
            <w:shd w:val="clear" w:color="auto" w:fill="auto"/>
          </w:tcPr>
          <w:p w14:paraId="47EC99F4" w14:textId="77777777" w:rsidR="003E2DE1" w:rsidRDefault="003E2DE1" w:rsidP="003E2DE1">
            <w:pPr>
              <w:pStyle w:val="TableBodyLeft"/>
            </w:pPr>
            <w:r>
              <w:t>Processes:</w:t>
            </w:r>
          </w:p>
          <w:p w14:paraId="5ADAF417" w14:textId="77777777" w:rsidR="003E2DE1" w:rsidRDefault="00343F94" w:rsidP="003E2DE1">
            <w:pPr>
              <w:pStyle w:val="TableBodyLeft"/>
            </w:pPr>
            <w:r>
              <w:t>Teacher using evidence to assess 21</w:t>
            </w:r>
            <w:r w:rsidRPr="0010587A">
              <w:rPr>
                <w:vertAlign w:val="superscript"/>
              </w:rPr>
              <w:t>st</w:t>
            </w:r>
            <w:r>
              <w:t xml:space="preserve"> Century skills and General Capabilities</w:t>
            </w:r>
          </w:p>
          <w:p w14:paraId="1CD2F704" w14:textId="77777777" w:rsidR="00E6364C" w:rsidRDefault="00E6364C" w:rsidP="003E2DE1">
            <w:pPr>
              <w:pStyle w:val="TableBodyLeft"/>
            </w:pPr>
          </w:p>
          <w:p w14:paraId="645B1411" w14:textId="77777777" w:rsidR="00343F94" w:rsidRDefault="00343F94" w:rsidP="003E2DE1">
            <w:pPr>
              <w:pStyle w:val="TableBodyLeft"/>
            </w:pPr>
            <w:r>
              <w:t>Increased student self and peer assessment of 21</w:t>
            </w:r>
            <w:r w:rsidRPr="0010587A">
              <w:rPr>
                <w:vertAlign w:val="superscript"/>
              </w:rPr>
              <w:t>st</w:t>
            </w:r>
            <w:r>
              <w:t xml:space="preserve"> Century skills and General Capabilities</w:t>
            </w:r>
          </w:p>
          <w:p w14:paraId="151DB22F" w14:textId="77777777" w:rsidR="00343F94" w:rsidRDefault="00343F94" w:rsidP="003E2DE1">
            <w:pPr>
              <w:pStyle w:val="TableBodyLeft"/>
            </w:pPr>
          </w:p>
          <w:p w14:paraId="2F497F08" w14:textId="77777777" w:rsidR="003E2DE1" w:rsidRDefault="003E2DE1" w:rsidP="003E2DE1">
            <w:pPr>
              <w:pStyle w:val="TableBodyLeft"/>
            </w:pPr>
            <w:r>
              <w:t xml:space="preserve">Artefacts: </w:t>
            </w:r>
          </w:p>
          <w:p w14:paraId="319B1419" w14:textId="77777777" w:rsidR="003E2DE1" w:rsidRDefault="003E2DE1" w:rsidP="007605CC">
            <w:pPr>
              <w:pStyle w:val="TableBodyLeft"/>
            </w:pPr>
            <w:r>
              <w:lastRenderedPageBreak/>
              <w:t>Documented evaluation of evidence</w:t>
            </w:r>
            <w:r w:rsidR="008163F5">
              <w:t xml:space="preserve"> gathering</w:t>
            </w:r>
            <w:r>
              <w:t xml:space="preserve"> methods </w:t>
            </w:r>
          </w:p>
          <w:p w14:paraId="255ED3C8" w14:textId="77777777" w:rsidR="007605CC" w:rsidRPr="000F0410" w:rsidRDefault="003E2DE1" w:rsidP="007605CC">
            <w:pPr>
              <w:pStyle w:val="TableBodyLeft"/>
            </w:pPr>
            <w:r>
              <w:t xml:space="preserve">Outcomes of trials </w:t>
            </w:r>
          </w:p>
        </w:tc>
        <w:tc>
          <w:tcPr>
            <w:tcW w:w="3524" w:type="dxa"/>
            <w:shd w:val="clear" w:color="auto" w:fill="auto"/>
          </w:tcPr>
          <w:p w14:paraId="41EF6B2F" w14:textId="77777777" w:rsidR="007605CC" w:rsidRDefault="007605CC" w:rsidP="007605CC">
            <w:pPr>
              <w:pStyle w:val="TableBodyLeft"/>
            </w:pPr>
            <w:r>
              <w:lastRenderedPageBreak/>
              <w:t>Increased focus on 21</w:t>
            </w:r>
            <w:r w:rsidRPr="0010587A">
              <w:rPr>
                <w:vertAlign w:val="superscript"/>
              </w:rPr>
              <w:t>st</w:t>
            </w:r>
            <w:r>
              <w:t xml:space="preserve"> Century skills and General Capabilities</w:t>
            </w:r>
          </w:p>
          <w:p w14:paraId="18EFC783" w14:textId="77777777" w:rsidR="007605CC" w:rsidRDefault="007605CC" w:rsidP="007605CC">
            <w:pPr>
              <w:pStyle w:val="TableBodyLeft"/>
            </w:pPr>
          </w:p>
          <w:p w14:paraId="41C5B379" w14:textId="77777777" w:rsidR="007605CC" w:rsidRDefault="007605CC" w:rsidP="007605CC">
            <w:pPr>
              <w:pStyle w:val="TableBodyLeft"/>
            </w:pPr>
            <w:r>
              <w:t xml:space="preserve">Greater student voice, ownership and reflection on learning  </w:t>
            </w:r>
          </w:p>
          <w:p w14:paraId="5882FC5A" w14:textId="77777777" w:rsidR="007605CC" w:rsidRPr="000F0410" w:rsidRDefault="007605CC" w:rsidP="007605CC">
            <w:pPr>
              <w:pStyle w:val="NumberedList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44EC874" w14:textId="77777777" w:rsidR="006F350C" w:rsidRPr="000F0410" w:rsidRDefault="006F350C" w:rsidP="000F0410">
      <w:pPr>
        <w:pStyle w:val="BodyText"/>
        <w:sectPr w:rsidR="006F350C" w:rsidRPr="000F0410" w:rsidSect="004C0FD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6CB826" w14:textId="77777777" w:rsidR="002F7006" w:rsidRDefault="00155F05" w:rsidP="002F7006">
      <w:pPr>
        <w:pStyle w:val="Heading2"/>
      </w:pPr>
      <w:r w:rsidRPr="000F0410">
        <w:lastRenderedPageBreak/>
        <w:t xml:space="preserve">Priority </w:t>
      </w:r>
      <w:r w:rsidR="00DC2AD7">
        <w:t>2</w:t>
      </w:r>
      <w:r w:rsidRPr="000F0410">
        <w:t>:</w:t>
      </w:r>
      <w:r w:rsidRPr="000F0410">
        <w:rPr>
          <w:color w:val="auto"/>
        </w:rPr>
        <w:tab/>
      </w:r>
      <w:r w:rsidR="002F7006" w:rsidRPr="002F7006">
        <w:rPr>
          <w:color w:val="1F3864" w:themeColor="accent5" w:themeShade="80"/>
          <w:szCs w:val="24"/>
        </w:rPr>
        <w:t>Equipping students to be successful members of our community</w:t>
      </w:r>
      <w:r w:rsidR="002F7006" w:rsidRPr="002F7006">
        <w:rPr>
          <w:color w:val="1F3864" w:themeColor="accent5" w:themeShade="80"/>
        </w:rPr>
        <w:t xml:space="preserve"> </w:t>
      </w:r>
    </w:p>
    <w:p w14:paraId="3EE15183" w14:textId="77777777" w:rsidR="002F7006" w:rsidRDefault="002F7006" w:rsidP="002F7006">
      <w:pPr>
        <w:pStyle w:val="Heading2"/>
      </w:pPr>
    </w:p>
    <w:p w14:paraId="6500E1E8" w14:textId="77777777" w:rsidR="00155F05" w:rsidRDefault="00155F05" w:rsidP="002F7006">
      <w:pPr>
        <w:pStyle w:val="Heading2"/>
      </w:pPr>
      <w:r>
        <w:t>Strategies</w:t>
      </w:r>
    </w:p>
    <w:p w14:paraId="6DE780E2" w14:textId="77777777" w:rsidR="003625A6" w:rsidRDefault="007C7A8C" w:rsidP="00155F05">
      <w:pPr>
        <w:pStyle w:val="NumberedList"/>
      </w:pPr>
      <w:r>
        <w:t>Establish a r</w:t>
      </w:r>
      <w:r w:rsidR="003625A6">
        <w:t>esearch partnership to investigate indicators of student wellbeing contained in School Climate and Satisfaction Surveys</w:t>
      </w:r>
    </w:p>
    <w:p w14:paraId="654844C0" w14:textId="77777777" w:rsidR="00155F05" w:rsidRPr="000F0410" w:rsidRDefault="003625A6" w:rsidP="00155F05">
      <w:pPr>
        <w:pStyle w:val="NumberedList"/>
      </w:pPr>
      <w:r>
        <w:t>Review</w:t>
      </w:r>
      <w:r w:rsidR="007C7A8C">
        <w:t xml:space="preserve"> of</w:t>
      </w:r>
      <w:r>
        <w:t xml:space="preserve"> Student Wellbeing structures and policies </w:t>
      </w:r>
    </w:p>
    <w:p w14:paraId="20827443" w14:textId="77777777" w:rsidR="007F572A" w:rsidRDefault="00560A45" w:rsidP="00155F05">
      <w:pPr>
        <w:pStyle w:val="NumberedList"/>
      </w:pPr>
      <w:r>
        <w:t>Develop tier 3 strategy and program in preparation for 2020</w:t>
      </w:r>
    </w:p>
    <w:p w14:paraId="47B2E124" w14:textId="77777777" w:rsidR="00560A45" w:rsidRPr="000F0410" w:rsidRDefault="007F572A" w:rsidP="00155F05">
      <w:pPr>
        <w:pStyle w:val="NumberedList"/>
      </w:pPr>
      <w:r>
        <w:t xml:space="preserve">Increase opportunities for student voice in school improvement planning processes  </w:t>
      </w:r>
      <w:r w:rsidR="00560A45">
        <w:t xml:space="preserve">  </w:t>
      </w:r>
    </w:p>
    <w:p w14:paraId="347401C3" w14:textId="77777777" w:rsidR="00155F05" w:rsidRPr="000F0410" w:rsidRDefault="00155F05" w:rsidP="003625A6">
      <w:pPr>
        <w:pStyle w:val="NumberedList"/>
        <w:numPr>
          <w:ilvl w:val="0"/>
          <w:numId w:val="0"/>
        </w:numPr>
      </w:pPr>
    </w:p>
    <w:p w14:paraId="61746DF4" w14:textId="77777777" w:rsidR="00155F05" w:rsidRDefault="00155F05" w:rsidP="00155F05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155F05" w14:paraId="2D3F1E3E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4AAB1ADB" w14:textId="77777777" w:rsidR="00155F05" w:rsidRPr="00882120" w:rsidRDefault="00155F05" w:rsidP="00EA1296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21322F02" w14:textId="77777777" w:rsidR="00155F05" w:rsidRPr="00882120" w:rsidRDefault="00155F05" w:rsidP="00EA1296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1D422556" w14:textId="77777777" w:rsidR="00155F05" w:rsidRPr="00247B71" w:rsidRDefault="00155F05" w:rsidP="00EA1296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0D9F2445" w14:textId="77777777" w:rsidR="00155F05" w:rsidRPr="002E73E5" w:rsidRDefault="00155F05" w:rsidP="00EA1296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55F05" w14:paraId="7A82CDB3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2BA52B81" w14:textId="77777777" w:rsidR="00155F05" w:rsidRPr="008D170C" w:rsidRDefault="00155F05" w:rsidP="000B4189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4B66E5">
              <w:rPr>
                <w:color w:val="000000" w:themeColor="text1"/>
              </w:rPr>
              <w:t xml:space="preserve">  </w:t>
            </w:r>
            <w:r w:rsidR="008D170C">
              <w:t>Establish a research partnership to investigate indicators of student wellbeing contained in School Climate and Satisfaction Surveys</w:t>
            </w:r>
          </w:p>
        </w:tc>
      </w:tr>
      <w:tr w:rsidR="00155F05" w14:paraId="3097D7E1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071A4411" w14:textId="77777777" w:rsidR="008D170C" w:rsidRDefault="0056301A" w:rsidP="00EA1296">
            <w:pPr>
              <w:pStyle w:val="TableBodyLeft"/>
            </w:pPr>
            <w:r>
              <w:t>Research partner</w:t>
            </w:r>
          </w:p>
          <w:p w14:paraId="15B1F35B" w14:textId="77777777" w:rsidR="008D170C" w:rsidRDefault="008D170C" w:rsidP="00EA1296">
            <w:pPr>
              <w:pStyle w:val="TableBodyLeft"/>
            </w:pPr>
          </w:p>
          <w:p w14:paraId="66D19FDB" w14:textId="634AF1CB" w:rsidR="008D170C" w:rsidRDefault="009C45F3" w:rsidP="00EA1296">
            <w:pPr>
              <w:pStyle w:val="TableBodyLeft"/>
            </w:pPr>
            <w:r>
              <w:t>Education Support Office</w:t>
            </w:r>
            <w:r w:rsidR="008D170C">
              <w:t xml:space="preserve"> partner</w:t>
            </w:r>
          </w:p>
          <w:p w14:paraId="12EE7E6F" w14:textId="77777777" w:rsidR="008D170C" w:rsidRDefault="008D170C" w:rsidP="00EA1296">
            <w:pPr>
              <w:pStyle w:val="TableBodyLeft"/>
            </w:pPr>
          </w:p>
          <w:p w14:paraId="6275350D" w14:textId="77777777" w:rsidR="008D170C" w:rsidRPr="000F0410" w:rsidRDefault="008D170C" w:rsidP="00EA1296">
            <w:pPr>
              <w:pStyle w:val="TableBodyLeft"/>
            </w:pPr>
            <w:r>
              <w:t xml:space="preserve">Time to establish partnerships </w:t>
            </w:r>
          </w:p>
        </w:tc>
        <w:tc>
          <w:tcPr>
            <w:tcW w:w="3524" w:type="dxa"/>
            <w:shd w:val="clear" w:color="auto" w:fill="auto"/>
          </w:tcPr>
          <w:p w14:paraId="45810D90" w14:textId="77777777" w:rsidR="00155F05" w:rsidRDefault="0056301A" w:rsidP="00EA1296">
            <w:pPr>
              <w:pStyle w:val="TableBodyLeft"/>
            </w:pPr>
            <w:r>
              <w:t>SLB Wellbeing</w:t>
            </w:r>
          </w:p>
          <w:p w14:paraId="02F21EFD" w14:textId="77777777" w:rsidR="008D170C" w:rsidRDefault="0056301A" w:rsidP="00EA1296">
            <w:pPr>
              <w:pStyle w:val="TableBodyLeft"/>
            </w:pPr>
            <w:r>
              <w:t>SLC Wellbeing</w:t>
            </w:r>
          </w:p>
          <w:p w14:paraId="1D9B82F0" w14:textId="77777777" w:rsidR="008D170C" w:rsidRDefault="008D170C" w:rsidP="00EA1296">
            <w:pPr>
              <w:pStyle w:val="TableBodyLeft"/>
            </w:pPr>
            <w:r>
              <w:t xml:space="preserve">Executive team </w:t>
            </w:r>
          </w:p>
          <w:p w14:paraId="71FAFF6A" w14:textId="77777777" w:rsidR="008D170C" w:rsidRDefault="008D170C" w:rsidP="00EA1296">
            <w:pPr>
              <w:pStyle w:val="TableBodyLeft"/>
            </w:pPr>
            <w:r>
              <w:t xml:space="preserve">Wellbeing team </w:t>
            </w:r>
          </w:p>
          <w:p w14:paraId="45256843" w14:textId="77777777" w:rsidR="0056301A" w:rsidRPr="000F0410" w:rsidRDefault="008D170C" w:rsidP="00EA1296">
            <w:pPr>
              <w:pStyle w:val="TableBodyLeft"/>
            </w:pPr>
            <w:r>
              <w:t xml:space="preserve">Classroom teachers </w:t>
            </w:r>
            <w:r w:rsidR="0056301A"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14:paraId="471DBBC4" w14:textId="77777777" w:rsidR="005A6997" w:rsidRDefault="000B4189" w:rsidP="000B4189">
            <w:pPr>
              <w:pStyle w:val="TableBodyLeft"/>
            </w:pPr>
            <w:r>
              <w:t>Processes:</w:t>
            </w:r>
          </w:p>
          <w:p w14:paraId="5AB9177B" w14:textId="77777777" w:rsidR="00872A70" w:rsidRDefault="00872A70" w:rsidP="000B4189">
            <w:pPr>
              <w:pStyle w:val="TableBodyLeft"/>
            </w:pPr>
            <w:r>
              <w:t>TBC</w:t>
            </w:r>
          </w:p>
          <w:p w14:paraId="09C6BC41" w14:textId="77777777" w:rsidR="00914F5B" w:rsidRDefault="00914F5B" w:rsidP="000B4189">
            <w:pPr>
              <w:pStyle w:val="TableBodyLeft"/>
            </w:pPr>
          </w:p>
          <w:p w14:paraId="2830B2AD" w14:textId="77777777" w:rsidR="000B4189" w:rsidRDefault="000B4189" w:rsidP="000B4189">
            <w:pPr>
              <w:pStyle w:val="TableBodyLeft"/>
            </w:pPr>
            <w:r>
              <w:t xml:space="preserve">Artefacts: </w:t>
            </w:r>
          </w:p>
          <w:p w14:paraId="6F435F00" w14:textId="77777777" w:rsidR="000B4189" w:rsidRDefault="005A6997" w:rsidP="000B4189">
            <w:pPr>
              <w:pStyle w:val="TableBodyLeft"/>
            </w:pPr>
            <w:r>
              <w:t xml:space="preserve">Research proposal including data collection methods </w:t>
            </w:r>
          </w:p>
          <w:p w14:paraId="06A08022" w14:textId="77777777" w:rsidR="00155F05" w:rsidRPr="000F0410" w:rsidRDefault="00155F05" w:rsidP="000B4189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56605903" w14:textId="77777777" w:rsidR="00155F05" w:rsidRDefault="005A6997" w:rsidP="00EA1296">
            <w:pPr>
              <w:pStyle w:val="TableBodyLeft"/>
            </w:pPr>
            <w:r>
              <w:t>Deliberate strategies to foster s</w:t>
            </w:r>
            <w:r w:rsidR="0056301A">
              <w:t>trong</w:t>
            </w:r>
            <w:r>
              <w:t>er</w:t>
            </w:r>
            <w:r w:rsidR="0056301A">
              <w:t xml:space="preserve"> school identification</w:t>
            </w:r>
          </w:p>
          <w:p w14:paraId="4943BEED" w14:textId="77777777" w:rsidR="0056301A" w:rsidRDefault="0056301A" w:rsidP="00EA1296">
            <w:pPr>
              <w:pStyle w:val="TableBodyLeft"/>
            </w:pPr>
          </w:p>
          <w:p w14:paraId="47006715" w14:textId="77777777" w:rsidR="0056301A" w:rsidRDefault="0056301A" w:rsidP="00EA1296">
            <w:pPr>
              <w:pStyle w:val="TableBodyLeft"/>
            </w:pPr>
            <w:r>
              <w:t xml:space="preserve">Increase in students feeling safe, supported and listened to </w:t>
            </w:r>
          </w:p>
          <w:p w14:paraId="757F7A6D" w14:textId="77777777" w:rsidR="009B362E" w:rsidRDefault="009B362E" w:rsidP="00EA1296">
            <w:pPr>
              <w:pStyle w:val="TableBodyLeft"/>
            </w:pPr>
          </w:p>
          <w:p w14:paraId="368893B8" w14:textId="77777777" w:rsidR="009B362E" w:rsidRPr="000F0410" w:rsidRDefault="009B362E" w:rsidP="00EA1296">
            <w:pPr>
              <w:pStyle w:val="TableBodyLeft"/>
            </w:pPr>
            <w:r>
              <w:t xml:space="preserve">Increase in student reported resilience </w:t>
            </w:r>
          </w:p>
        </w:tc>
      </w:tr>
      <w:tr w:rsidR="00453022" w14:paraId="0E4A1E28" w14:textId="77777777" w:rsidTr="004F051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C41AB01" w14:textId="77777777" w:rsidR="00453022" w:rsidRPr="004B66E5" w:rsidRDefault="00453022" w:rsidP="004B66E5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="004B66E5">
              <w:rPr>
                <w:color w:val="000000" w:themeColor="text1"/>
              </w:rPr>
              <w:t xml:space="preserve">  </w:t>
            </w:r>
            <w:r w:rsidR="004B66E5">
              <w:t xml:space="preserve">Review of Student Wellbeing structures and policies </w:t>
            </w:r>
          </w:p>
        </w:tc>
      </w:tr>
      <w:tr w:rsidR="00453022" w:rsidRPr="000F0410" w14:paraId="6537E08D" w14:textId="77777777" w:rsidTr="004F0515">
        <w:trPr>
          <w:jc w:val="center"/>
        </w:trPr>
        <w:tc>
          <w:tcPr>
            <w:tcW w:w="3524" w:type="dxa"/>
            <w:shd w:val="clear" w:color="auto" w:fill="auto"/>
          </w:tcPr>
          <w:p w14:paraId="4C73A15F" w14:textId="77777777" w:rsidR="00EC248D" w:rsidRDefault="00EC248D" w:rsidP="00EC248D">
            <w:pPr>
              <w:pStyle w:val="DotPointLVL1"/>
              <w:numPr>
                <w:ilvl w:val="0"/>
                <w:numId w:val="0"/>
              </w:numPr>
            </w:pPr>
            <w:r>
              <w:t>S</w:t>
            </w:r>
            <w:r w:rsidRPr="000F0410">
              <w:t xml:space="preserve">taff knowledge </w:t>
            </w:r>
            <w:r>
              <w:t>and</w:t>
            </w:r>
            <w:r w:rsidRPr="000F0410">
              <w:t xml:space="preserve"> skills</w:t>
            </w:r>
          </w:p>
          <w:p w14:paraId="0B02A63C" w14:textId="77777777" w:rsidR="00084BDD" w:rsidRDefault="00084BDD" w:rsidP="00EC248D">
            <w:pPr>
              <w:pStyle w:val="DotPointLVL1"/>
              <w:numPr>
                <w:ilvl w:val="0"/>
                <w:numId w:val="0"/>
              </w:numPr>
            </w:pPr>
          </w:p>
          <w:p w14:paraId="7FB014C6" w14:textId="77777777" w:rsidR="00EC248D" w:rsidRDefault="00EC248D" w:rsidP="00EC248D">
            <w:pPr>
              <w:pStyle w:val="DotPointLVL1"/>
              <w:numPr>
                <w:ilvl w:val="0"/>
                <w:numId w:val="0"/>
              </w:numPr>
            </w:pPr>
            <w:r>
              <w:t xml:space="preserve">A range of data sources </w:t>
            </w:r>
          </w:p>
          <w:p w14:paraId="2119ECFD" w14:textId="77777777" w:rsidR="00084BDD" w:rsidRPr="000F0410" w:rsidRDefault="00084BDD" w:rsidP="00EC248D">
            <w:pPr>
              <w:pStyle w:val="DotPointLVL1"/>
              <w:numPr>
                <w:ilvl w:val="0"/>
                <w:numId w:val="0"/>
              </w:numPr>
            </w:pPr>
          </w:p>
          <w:p w14:paraId="7AA55F87" w14:textId="77777777" w:rsidR="00EC248D" w:rsidRDefault="00EC248D" w:rsidP="00EC248D">
            <w:pPr>
              <w:pStyle w:val="DotPointLVL1"/>
              <w:numPr>
                <w:ilvl w:val="0"/>
                <w:numId w:val="0"/>
              </w:numPr>
            </w:pPr>
            <w:r>
              <w:t xml:space="preserve">Input from school community </w:t>
            </w:r>
          </w:p>
          <w:p w14:paraId="354EB208" w14:textId="77777777" w:rsidR="00084BDD" w:rsidRDefault="00084BDD" w:rsidP="00EC248D">
            <w:pPr>
              <w:pStyle w:val="DotPointLVL1"/>
              <w:numPr>
                <w:ilvl w:val="0"/>
                <w:numId w:val="0"/>
              </w:numPr>
            </w:pPr>
          </w:p>
          <w:p w14:paraId="2710BDA4" w14:textId="77777777" w:rsidR="00EC248D" w:rsidRPr="000F0410" w:rsidRDefault="00084BDD" w:rsidP="00EC248D">
            <w:pPr>
              <w:pStyle w:val="DotPointLVL1"/>
              <w:numPr>
                <w:ilvl w:val="0"/>
                <w:numId w:val="0"/>
              </w:numPr>
            </w:pPr>
            <w:r>
              <w:t>Input</w:t>
            </w:r>
            <w:r w:rsidR="00EC248D" w:rsidRPr="000F0410">
              <w:t xml:space="preserve"> from external </w:t>
            </w:r>
            <w:r>
              <w:t xml:space="preserve">agencies </w:t>
            </w:r>
          </w:p>
          <w:p w14:paraId="48480329" w14:textId="77777777" w:rsidR="00453022" w:rsidRPr="000F0410" w:rsidRDefault="00453022" w:rsidP="004F0515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0DAE19C8" w14:textId="77777777" w:rsidR="00263BC0" w:rsidRDefault="00263BC0" w:rsidP="00263BC0">
            <w:pPr>
              <w:pStyle w:val="TableBodyLeft"/>
            </w:pPr>
            <w:r>
              <w:lastRenderedPageBreak/>
              <w:t>SLB Wellbeing</w:t>
            </w:r>
          </w:p>
          <w:p w14:paraId="6B1FD7FC" w14:textId="77777777" w:rsidR="00453022" w:rsidRPr="000F0410" w:rsidRDefault="00263BC0" w:rsidP="00263BC0">
            <w:pPr>
              <w:pStyle w:val="TableBodyLeft"/>
            </w:pPr>
            <w:r>
              <w:t>SLC Wellbeing</w:t>
            </w:r>
          </w:p>
        </w:tc>
        <w:tc>
          <w:tcPr>
            <w:tcW w:w="3524" w:type="dxa"/>
            <w:shd w:val="clear" w:color="auto" w:fill="auto"/>
          </w:tcPr>
          <w:p w14:paraId="3FADBF94" w14:textId="77777777" w:rsidR="00084BDD" w:rsidRDefault="00084BDD" w:rsidP="00084BDD">
            <w:pPr>
              <w:pStyle w:val="TableBodyLeft"/>
            </w:pPr>
            <w:r>
              <w:t>Processes:</w:t>
            </w:r>
          </w:p>
          <w:p w14:paraId="079B734D" w14:textId="77777777" w:rsidR="00084BDD" w:rsidRDefault="00084BDD" w:rsidP="00084BDD">
            <w:pPr>
              <w:pStyle w:val="TableBodyLeft"/>
            </w:pPr>
            <w:r>
              <w:t>Updated referral and communication procedures</w:t>
            </w:r>
          </w:p>
          <w:p w14:paraId="71A2FEFA" w14:textId="77777777" w:rsidR="00084BDD" w:rsidRDefault="00084BDD" w:rsidP="00084BDD">
            <w:pPr>
              <w:pStyle w:val="TableBodyLeft"/>
            </w:pPr>
            <w:r>
              <w:t xml:space="preserve">Clarification of processes for staff </w:t>
            </w:r>
          </w:p>
          <w:p w14:paraId="151CAAE5" w14:textId="77777777" w:rsidR="00084BDD" w:rsidRDefault="00084BDD" w:rsidP="00084BDD">
            <w:pPr>
              <w:pStyle w:val="TableBodyLeft"/>
            </w:pPr>
          </w:p>
          <w:p w14:paraId="07D4C03A" w14:textId="77777777" w:rsidR="00084BDD" w:rsidRDefault="00084BDD" w:rsidP="00084BDD">
            <w:pPr>
              <w:pStyle w:val="TableBodyLeft"/>
            </w:pPr>
            <w:r>
              <w:lastRenderedPageBreak/>
              <w:t xml:space="preserve">Artefacts: </w:t>
            </w:r>
          </w:p>
          <w:p w14:paraId="07DF2AEB" w14:textId="77777777" w:rsidR="00453022" w:rsidRDefault="009E7E73" w:rsidP="004F0515">
            <w:pPr>
              <w:pStyle w:val="TableBodyLeft"/>
            </w:pPr>
            <w:r>
              <w:t>Terms of reference document</w:t>
            </w:r>
            <w:r w:rsidR="00EC248D">
              <w:t xml:space="preserve"> detailing process, data sources and policies to be reviewed </w:t>
            </w:r>
            <w:r>
              <w:t xml:space="preserve"> </w:t>
            </w:r>
          </w:p>
          <w:p w14:paraId="177E358B" w14:textId="77777777" w:rsidR="009E7E73" w:rsidRDefault="009E7E73" w:rsidP="004F0515">
            <w:pPr>
              <w:pStyle w:val="TableBodyLeft"/>
            </w:pPr>
          </w:p>
          <w:p w14:paraId="5FD8C380" w14:textId="77777777" w:rsidR="009E7E73" w:rsidRDefault="009E7E73" w:rsidP="004F0515">
            <w:pPr>
              <w:pStyle w:val="TableBodyLeft"/>
            </w:pPr>
            <w:r>
              <w:t>Outcomes of review document, incorporating recommendations</w:t>
            </w:r>
          </w:p>
          <w:p w14:paraId="19D0F393" w14:textId="77777777" w:rsidR="009E7E73" w:rsidRDefault="009E7E73" w:rsidP="004F0515">
            <w:pPr>
              <w:pStyle w:val="TableBodyLeft"/>
            </w:pPr>
          </w:p>
          <w:p w14:paraId="001CFB5D" w14:textId="77777777" w:rsidR="00C51801" w:rsidRDefault="00C51801" w:rsidP="004F0515">
            <w:pPr>
              <w:pStyle w:val="TableBodyLeft"/>
            </w:pPr>
          </w:p>
          <w:p w14:paraId="72E3D1A9" w14:textId="77777777" w:rsidR="00C51801" w:rsidRDefault="00C51801" w:rsidP="004F0515">
            <w:pPr>
              <w:pStyle w:val="TableBodyLeft"/>
            </w:pPr>
          </w:p>
          <w:p w14:paraId="28EF270D" w14:textId="77777777" w:rsidR="00C51801" w:rsidRDefault="00C51801" w:rsidP="004F0515">
            <w:pPr>
              <w:pStyle w:val="TableBodyLeft"/>
            </w:pPr>
          </w:p>
          <w:p w14:paraId="79B9D9BD" w14:textId="77777777" w:rsidR="00C51801" w:rsidRDefault="00C51801" w:rsidP="004F0515">
            <w:pPr>
              <w:pStyle w:val="TableBodyLeft"/>
            </w:pPr>
          </w:p>
          <w:p w14:paraId="69E31474" w14:textId="77777777" w:rsidR="00506E11" w:rsidRPr="000F0410" w:rsidRDefault="00506E11" w:rsidP="004F0515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47949C74" w14:textId="77777777" w:rsidR="00453022" w:rsidRDefault="00263BC0" w:rsidP="004F0515">
            <w:pPr>
              <w:pStyle w:val="TableBodyLeft"/>
            </w:pPr>
            <w:r>
              <w:lastRenderedPageBreak/>
              <w:t>Allowing greater access to learning through improved wellbeing support structures and processes</w:t>
            </w:r>
          </w:p>
          <w:p w14:paraId="2B42E0B7" w14:textId="77777777" w:rsidR="00263BC0" w:rsidRDefault="00263BC0" w:rsidP="004F0515">
            <w:pPr>
              <w:pStyle w:val="TableBodyLeft"/>
            </w:pPr>
          </w:p>
          <w:p w14:paraId="3FB38666" w14:textId="77777777" w:rsidR="00263BC0" w:rsidRPr="000F0410" w:rsidRDefault="00263BC0" w:rsidP="004F0515">
            <w:pPr>
              <w:pStyle w:val="TableBodyLeft"/>
            </w:pPr>
            <w:r>
              <w:lastRenderedPageBreak/>
              <w:t xml:space="preserve">Targeted use of resources to promote equity in learning outcomes </w:t>
            </w:r>
          </w:p>
        </w:tc>
      </w:tr>
      <w:tr w:rsidR="00EA3CD8" w14:paraId="5F3814D2" w14:textId="77777777" w:rsidTr="003248DC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2BAE77D6" w14:textId="77777777" w:rsidR="00EA3CD8" w:rsidRPr="004B66E5" w:rsidRDefault="00EA3CD8" w:rsidP="003248DC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lastRenderedPageBreak/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  </w:t>
            </w:r>
            <w:r>
              <w:t>Develop tier 3 strategy and program</w:t>
            </w:r>
            <w:r w:rsidR="00D06D7A">
              <w:t xml:space="preserve"> in preparation for 2020</w:t>
            </w:r>
            <w:r>
              <w:t xml:space="preserve">  </w:t>
            </w:r>
          </w:p>
        </w:tc>
      </w:tr>
      <w:tr w:rsidR="00EA3CD8" w:rsidRPr="000F0410" w14:paraId="7B6B99A8" w14:textId="77777777" w:rsidTr="003248DC">
        <w:trPr>
          <w:jc w:val="center"/>
        </w:trPr>
        <w:tc>
          <w:tcPr>
            <w:tcW w:w="3524" w:type="dxa"/>
            <w:shd w:val="clear" w:color="auto" w:fill="auto"/>
          </w:tcPr>
          <w:p w14:paraId="0583B274" w14:textId="77777777" w:rsidR="00C07AC8" w:rsidRDefault="00C07AC8" w:rsidP="00C07AC8">
            <w:pPr>
              <w:pStyle w:val="TableBodyLeft"/>
            </w:pPr>
            <w:r>
              <w:t xml:space="preserve">Time for planning and consolation   </w:t>
            </w:r>
          </w:p>
          <w:p w14:paraId="2861D0C7" w14:textId="77777777" w:rsidR="00C07AC8" w:rsidRDefault="00C07AC8" w:rsidP="00C07AC8">
            <w:pPr>
              <w:pStyle w:val="TableBodyLeft"/>
            </w:pPr>
          </w:p>
          <w:p w14:paraId="4B932474" w14:textId="77777777" w:rsidR="00EA3CD8" w:rsidRDefault="00C07AC8" w:rsidP="00C07AC8">
            <w:pPr>
              <w:pStyle w:val="TableBodyLeft"/>
            </w:pPr>
            <w:r>
              <w:t xml:space="preserve">Research models – theory and practice </w:t>
            </w:r>
          </w:p>
          <w:p w14:paraId="66EA5EE3" w14:textId="77777777" w:rsidR="00EA3CD8" w:rsidRDefault="00EA3CD8" w:rsidP="003248DC">
            <w:pPr>
              <w:pStyle w:val="TableBodyLeft"/>
            </w:pPr>
          </w:p>
          <w:p w14:paraId="4847281F" w14:textId="340F488F" w:rsidR="006E5281" w:rsidRDefault="006E5281" w:rsidP="003248DC">
            <w:pPr>
              <w:pStyle w:val="TableBodyLeft"/>
            </w:pPr>
            <w:r>
              <w:t>C</w:t>
            </w:r>
            <w:r w:rsidR="009C45F3">
              <w:t xml:space="preserve">ontinuum of </w:t>
            </w:r>
            <w:r>
              <w:t>E</w:t>
            </w:r>
            <w:r w:rsidR="009C45F3">
              <w:t xml:space="preserve">ducation </w:t>
            </w:r>
            <w:r>
              <w:t>S</w:t>
            </w:r>
            <w:r w:rsidR="009C45F3">
              <w:t>upport</w:t>
            </w:r>
            <w:r>
              <w:t xml:space="preserve"> funding </w:t>
            </w:r>
          </w:p>
          <w:p w14:paraId="6CDAF830" w14:textId="77777777" w:rsidR="006E5281" w:rsidRDefault="006E5281" w:rsidP="003248DC">
            <w:pPr>
              <w:pStyle w:val="TableBodyLeft"/>
            </w:pPr>
          </w:p>
          <w:p w14:paraId="27703BDB" w14:textId="6008C174" w:rsidR="00C07AC8" w:rsidRDefault="006E5281" w:rsidP="003248DC">
            <w:pPr>
              <w:pStyle w:val="TableBodyLeft"/>
            </w:pPr>
            <w:r>
              <w:t>E</w:t>
            </w:r>
            <w:r w:rsidR="009C45F3">
              <w:t xml:space="preserve">ducation </w:t>
            </w:r>
            <w:r>
              <w:t>S</w:t>
            </w:r>
            <w:r w:rsidR="009C45F3">
              <w:t xml:space="preserve">upport </w:t>
            </w:r>
            <w:r>
              <w:t>O</w:t>
            </w:r>
            <w:r w:rsidR="009C45F3">
              <w:t>ffice</w:t>
            </w:r>
            <w:r>
              <w:t xml:space="preserve"> partnership </w:t>
            </w:r>
            <w:r w:rsidR="00C07AC8">
              <w:t xml:space="preserve"> </w:t>
            </w:r>
          </w:p>
          <w:p w14:paraId="17B50220" w14:textId="77777777" w:rsidR="00EA3CD8" w:rsidRPr="000F0410" w:rsidRDefault="00EA3CD8" w:rsidP="00C07AC8">
            <w:pPr>
              <w:pStyle w:val="TableBodyLeft"/>
              <w:ind w:left="720" w:hanging="720"/>
            </w:pPr>
          </w:p>
        </w:tc>
        <w:tc>
          <w:tcPr>
            <w:tcW w:w="3524" w:type="dxa"/>
            <w:shd w:val="clear" w:color="auto" w:fill="auto"/>
          </w:tcPr>
          <w:p w14:paraId="161F36A2" w14:textId="77777777" w:rsidR="00F43AF1" w:rsidRDefault="00F43AF1" w:rsidP="00F43AF1">
            <w:pPr>
              <w:pStyle w:val="TableBodyLeft"/>
            </w:pPr>
            <w:r>
              <w:t xml:space="preserve">SLB Wellbeing </w:t>
            </w:r>
          </w:p>
          <w:p w14:paraId="467F9063" w14:textId="77777777" w:rsidR="00F43AF1" w:rsidRDefault="00F43AF1" w:rsidP="00F43AF1">
            <w:pPr>
              <w:pStyle w:val="TableBodyLeft"/>
            </w:pPr>
            <w:r>
              <w:t xml:space="preserve">SLC Wellbeing </w:t>
            </w:r>
          </w:p>
          <w:p w14:paraId="26D2EDE6" w14:textId="77777777" w:rsidR="00EA3CD8" w:rsidRPr="000F0410" w:rsidRDefault="00F43AF1" w:rsidP="003248DC">
            <w:pPr>
              <w:pStyle w:val="TableBodyLeft"/>
            </w:pPr>
            <w:r>
              <w:t>SLC LEAN</w:t>
            </w:r>
          </w:p>
        </w:tc>
        <w:tc>
          <w:tcPr>
            <w:tcW w:w="3524" w:type="dxa"/>
            <w:shd w:val="clear" w:color="auto" w:fill="auto"/>
          </w:tcPr>
          <w:p w14:paraId="04FD526C" w14:textId="77777777" w:rsidR="006E5281" w:rsidRDefault="006E5281" w:rsidP="006E5281">
            <w:pPr>
              <w:pStyle w:val="TableBodyLeft"/>
            </w:pPr>
            <w:r>
              <w:t>Processes:</w:t>
            </w:r>
          </w:p>
          <w:p w14:paraId="054F9FC0" w14:textId="77777777" w:rsidR="00585E03" w:rsidRDefault="00585E03" w:rsidP="006E5281">
            <w:pPr>
              <w:pStyle w:val="TableBodyLeft"/>
            </w:pPr>
            <w:r>
              <w:t>Student referral and selection process</w:t>
            </w:r>
          </w:p>
          <w:p w14:paraId="5AB04A29" w14:textId="77777777" w:rsidR="006E5281" w:rsidRDefault="006E5281" w:rsidP="006E5281">
            <w:pPr>
              <w:pStyle w:val="TableBodyLeft"/>
            </w:pPr>
            <w:r>
              <w:t xml:space="preserve">Targeted staff </w:t>
            </w:r>
            <w:r w:rsidR="00FE34A4">
              <w:t>selection</w:t>
            </w:r>
          </w:p>
          <w:p w14:paraId="3819F6B0" w14:textId="77777777" w:rsidR="00565666" w:rsidRDefault="00565666" w:rsidP="006E5281">
            <w:pPr>
              <w:pStyle w:val="TableBodyLeft"/>
            </w:pPr>
            <w:r>
              <w:t xml:space="preserve">NSET partnership </w:t>
            </w:r>
          </w:p>
          <w:p w14:paraId="57199813" w14:textId="77777777" w:rsidR="00EA3CD8" w:rsidRDefault="00EA3CD8" w:rsidP="003248DC">
            <w:pPr>
              <w:pStyle w:val="TableBodyLeft"/>
            </w:pPr>
          </w:p>
          <w:p w14:paraId="0BEBFE73" w14:textId="77777777" w:rsidR="00565666" w:rsidRDefault="00565666" w:rsidP="003248DC">
            <w:pPr>
              <w:pStyle w:val="TableBodyLeft"/>
            </w:pPr>
          </w:p>
          <w:p w14:paraId="778D4AAE" w14:textId="77777777" w:rsidR="006E5281" w:rsidRDefault="006E5281" w:rsidP="006E5281">
            <w:pPr>
              <w:pStyle w:val="TableBodyLeft"/>
            </w:pPr>
            <w:r>
              <w:t xml:space="preserve">Artefacts: </w:t>
            </w:r>
          </w:p>
          <w:p w14:paraId="0276EB4D" w14:textId="77777777" w:rsidR="006E5281" w:rsidRDefault="006E5281" w:rsidP="006E5281">
            <w:pPr>
              <w:pStyle w:val="TableBodyLeft"/>
            </w:pPr>
            <w:r>
              <w:t xml:space="preserve">Completed proposal with costings </w:t>
            </w:r>
          </w:p>
          <w:p w14:paraId="272DA6A4" w14:textId="77777777" w:rsidR="006E5281" w:rsidRDefault="006E5281" w:rsidP="006E5281">
            <w:pPr>
              <w:pStyle w:val="TableBodyLeft"/>
            </w:pPr>
            <w:r>
              <w:t xml:space="preserve">Curriculum </w:t>
            </w:r>
          </w:p>
          <w:p w14:paraId="1D5EA7DE" w14:textId="77777777" w:rsidR="006E5281" w:rsidRPr="000F0410" w:rsidRDefault="00565666" w:rsidP="003248DC">
            <w:pPr>
              <w:pStyle w:val="TableBodyLeft"/>
            </w:pPr>
            <w:proofErr w:type="spellStart"/>
            <w:r>
              <w:t>Individualised</w:t>
            </w:r>
            <w:proofErr w:type="spellEnd"/>
            <w:r>
              <w:t xml:space="preserve"> learning plan</w:t>
            </w:r>
            <w:r w:rsidR="009B3257">
              <w:t>s</w:t>
            </w:r>
            <w: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14:paraId="535AA24D" w14:textId="77777777" w:rsidR="000250CA" w:rsidRDefault="000250CA" w:rsidP="003248DC">
            <w:pPr>
              <w:pStyle w:val="TableBodyLeft"/>
            </w:pPr>
            <w:r>
              <w:t>Increased learning outcomes for targeted students</w:t>
            </w:r>
          </w:p>
          <w:p w14:paraId="571135B8" w14:textId="77777777" w:rsidR="000250CA" w:rsidRDefault="000250CA" w:rsidP="003248DC">
            <w:pPr>
              <w:pStyle w:val="TableBodyLeft"/>
            </w:pPr>
          </w:p>
          <w:p w14:paraId="4A46B434" w14:textId="77777777" w:rsidR="0060239A" w:rsidRDefault="000250CA" w:rsidP="003248DC">
            <w:pPr>
              <w:pStyle w:val="TableBodyLeft"/>
            </w:pPr>
            <w:r>
              <w:t>Increased equity in learning outcomes</w:t>
            </w:r>
          </w:p>
          <w:p w14:paraId="157BF8FF" w14:textId="77777777" w:rsidR="0060239A" w:rsidRDefault="0060239A" w:rsidP="003248DC">
            <w:pPr>
              <w:pStyle w:val="TableBodyLeft"/>
            </w:pPr>
          </w:p>
          <w:p w14:paraId="500C1AC3" w14:textId="77777777" w:rsidR="00EA3CD8" w:rsidRPr="000F0410" w:rsidRDefault="00506E11" w:rsidP="003248DC">
            <w:pPr>
              <w:pStyle w:val="TableBodyLeft"/>
            </w:pPr>
            <w:r>
              <w:t xml:space="preserve">By creating </w:t>
            </w:r>
            <w:r w:rsidR="0060239A">
              <w:t>environments where students love to learn</w:t>
            </w:r>
            <w:r w:rsidR="000250CA">
              <w:t xml:space="preserve">  </w:t>
            </w:r>
          </w:p>
        </w:tc>
      </w:tr>
      <w:tr w:rsidR="00EA3CD8" w14:paraId="1F0A0107" w14:textId="77777777" w:rsidTr="004F051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69F2B4AB" w14:textId="77777777" w:rsidR="00EA3CD8" w:rsidRPr="004B66E5" w:rsidRDefault="00EA3CD8" w:rsidP="00EA3CD8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  </w:t>
            </w:r>
            <w:r>
              <w:t>Increase opportunities for student voice</w:t>
            </w:r>
            <w:r w:rsidR="00C51801">
              <w:t xml:space="preserve"> in school improvement planning processes </w:t>
            </w:r>
            <w:r>
              <w:t xml:space="preserve"> </w:t>
            </w:r>
          </w:p>
        </w:tc>
      </w:tr>
      <w:tr w:rsidR="00EA3CD8" w:rsidRPr="000F0410" w14:paraId="6D678A86" w14:textId="77777777" w:rsidTr="004F0515">
        <w:trPr>
          <w:jc w:val="center"/>
        </w:trPr>
        <w:tc>
          <w:tcPr>
            <w:tcW w:w="3524" w:type="dxa"/>
            <w:shd w:val="clear" w:color="auto" w:fill="auto"/>
          </w:tcPr>
          <w:p w14:paraId="5DD63B83" w14:textId="20F6C1F1" w:rsidR="00EA3CD8" w:rsidRDefault="00973BB4" w:rsidP="00EA3CD8">
            <w:pPr>
              <w:pStyle w:val="TableBodyLeft"/>
            </w:pPr>
            <w:r>
              <w:t>Time for S</w:t>
            </w:r>
            <w:r w:rsidR="009C45F3">
              <w:t xml:space="preserve">tudent </w:t>
            </w:r>
            <w:r>
              <w:t>E</w:t>
            </w:r>
            <w:r w:rsidR="009C45F3">
              <w:t xml:space="preserve">xecutive </w:t>
            </w:r>
            <w:r>
              <w:t>G</w:t>
            </w:r>
            <w:r w:rsidR="009C45F3">
              <w:t>roup</w:t>
            </w:r>
            <w:r>
              <w:t xml:space="preserve"> teachers </w:t>
            </w:r>
          </w:p>
          <w:p w14:paraId="7EB605D9" w14:textId="77777777" w:rsidR="00973BB4" w:rsidRDefault="00973BB4" w:rsidP="00EA3CD8">
            <w:pPr>
              <w:pStyle w:val="TableBodyLeft"/>
            </w:pPr>
          </w:p>
          <w:p w14:paraId="280B604D" w14:textId="77777777" w:rsidR="00973BB4" w:rsidRPr="000F0410" w:rsidRDefault="00973BB4" w:rsidP="00EA3CD8">
            <w:pPr>
              <w:pStyle w:val="TableBodyLeft"/>
            </w:pPr>
            <w:r>
              <w:lastRenderedPageBreak/>
              <w:t xml:space="preserve">Research best practice models </w:t>
            </w:r>
          </w:p>
        </w:tc>
        <w:tc>
          <w:tcPr>
            <w:tcW w:w="3524" w:type="dxa"/>
            <w:shd w:val="clear" w:color="auto" w:fill="auto"/>
          </w:tcPr>
          <w:p w14:paraId="577A3739" w14:textId="77777777" w:rsidR="00EA3CD8" w:rsidRDefault="00973BB4" w:rsidP="00EA3CD8">
            <w:pPr>
              <w:pStyle w:val="TableBodyLeft"/>
            </w:pPr>
            <w:r>
              <w:lastRenderedPageBreak/>
              <w:t xml:space="preserve">SLB Wellbeing </w:t>
            </w:r>
          </w:p>
          <w:p w14:paraId="06A569F7" w14:textId="77777777" w:rsidR="00973BB4" w:rsidRDefault="00973BB4" w:rsidP="00EA3CD8">
            <w:pPr>
              <w:pStyle w:val="TableBodyLeft"/>
            </w:pPr>
            <w:r>
              <w:t>SLC</w:t>
            </w:r>
          </w:p>
          <w:p w14:paraId="12DEDD8F" w14:textId="77777777" w:rsidR="00973BB4" w:rsidRDefault="00973BB4" w:rsidP="00EA3CD8">
            <w:pPr>
              <w:pStyle w:val="TableBodyLeft"/>
            </w:pPr>
            <w:r>
              <w:t xml:space="preserve">Wellbeing team </w:t>
            </w:r>
          </w:p>
          <w:p w14:paraId="0AE66C9A" w14:textId="77777777" w:rsidR="00973BB4" w:rsidRPr="000F0410" w:rsidRDefault="00973BB4" w:rsidP="00EA3CD8">
            <w:pPr>
              <w:pStyle w:val="TableBodyLeft"/>
            </w:pPr>
            <w:r>
              <w:lastRenderedPageBreak/>
              <w:t xml:space="preserve">Classroom teachers </w:t>
            </w:r>
          </w:p>
        </w:tc>
        <w:tc>
          <w:tcPr>
            <w:tcW w:w="3524" w:type="dxa"/>
            <w:shd w:val="clear" w:color="auto" w:fill="auto"/>
          </w:tcPr>
          <w:p w14:paraId="44E10585" w14:textId="77777777" w:rsidR="00C51801" w:rsidRDefault="00C51801" w:rsidP="00C51801">
            <w:pPr>
              <w:pStyle w:val="TableBodyLeft"/>
            </w:pPr>
            <w:r>
              <w:lastRenderedPageBreak/>
              <w:t>Processes:</w:t>
            </w:r>
          </w:p>
          <w:p w14:paraId="079D944A" w14:textId="77777777" w:rsidR="00C51801" w:rsidRDefault="00C51801" w:rsidP="00C51801">
            <w:pPr>
              <w:pStyle w:val="TableBodyLeft"/>
            </w:pPr>
            <w:r>
              <w:t>S</w:t>
            </w:r>
            <w:r w:rsidR="00D4529C">
              <w:t xml:space="preserve">tudent Executive </w:t>
            </w:r>
            <w:r>
              <w:t>G</w:t>
            </w:r>
            <w:r w:rsidR="00D4529C">
              <w:t>roup</w:t>
            </w:r>
          </w:p>
          <w:p w14:paraId="434E8D9C" w14:textId="20597F0F" w:rsidR="00C51801" w:rsidRDefault="00C51801" w:rsidP="00C51801">
            <w:pPr>
              <w:pStyle w:val="TableBodyLeft"/>
            </w:pPr>
            <w:r>
              <w:t>Focus groups</w:t>
            </w:r>
          </w:p>
          <w:p w14:paraId="246C1A93" w14:textId="5E67D3AD" w:rsidR="00060097" w:rsidRDefault="00060097" w:rsidP="00C51801">
            <w:pPr>
              <w:pStyle w:val="TableBodyLeft"/>
            </w:pPr>
            <w:r>
              <w:lastRenderedPageBreak/>
              <w:t xml:space="preserve">Student representation on ADHS School Board </w:t>
            </w:r>
          </w:p>
          <w:p w14:paraId="379B7263" w14:textId="77777777" w:rsidR="00C51801" w:rsidRDefault="00C51801" w:rsidP="00C51801">
            <w:pPr>
              <w:pStyle w:val="TableBodyLeft"/>
            </w:pPr>
            <w:bookmarkStart w:id="1" w:name="_GoBack"/>
            <w:bookmarkEnd w:id="1"/>
          </w:p>
          <w:p w14:paraId="61801C33" w14:textId="77777777" w:rsidR="00C51801" w:rsidRDefault="00C51801" w:rsidP="00C51801">
            <w:pPr>
              <w:pStyle w:val="TableBodyLeft"/>
            </w:pPr>
            <w:r>
              <w:t xml:space="preserve">Artefacts: </w:t>
            </w:r>
          </w:p>
          <w:p w14:paraId="0AC6C15F" w14:textId="77777777" w:rsidR="00D4529C" w:rsidRDefault="00D4529C" w:rsidP="00C51801">
            <w:pPr>
              <w:pStyle w:val="TableBodyLeft"/>
            </w:pPr>
            <w:r>
              <w:t xml:space="preserve">Records of student consultation processes </w:t>
            </w:r>
          </w:p>
          <w:p w14:paraId="05F5221F" w14:textId="77777777" w:rsidR="00D4529C" w:rsidRDefault="00D4529C" w:rsidP="00C51801">
            <w:pPr>
              <w:pStyle w:val="TableBodyLeft"/>
            </w:pPr>
            <w:r>
              <w:t xml:space="preserve">Presentations to students </w:t>
            </w:r>
          </w:p>
          <w:p w14:paraId="282AB31D" w14:textId="77777777" w:rsidR="005F6A65" w:rsidRDefault="005F6A65" w:rsidP="00C51801">
            <w:pPr>
              <w:pStyle w:val="TableBodyLeft"/>
            </w:pPr>
            <w:r>
              <w:t xml:space="preserve">Project deliverables </w:t>
            </w:r>
          </w:p>
          <w:p w14:paraId="09262DB0" w14:textId="77777777" w:rsidR="00C51801" w:rsidRPr="000F0410" w:rsidRDefault="00C51801" w:rsidP="00EA3CD8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18B37DB9" w14:textId="77777777" w:rsidR="00EA3CD8" w:rsidRDefault="00EA3CD8" w:rsidP="00EA3CD8">
            <w:pPr>
              <w:pStyle w:val="TableBodyLeft"/>
            </w:pPr>
            <w:r>
              <w:lastRenderedPageBreak/>
              <w:t xml:space="preserve">Increase </w:t>
            </w:r>
            <w:r w:rsidR="00C51801">
              <w:t>school connection and ownership</w:t>
            </w:r>
            <w:r>
              <w:t xml:space="preserve"> through student voice </w:t>
            </w:r>
          </w:p>
          <w:p w14:paraId="38EAF24E" w14:textId="77777777" w:rsidR="00EA3CD8" w:rsidRDefault="00EA3CD8" w:rsidP="00EA3CD8">
            <w:pPr>
              <w:pStyle w:val="TableBodyLeft"/>
            </w:pPr>
          </w:p>
          <w:p w14:paraId="285E7AD8" w14:textId="77777777" w:rsidR="00EA3CD8" w:rsidRDefault="00EA3CD8" w:rsidP="00EA3CD8">
            <w:pPr>
              <w:pStyle w:val="TableBodyLeft"/>
            </w:pPr>
            <w:r>
              <w:lastRenderedPageBreak/>
              <w:t xml:space="preserve">Increase in students who strongly identify with the school </w:t>
            </w:r>
          </w:p>
          <w:p w14:paraId="4B9B8882" w14:textId="77777777" w:rsidR="00EA3CD8" w:rsidRDefault="00EA3CD8" w:rsidP="00EA3CD8">
            <w:pPr>
              <w:pStyle w:val="TableBodyLeft"/>
            </w:pPr>
          </w:p>
          <w:p w14:paraId="28D0CD7A" w14:textId="77777777" w:rsidR="00EA3CD8" w:rsidRPr="000F0410" w:rsidRDefault="00EA3CD8" w:rsidP="00EA3CD8">
            <w:pPr>
              <w:pStyle w:val="TableBodyLeft"/>
            </w:pPr>
          </w:p>
        </w:tc>
      </w:tr>
    </w:tbl>
    <w:p w14:paraId="383A2247" w14:textId="77777777" w:rsidR="00155F05" w:rsidRPr="000F0410" w:rsidRDefault="00155F05" w:rsidP="00155F05">
      <w:pPr>
        <w:pStyle w:val="BodyText"/>
        <w:sectPr w:rsidR="00155F05" w:rsidRPr="000F0410" w:rsidSect="004C0FDB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941D157" w14:textId="77777777" w:rsidR="008E63DF" w:rsidRPr="00574285" w:rsidRDefault="008E63DF" w:rsidP="00453022">
      <w:pPr>
        <w:pStyle w:val="Heading2"/>
      </w:pPr>
    </w:p>
    <w:sectPr w:rsidR="008E63DF" w:rsidRPr="00574285" w:rsidSect="004C0FD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FCC3" w14:textId="77777777" w:rsidR="006243D4" w:rsidRDefault="006243D4">
      <w:pPr>
        <w:spacing w:after="0" w:line="240" w:lineRule="auto"/>
      </w:pPr>
      <w:r>
        <w:separator/>
      </w:r>
    </w:p>
  </w:endnote>
  <w:endnote w:type="continuationSeparator" w:id="0">
    <w:p w14:paraId="6E30F0A5" w14:textId="77777777" w:rsidR="006243D4" w:rsidRDefault="006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F15D4" w14:textId="76F0E8BE" w:rsidR="00BF488D" w:rsidRPr="00BF488D" w:rsidRDefault="00BF488D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>saved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: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SAVEDATE  \@ "dddd, d MMMM yyyy"  \* MERGEFORMAT </w:instrTex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9C45F3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Thursday, 23 May 2019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F351DB0" w14:textId="77777777" w:rsidR="00A76993" w:rsidRDefault="00E417F3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="000365E8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68650D">
      <w:rPr>
        <w:rFonts w:ascii="Arial" w:hAnsi="Arial" w:cs="Arial"/>
        <w:b/>
        <w:sz w:val="18"/>
        <w:szCs w:val="18"/>
      </w:rPr>
      <w:t>Priorities</w:t>
    </w:r>
    <w:r w:rsidR="000365E8"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0" w:name="_Hlk527701860"/>
    <w:r w:rsidR="00360329" w:rsidRPr="00360329">
      <w:rPr>
        <w:rFonts w:ascii="Arial" w:hAnsi="Arial" w:cs="Arial"/>
        <w:b/>
        <w:color w:val="FF0000"/>
        <w:sz w:val="24"/>
        <w:szCs w:val="18"/>
      </w:rPr>
      <w:t>STRATEGIES</w:t>
    </w:r>
    <w:r w:rsidR="00360329"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0"/>
    <w:r w:rsidR="00360329"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="00360329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D5105D">
      <w:rPr>
        <w:b/>
        <w:sz w:val="18"/>
        <w:szCs w:val="18"/>
      </w:rPr>
      <w:t xml:space="preserve">Impact </w:t>
    </w:r>
    <w:r w:rsidR="000365E8" w:rsidRPr="00D5105D">
      <w:rPr>
        <w:b/>
        <w:sz w:val="16"/>
        <w:szCs w:val="16"/>
      </w:rPr>
      <w:t>(</w:t>
    </w:r>
    <w:r w:rsidR="000365E8">
      <w:rPr>
        <w:b/>
        <w:sz w:val="16"/>
        <w:szCs w:val="16"/>
      </w:rPr>
      <w:t xml:space="preserve">for </w:t>
    </w:r>
    <w:r w:rsidR="000365E8" w:rsidRPr="00D5105D">
      <w:rPr>
        <w:b/>
        <w:sz w:val="16"/>
        <w:szCs w:val="16"/>
      </w:rPr>
      <w:t>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2F98" w14:textId="77777777" w:rsidR="006243D4" w:rsidRDefault="006243D4">
      <w:pPr>
        <w:spacing w:after="0" w:line="240" w:lineRule="auto"/>
      </w:pPr>
      <w:r>
        <w:separator/>
      </w:r>
    </w:p>
  </w:footnote>
  <w:footnote w:type="continuationSeparator" w:id="0">
    <w:p w14:paraId="1A887205" w14:textId="77777777" w:rsidR="006243D4" w:rsidRDefault="0062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C9D9" w14:textId="4BF8DBCA" w:rsidR="0049142C" w:rsidRDefault="00491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C0AE" w14:textId="77777777" w:rsidR="00155F05" w:rsidRDefault="00155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ED3A" w14:textId="77777777" w:rsidR="00194DF6" w:rsidRDefault="0019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AAD"/>
    <w:multiLevelType w:val="hybridMultilevel"/>
    <w:tmpl w:val="5CD839EA"/>
    <w:lvl w:ilvl="0" w:tplc="BE5EBA86">
      <w:start w:val="5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F7445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F81"/>
    <w:multiLevelType w:val="hybridMultilevel"/>
    <w:tmpl w:val="5E288EE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883"/>
    <w:multiLevelType w:val="hybridMultilevel"/>
    <w:tmpl w:val="203AA92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6B1"/>
    <w:multiLevelType w:val="hybridMultilevel"/>
    <w:tmpl w:val="3886B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E22"/>
    <w:multiLevelType w:val="hybridMultilevel"/>
    <w:tmpl w:val="5C4A08D6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684B"/>
    <w:multiLevelType w:val="hybridMultilevel"/>
    <w:tmpl w:val="C6C4E4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EF4"/>
    <w:multiLevelType w:val="hybridMultilevel"/>
    <w:tmpl w:val="8CECA880"/>
    <w:lvl w:ilvl="0" w:tplc="B6764FBC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CF0"/>
    <w:multiLevelType w:val="hybridMultilevel"/>
    <w:tmpl w:val="2D1E56AA"/>
    <w:lvl w:ilvl="0" w:tplc="0A4EAE10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4232"/>
    <w:multiLevelType w:val="hybridMultilevel"/>
    <w:tmpl w:val="74B6DC0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CD2"/>
    <w:multiLevelType w:val="hybridMultilevel"/>
    <w:tmpl w:val="27FEB4F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465C"/>
    <w:multiLevelType w:val="hybridMultilevel"/>
    <w:tmpl w:val="03E4976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30C9"/>
    <w:multiLevelType w:val="hybridMultilevel"/>
    <w:tmpl w:val="78C8FE7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4A83"/>
    <w:multiLevelType w:val="hybridMultilevel"/>
    <w:tmpl w:val="962A58A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F4885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77AF2"/>
    <w:multiLevelType w:val="hybridMultilevel"/>
    <w:tmpl w:val="F20417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73A4"/>
    <w:multiLevelType w:val="hybridMultilevel"/>
    <w:tmpl w:val="43EAD3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02C36"/>
    <w:multiLevelType w:val="hybridMultilevel"/>
    <w:tmpl w:val="8B526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031BA"/>
    <w:multiLevelType w:val="hybridMultilevel"/>
    <w:tmpl w:val="D3225C4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C07F1"/>
    <w:multiLevelType w:val="hybridMultilevel"/>
    <w:tmpl w:val="4AE2529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B464F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9"/>
  </w:num>
  <w:num w:numId="10">
    <w:abstractNumId w:val="16"/>
  </w:num>
  <w:num w:numId="11">
    <w:abstractNumId w:val="5"/>
  </w:num>
  <w:num w:numId="12">
    <w:abstractNumId w:val="20"/>
  </w:num>
  <w:num w:numId="13">
    <w:abstractNumId w:val="14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15"/>
  </w:num>
  <w:num w:numId="19">
    <w:abstractNumId w:val="1"/>
  </w:num>
  <w:num w:numId="20">
    <w:abstractNumId w:val="21"/>
  </w:num>
  <w:num w:numId="21">
    <w:abstractNumId w:val="8"/>
  </w:num>
  <w:num w:numId="22">
    <w:abstractNumId w:val="8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250CA"/>
    <w:rsid w:val="000307D8"/>
    <w:rsid w:val="000365E8"/>
    <w:rsid w:val="000454A5"/>
    <w:rsid w:val="00054BEB"/>
    <w:rsid w:val="00060097"/>
    <w:rsid w:val="000747CE"/>
    <w:rsid w:val="00084BDD"/>
    <w:rsid w:val="000976F3"/>
    <w:rsid w:val="000A207B"/>
    <w:rsid w:val="000A7861"/>
    <w:rsid w:val="000B4189"/>
    <w:rsid w:val="000C1624"/>
    <w:rsid w:val="000C1B4B"/>
    <w:rsid w:val="000E11BE"/>
    <w:rsid w:val="000E4A3F"/>
    <w:rsid w:val="000F0410"/>
    <w:rsid w:val="000F247C"/>
    <w:rsid w:val="0010587A"/>
    <w:rsid w:val="00111DEF"/>
    <w:rsid w:val="00141602"/>
    <w:rsid w:val="00152E6A"/>
    <w:rsid w:val="00155F05"/>
    <w:rsid w:val="00162782"/>
    <w:rsid w:val="00162D4F"/>
    <w:rsid w:val="00167147"/>
    <w:rsid w:val="00167178"/>
    <w:rsid w:val="001672FB"/>
    <w:rsid w:val="001703DA"/>
    <w:rsid w:val="00176E9C"/>
    <w:rsid w:val="00180A62"/>
    <w:rsid w:val="00194DF6"/>
    <w:rsid w:val="001C6C50"/>
    <w:rsid w:val="001E3530"/>
    <w:rsid w:val="001F66F7"/>
    <w:rsid w:val="00202220"/>
    <w:rsid w:val="00203768"/>
    <w:rsid w:val="00212223"/>
    <w:rsid w:val="00217CF8"/>
    <w:rsid w:val="00235B19"/>
    <w:rsid w:val="002373BB"/>
    <w:rsid w:val="0024064C"/>
    <w:rsid w:val="00263BC0"/>
    <w:rsid w:val="002729F1"/>
    <w:rsid w:val="00281DEE"/>
    <w:rsid w:val="0029006B"/>
    <w:rsid w:val="002A177D"/>
    <w:rsid w:val="002B7944"/>
    <w:rsid w:val="002D23A5"/>
    <w:rsid w:val="002F7006"/>
    <w:rsid w:val="00316F41"/>
    <w:rsid w:val="00343F94"/>
    <w:rsid w:val="00360329"/>
    <w:rsid w:val="003625A6"/>
    <w:rsid w:val="00366E12"/>
    <w:rsid w:val="00381B03"/>
    <w:rsid w:val="003C0EEB"/>
    <w:rsid w:val="003C346B"/>
    <w:rsid w:val="003D70FC"/>
    <w:rsid w:val="003D767B"/>
    <w:rsid w:val="003E2DE1"/>
    <w:rsid w:val="003E745B"/>
    <w:rsid w:val="004057C5"/>
    <w:rsid w:val="004121EB"/>
    <w:rsid w:val="00430D77"/>
    <w:rsid w:val="0044192D"/>
    <w:rsid w:val="00453022"/>
    <w:rsid w:val="00460F6D"/>
    <w:rsid w:val="004634F4"/>
    <w:rsid w:val="00465D81"/>
    <w:rsid w:val="0046677E"/>
    <w:rsid w:val="0047385D"/>
    <w:rsid w:val="004746DD"/>
    <w:rsid w:val="00482DDC"/>
    <w:rsid w:val="00490804"/>
    <w:rsid w:val="0049142C"/>
    <w:rsid w:val="004B386E"/>
    <w:rsid w:val="004B66E5"/>
    <w:rsid w:val="004B701F"/>
    <w:rsid w:val="004E3289"/>
    <w:rsid w:val="00506E11"/>
    <w:rsid w:val="00541E37"/>
    <w:rsid w:val="00556195"/>
    <w:rsid w:val="00560A45"/>
    <w:rsid w:val="00560A57"/>
    <w:rsid w:val="0056301A"/>
    <w:rsid w:val="00565666"/>
    <w:rsid w:val="00566883"/>
    <w:rsid w:val="00574285"/>
    <w:rsid w:val="0057721F"/>
    <w:rsid w:val="005834C3"/>
    <w:rsid w:val="0058561F"/>
    <w:rsid w:val="00585E03"/>
    <w:rsid w:val="005A6997"/>
    <w:rsid w:val="005C2830"/>
    <w:rsid w:val="005D3A8D"/>
    <w:rsid w:val="005E4EB7"/>
    <w:rsid w:val="005F3E84"/>
    <w:rsid w:val="005F6A65"/>
    <w:rsid w:val="006006D3"/>
    <w:rsid w:val="0060239A"/>
    <w:rsid w:val="00614F25"/>
    <w:rsid w:val="00616AD7"/>
    <w:rsid w:val="006243D4"/>
    <w:rsid w:val="00633379"/>
    <w:rsid w:val="006C11C1"/>
    <w:rsid w:val="006C2D20"/>
    <w:rsid w:val="006D7615"/>
    <w:rsid w:val="006E12E7"/>
    <w:rsid w:val="006E19B2"/>
    <w:rsid w:val="006E3C0D"/>
    <w:rsid w:val="006E5281"/>
    <w:rsid w:val="006E536B"/>
    <w:rsid w:val="006F350C"/>
    <w:rsid w:val="0070399A"/>
    <w:rsid w:val="00711143"/>
    <w:rsid w:val="007235B1"/>
    <w:rsid w:val="00757C87"/>
    <w:rsid w:val="007605CC"/>
    <w:rsid w:val="00777436"/>
    <w:rsid w:val="007C347E"/>
    <w:rsid w:val="007C7A8C"/>
    <w:rsid w:val="007E3835"/>
    <w:rsid w:val="007F572A"/>
    <w:rsid w:val="0080461F"/>
    <w:rsid w:val="0081141C"/>
    <w:rsid w:val="008163F5"/>
    <w:rsid w:val="00816FBD"/>
    <w:rsid w:val="00825280"/>
    <w:rsid w:val="00834B80"/>
    <w:rsid w:val="00837D1F"/>
    <w:rsid w:val="00861FB6"/>
    <w:rsid w:val="00872A70"/>
    <w:rsid w:val="00882120"/>
    <w:rsid w:val="00883B48"/>
    <w:rsid w:val="008A249A"/>
    <w:rsid w:val="008A30F5"/>
    <w:rsid w:val="008A5E4E"/>
    <w:rsid w:val="008B1932"/>
    <w:rsid w:val="008D170C"/>
    <w:rsid w:val="008D1D8D"/>
    <w:rsid w:val="008D6735"/>
    <w:rsid w:val="008E2285"/>
    <w:rsid w:val="008E63DF"/>
    <w:rsid w:val="00914F5B"/>
    <w:rsid w:val="009238BE"/>
    <w:rsid w:val="009371B7"/>
    <w:rsid w:val="00956280"/>
    <w:rsid w:val="009573FE"/>
    <w:rsid w:val="009657C0"/>
    <w:rsid w:val="00966686"/>
    <w:rsid w:val="00973BB4"/>
    <w:rsid w:val="0098551B"/>
    <w:rsid w:val="009B3257"/>
    <w:rsid w:val="009B3523"/>
    <w:rsid w:val="009B362E"/>
    <w:rsid w:val="009C45F3"/>
    <w:rsid w:val="009E4651"/>
    <w:rsid w:val="009E7481"/>
    <w:rsid w:val="009E7E73"/>
    <w:rsid w:val="00A05919"/>
    <w:rsid w:val="00A214B7"/>
    <w:rsid w:val="00A220B7"/>
    <w:rsid w:val="00A66FF7"/>
    <w:rsid w:val="00A76993"/>
    <w:rsid w:val="00A86A08"/>
    <w:rsid w:val="00AB36BF"/>
    <w:rsid w:val="00AF3B67"/>
    <w:rsid w:val="00AF4CC4"/>
    <w:rsid w:val="00AF686D"/>
    <w:rsid w:val="00B02C40"/>
    <w:rsid w:val="00B72D30"/>
    <w:rsid w:val="00B873D3"/>
    <w:rsid w:val="00BA52B3"/>
    <w:rsid w:val="00BC158B"/>
    <w:rsid w:val="00BC589B"/>
    <w:rsid w:val="00BD0F87"/>
    <w:rsid w:val="00BD2FF6"/>
    <w:rsid w:val="00BF488D"/>
    <w:rsid w:val="00C07AC8"/>
    <w:rsid w:val="00C43589"/>
    <w:rsid w:val="00C51801"/>
    <w:rsid w:val="00C8359A"/>
    <w:rsid w:val="00C94807"/>
    <w:rsid w:val="00CC2EF1"/>
    <w:rsid w:val="00CC7DC1"/>
    <w:rsid w:val="00CE0B5D"/>
    <w:rsid w:val="00D0253B"/>
    <w:rsid w:val="00D06D7A"/>
    <w:rsid w:val="00D22B30"/>
    <w:rsid w:val="00D4529C"/>
    <w:rsid w:val="00D543EE"/>
    <w:rsid w:val="00D76FF4"/>
    <w:rsid w:val="00DA0B62"/>
    <w:rsid w:val="00DC2AD7"/>
    <w:rsid w:val="00E140FA"/>
    <w:rsid w:val="00E16E59"/>
    <w:rsid w:val="00E417F3"/>
    <w:rsid w:val="00E4302D"/>
    <w:rsid w:val="00E557F0"/>
    <w:rsid w:val="00E6364C"/>
    <w:rsid w:val="00E64890"/>
    <w:rsid w:val="00E87FCB"/>
    <w:rsid w:val="00EA3CD8"/>
    <w:rsid w:val="00EA7896"/>
    <w:rsid w:val="00EC248D"/>
    <w:rsid w:val="00ED7FAF"/>
    <w:rsid w:val="00EE1151"/>
    <w:rsid w:val="00EE3B84"/>
    <w:rsid w:val="00EF54A3"/>
    <w:rsid w:val="00F129F8"/>
    <w:rsid w:val="00F1705A"/>
    <w:rsid w:val="00F227A1"/>
    <w:rsid w:val="00F22811"/>
    <w:rsid w:val="00F42BBB"/>
    <w:rsid w:val="00F43AF1"/>
    <w:rsid w:val="00F56B10"/>
    <w:rsid w:val="00F65DAF"/>
    <w:rsid w:val="00F70E5D"/>
    <w:rsid w:val="00F721DF"/>
    <w:rsid w:val="00F92031"/>
    <w:rsid w:val="00FA1F8E"/>
    <w:rsid w:val="00FC48D9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2D51D2"/>
  <w15:docId w15:val="{EF50B62A-E9DA-49B0-BB31-BE21341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4285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0A207B"/>
    <w:pPr>
      <w:numPr>
        <w:numId w:val="1"/>
      </w:numPr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16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5E3CC9"/>
    <w:rsid w:val="007665F4"/>
    <w:rsid w:val="007B7AF4"/>
    <w:rsid w:val="008C434A"/>
    <w:rsid w:val="00A579DE"/>
    <w:rsid w:val="00BC1A81"/>
    <w:rsid w:val="00E40337"/>
    <w:rsid w:val="00FA4299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B9DB-57A4-4006-AA70-F32889C3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Briggs, David</cp:lastModifiedBy>
  <cp:revision>4</cp:revision>
  <cp:lastPrinted>2018-11-05T22:09:00Z</cp:lastPrinted>
  <dcterms:created xsi:type="dcterms:W3CDTF">2019-05-23T03:23:00Z</dcterms:created>
  <dcterms:modified xsi:type="dcterms:W3CDTF">2019-06-12T03:42:00Z</dcterms:modified>
</cp:coreProperties>
</file>