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0F82898B" w:rsidR="00FE1945" w:rsidRPr="00563A3D" w:rsidRDefault="007A550A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Alfred Deakin High School</w:t>
          </w:r>
        </w:p>
      </w:sdtContent>
    </w:sdt>
    <w:p w14:paraId="63330FCF" w14:textId="34A7F725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7A550A">
            <w:t>South Canberra/ Weston</w:t>
          </w:r>
        </w:sdtContent>
      </w:sdt>
    </w:p>
    <w:p w14:paraId="38F253B0" w14:textId="45213079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7A550A">
        <w:t>19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12E559C4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132917">
        <w:t>19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4C974366" w14:textId="496E342A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1D7760C0" w14:textId="03B16583" w:rsidR="00300F72" w:rsidRPr="00580F50" w:rsidRDefault="00FE1945" w:rsidP="00300F72">
      <w:pPr>
        <w:pStyle w:val="BodyText"/>
        <w:rPr>
          <w:b/>
          <w:i/>
        </w:rPr>
      </w:pPr>
      <w:r w:rsidRPr="00580F50">
        <w:rPr>
          <w:b/>
          <w:i/>
        </w:rPr>
        <w:t>To promote greater equity in learning outcomes in and across ACT public schools</w:t>
      </w:r>
    </w:p>
    <w:p w14:paraId="0E4AE3ED" w14:textId="1F79CDFD" w:rsidR="00846E51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730A3C">
        <w:t xml:space="preserve">2 </w:t>
      </w:r>
      <w:r w:rsidRPr="00132917">
        <w:t>(see reporting for detail):</w:t>
      </w:r>
    </w:p>
    <w:p w14:paraId="10849762" w14:textId="14D4E8CA" w:rsidR="00D0154D" w:rsidRDefault="00D0154D" w:rsidP="00D0154D">
      <w:pPr>
        <w:pStyle w:val="ListBullet"/>
      </w:pPr>
      <w:r>
        <w:t xml:space="preserve">Development of a </w:t>
      </w:r>
      <w:r w:rsidR="00626211">
        <w:t>Continuum of Education Support (CES)</w:t>
      </w:r>
      <w:r>
        <w:t xml:space="preserve"> strategy and program to</w:t>
      </w:r>
      <w:r w:rsidR="00626211">
        <w:t xml:space="preserve"> meet the need of</w:t>
      </w:r>
      <w:r>
        <w:t xml:space="preserve"> connect</w:t>
      </w:r>
      <w:r w:rsidR="00626211">
        <w:t>ing all</w:t>
      </w:r>
      <w:r>
        <w:t xml:space="preserve"> students to their learning </w:t>
      </w:r>
    </w:p>
    <w:p w14:paraId="49B0433F" w14:textId="77777777" w:rsidR="00D0154D" w:rsidRDefault="00D0154D" w:rsidP="00D0154D">
      <w:pPr>
        <w:pStyle w:val="ListBullet"/>
      </w:pPr>
      <w:r>
        <w:t xml:space="preserve">Further development of cultural integrity approaches through the Deakin Deadly Mob  </w:t>
      </w:r>
    </w:p>
    <w:p w14:paraId="05831A13" w14:textId="77777777" w:rsidR="00300F72" w:rsidRPr="00300F72" w:rsidRDefault="00300F72" w:rsidP="00D0154D">
      <w:pPr>
        <w:pStyle w:val="ListBullet"/>
        <w:numPr>
          <w:ilvl w:val="0"/>
          <w:numId w:val="0"/>
        </w:numPr>
        <w:ind w:left="360"/>
      </w:pPr>
    </w:p>
    <w:p w14:paraId="4237A615" w14:textId="77777777" w:rsidR="00300F72" w:rsidRPr="00300F72" w:rsidRDefault="00300F72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5A54A98A" w14:textId="478FF3A2" w:rsidR="00300F72" w:rsidRPr="00580F50" w:rsidRDefault="00B10319" w:rsidP="00300F72">
      <w:pPr>
        <w:pStyle w:val="BodyText"/>
        <w:rPr>
          <w:b/>
          <w:i/>
        </w:rPr>
      </w:pPr>
      <w:r w:rsidRPr="00580F50">
        <w:rPr>
          <w:b/>
          <w:i/>
        </w:rPr>
        <w:t>To facilitate high quality teaching in ACT public schools and strengthen educational outcomes.</w:t>
      </w:r>
    </w:p>
    <w:p w14:paraId="14162F1A" w14:textId="5EEEE194" w:rsidR="00300F72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2D238E">
        <w:t>1</w:t>
      </w:r>
      <w:r w:rsidRPr="00132917">
        <w:t xml:space="preserve"> (see reporting for detail):</w:t>
      </w:r>
    </w:p>
    <w:p w14:paraId="3219AB53" w14:textId="001CC49F" w:rsidR="00300F72" w:rsidRDefault="000153BD" w:rsidP="00300F72">
      <w:pPr>
        <w:pStyle w:val="ListBullet"/>
      </w:pPr>
      <w:r>
        <w:t xml:space="preserve">Building Staff capacity </w:t>
      </w:r>
      <w:r w:rsidR="002D238E">
        <w:t xml:space="preserve">in </w:t>
      </w:r>
      <w:r w:rsidR="00A7528B">
        <w:t xml:space="preserve">using data and </w:t>
      </w:r>
      <w:r w:rsidR="002D238E">
        <w:t>evidenc</w:t>
      </w:r>
      <w:r w:rsidR="00A7528B">
        <w:t>e</w:t>
      </w:r>
      <w:r w:rsidR="002D238E">
        <w:t xml:space="preserve"> </w:t>
      </w:r>
      <w:r w:rsidR="00A7528B">
        <w:t xml:space="preserve">to show </w:t>
      </w:r>
      <w:r w:rsidR="002D238E">
        <w:t xml:space="preserve">student learning growth </w:t>
      </w:r>
    </w:p>
    <w:p w14:paraId="7141D541" w14:textId="51BDB448" w:rsidR="00A7528B" w:rsidRPr="00482DDC" w:rsidRDefault="00A7528B" w:rsidP="00A7528B">
      <w:pPr>
        <w:pStyle w:val="ListBullet"/>
        <w:rPr>
          <w:i/>
        </w:rPr>
      </w:pPr>
      <w:r>
        <w:t xml:space="preserve">Developing </w:t>
      </w:r>
      <w:r w:rsidRPr="00482DDC">
        <w:t>and tr</w:t>
      </w:r>
      <w:r>
        <w:t>ia</w:t>
      </w:r>
      <w:r w:rsidRPr="00482DDC">
        <w:t>l</w:t>
      </w:r>
      <w:r>
        <w:t>ling</w:t>
      </w:r>
      <w:r w:rsidRPr="00482DDC">
        <w:t xml:space="preserve"> models which allow an increase in pedagogies focussing on 21</w:t>
      </w:r>
      <w:r w:rsidRPr="00482DDC">
        <w:rPr>
          <w:vertAlign w:val="superscript"/>
        </w:rPr>
        <w:t>st</w:t>
      </w:r>
      <w:r w:rsidRPr="00482DDC">
        <w:t xml:space="preserve"> Century skills and General Capabilities </w:t>
      </w:r>
    </w:p>
    <w:p w14:paraId="6AAFB1B8" w14:textId="77777777" w:rsidR="00A7528B" w:rsidRPr="00300F72" w:rsidRDefault="00A7528B" w:rsidP="00A7528B">
      <w:pPr>
        <w:pStyle w:val="ListBullet"/>
        <w:numPr>
          <w:ilvl w:val="0"/>
          <w:numId w:val="0"/>
        </w:numPr>
        <w:ind w:left="360"/>
      </w:pP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0CB48B2" w14:textId="78826BA9" w:rsidR="00300F72" w:rsidRPr="00580F50" w:rsidRDefault="00B10319" w:rsidP="00300F72">
      <w:pPr>
        <w:pStyle w:val="BodyText"/>
        <w:rPr>
          <w:b/>
          <w:i/>
        </w:rPr>
      </w:pPr>
      <w:r w:rsidRPr="00580F50">
        <w:rPr>
          <w:b/>
          <w:i/>
        </w:rPr>
        <w:t>To centre teaching and learning around students as individuals</w:t>
      </w:r>
    </w:p>
    <w:p w14:paraId="6B398A53" w14:textId="41E4AA29" w:rsidR="00300F72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A7528B">
        <w:t>2</w:t>
      </w:r>
      <w:r w:rsidRPr="00132917">
        <w:t xml:space="preserve"> (see reporting for detail):</w:t>
      </w:r>
    </w:p>
    <w:p w14:paraId="7CC97BAA" w14:textId="589A1314" w:rsidR="00E30578" w:rsidRPr="00E30578" w:rsidRDefault="00E30578" w:rsidP="00E30578">
      <w:pPr>
        <w:pStyle w:val="ListBullet"/>
        <w:rPr>
          <w:i/>
        </w:rPr>
      </w:pPr>
      <w:r>
        <w:t xml:space="preserve">Developing </w:t>
      </w:r>
      <w:r w:rsidRPr="00482DDC">
        <w:t>and tr</w:t>
      </w:r>
      <w:r>
        <w:t>ia</w:t>
      </w:r>
      <w:r w:rsidRPr="00482DDC">
        <w:t>l</w:t>
      </w:r>
      <w:r>
        <w:t>ling</w:t>
      </w:r>
      <w:r w:rsidRPr="00482DDC">
        <w:t xml:space="preserve"> models which allow an increase in pedagogies focussing on 21</w:t>
      </w:r>
      <w:r w:rsidRPr="00482DDC">
        <w:rPr>
          <w:vertAlign w:val="superscript"/>
        </w:rPr>
        <w:t>st</w:t>
      </w:r>
      <w:r w:rsidRPr="00482DDC">
        <w:t xml:space="preserve"> Century skills and General Capabilities </w:t>
      </w:r>
    </w:p>
    <w:p w14:paraId="772D2716" w14:textId="449C38BD" w:rsidR="00E30578" w:rsidRPr="000F0410" w:rsidRDefault="00E30578" w:rsidP="00E30578">
      <w:pPr>
        <w:pStyle w:val="ListBullet"/>
      </w:pPr>
      <w:r>
        <w:t>Developing and trialling methodologies for providing evidence of and assessing 21</w:t>
      </w:r>
      <w:r w:rsidRPr="0010587A">
        <w:rPr>
          <w:vertAlign w:val="superscript"/>
        </w:rPr>
        <w:t>st</w:t>
      </w:r>
      <w:r>
        <w:t xml:space="preserve"> Century skills and General Capabilities which incorporate student reflection on learning</w:t>
      </w:r>
    </w:p>
    <w:p w14:paraId="29DADCE1" w14:textId="77777777" w:rsidR="00E30578" w:rsidRPr="00482DDC" w:rsidRDefault="00E30578" w:rsidP="00E30578">
      <w:pPr>
        <w:pStyle w:val="ListBullet"/>
        <w:numPr>
          <w:ilvl w:val="0"/>
          <w:numId w:val="0"/>
        </w:numPr>
        <w:ind w:left="360"/>
        <w:rPr>
          <w:i/>
        </w:rPr>
      </w:pPr>
    </w:p>
    <w:p w14:paraId="59777CE8" w14:textId="130E20DD" w:rsidR="00300F72" w:rsidRPr="001B26EA" w:rsidRDefault="00300F72" w:rsidP="001B26EA">
      <w:pPr>
        <w:pStyle w:val="ListBullet"/>
      </w:pPr>
      <w:r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4E4E2CB8" w14:textId="77777777" w:rsidR="00D959AD" w:rsidRDefault="00837137" w:rsidP="00D959AD">
      <w:pPr>
        <w:pStyle w:val="Heading2"/>
        <w:tabs>
          <w:tab w:val="clear" w:pos="2410"/>
          <w:tab w:val="left" w:pos="1276"/>
        </w:tabs>
        <w:ind w:left="1276" w:hanging="1276"/>
      </w:pPr>
      <w:r w:rsidRPr="000F0410">
        <w:t>Priority 1:</w:t>
      </w:r>
      <w:r w:rsidRPr="000F0410">
        <w:rPr>
          <w:color w:val="auto"/>
        </w:rPr>
        <w:tab/>
      </w:r>
      <w:r w:rsidR="00D959AD">
        <w:t>Flexible and personalised learning experiences to maximise each student’s growth.</w:t>
      </w:r>
    </w:p>
    <w:p w14:paraId="7E6776FE" w14:textId="77777777" w:rsidR="00D959AD" w:rsidRDefault="00D959AD" w:rsidP="00D959AD">
      <w:pPr>
        <w:pStyle w:val="Heading2"/>
        <w:tabs>
          <w:tab w:val="clear" w:pos="2410"/>
          <w:tab w:val="left" w:pos="1276"/>
        </w:tabs>
        <w:ind w:left="1276" w:hanging="1276"/>
      </w:pPr>
    </w:p>
    <w:p w14:paraId="255A28BA" w14:textId="28166683" w:rsidR="004D5E45" w:rsidRPr="00837137" w:rsidRDefault="006D2F6B" w:rsidP="00D959AD">
      <w:pPr>
        <w:pStyle w:val="Heading2"/>
        <w:tabs>
          <w:tab w:val="clear" w:pos="2410"/>
          <w:tab w:val="left" w:pos="1276"/>
        </w:tabs>
        <w:ind w:left="1276" w:hanging="1276"/>
      </w:pPr>
      <w:r w:rsidRPr="00837137">
        <w:t>Targets or measures</w:t>
      </w:r>
    </w:p>
    <w:p w14:paraId="0ED94083" w14:textId="17335356" w:rsidR="000031B5" w:rsidRDefault="00481BD2" w:rsidP="0058339C">
      <w:pPr>
        <w:pStyle w:val="BodyText"/>
      </w:pPr>
      <w:r>
        <w:t>By the end of 20</w:t>
      </w:r>
      <w:r w:rsidR="00382309">
        <w:t>22</w:t>
      </w:r>
      <w:r w:rsidR="000031B5">
        <w:t xml:space="preserve"> we will achieve:</w:t>
      </w:r>
    </w:p>
    <w:p w14:paraId="013EB679" w14:textId="0F3BF1FC" w:rsidR="009A55A5" w:rsidRPr="00382309" w:rsidRDefault="00C33BE7" w:rsidP="00C33BE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382309">
        <w:rPr>
          <w:rFonts w:cs="Calibri"/>
        </w:rPr>
        <w:t>70% of year 9 students (within school match) achieve expected growth or better in reading</w:t>
      </w:r>
      <w:r w:rsidR="00314348" w:rsidRPr="00382309">
        <w:rPr>
          <w:rFonts w:cs="Calibri"/>
        </w:rPr>
        <w:t xml:space="preserve">. </w:t>
      </w:r>
      <w:r w:rsidR="009A55A5" w:rsidRPr="00382309">
        <w:rPr>
          <w:rFonts w:cs="Calibri"/>
        </w:rPr>
        <w:t>This represents a 5% increase in growth in each of the three domains from an average of the past four years.</w:t>
      </w:r>
    </w:p>
    <w:p w14:paraId="7590A6C2" w14:textId="09BF08BF" w:rsidR="00314348" w:rsidRPr="00382309" w:rsidRDefault="00314348" w:rsidP="0031434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382309">
        <w:rPr>
          <w:rFonts w:cs="Calibri"/>
        </w:rPr>
        <w:t>70% of year 9 students (within school match) achieve expected growth or better in writing. This represents a 5% increase in growth in each of the three domains from an average of the past four years.</w:t>
      </w:r>
    </w:p>
    <w:p w14:paraId="6A92D8AE" w14:textId="184D893A" w:rsidR="00C33BE7" w:rsidRDefault="00C33BE7" w:rsidP="00C33BE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382309">
        <w:rPr>
          <w:rFonts w:cs="Calibri"/>
        </w:rPr>
        <w:t xml:space="preserve">77% </w:t>
      </w:r>
      <w:r w:rsidR="009A55A5" w:rsidRPr="00382309">
        <w:rPr>
          <w:rFonts w:cs="Calibri"/>
        </w:rPr>
        <w:t xml:space="preserve">of year 9 students (within school match) achieve expected growth or better </w:t>
      </w:r>
      <w:r w:rsidRPr="00382309">
        <w:rPr>
          <w:rFonts w:cs="Calibri"/>
        </w:rPr>
        <w:t xml:space="preserve">in numeracy.  This represents </w:t>
      </w:r>
      <w:r>
        <w:rPr>
          <w:rFonts w:cs="Calibri"/>
          <w:color w:val="000000"/>
        </w:rPr>
        <w:t>a 5% increase in growth in each of the three domains from an average of the past four years.</w:t>
      </w:r>
    </w:p>
    <w:p w14:paraId="1E8F729D" w14:textId="77777777" w:rsidR="00C33BE7" w:rsidRPr="009B6467" w:rsidRDefault="00C33BE7" w:rsidP="00C33BE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rPr>
          <w:rFonts w:cs="Calibri"/>
          <w:color w:val="000000"/>
        </w:rPr>
        <w:t>Increase the number of Digital Technology classes from three in 2018 to six and at least one STEM class.</w:t>
      </w:r>
    </w:p>
    <w:p w14:paraId="002CBDFE" w14:textId="77777777" w:rsidR="00C33BE7" w:rsidRDefault="00C33BE7" w:rsidP="00C33BE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t>All students utilise E-portfolios as repositories for their best work, goals and future planning</w:t>
      </w:r>
    </w:p>
    <w:p w14:paraId="4F815B4A" w14:textId="0A5149DC" w:rsidR="00C33BE7" w:rsidRPr="00C33BE7" w:rsidRDefault="00C33BE7" w:rsidP="00C33BE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t xml:space="preserve">All staff can critically reflect on their </w:t>
      </w:r>
      <w:r>
        <w:rPr>
          <w:rFonts w:cs="Calibri"/>
          <w:color w:val="000000"/>
        </w:rPr>
        <w:t>impact on student learning</w:t>
      </w:r>
      <w:r>
        <w:t xml:space="preserve"> using a range of data/e</w:t>
      </w:r>
      <w:r w:rsidRPr="008145A7">
        <w:rPr>
          <w:rFonts w:cs="Calibri"/>
          <w:color w:val="000000"/>
        </w:rPr>
        <w:t xml:space="preserve">vidence-based tools </w:t>
      </w:r>
    </w:p>
    <w:p w14:paraId="6B8B241B" w14:textId="77777777" w:rsidR="00C33BE7" w:rsidRDefault="00C33BE7" w:rsidP="00C33B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contextualSpacing/>
      </w:pPr>
    </w:p>
    <w:p w14:paraId="1319DBFF" w14:textId="6FAF44AA" w:rsidR="004D5E45" w:rsidRPr="00373DC0" w:rsidRDefault="004D5E45" w:rsidP="00837137">
      <w:pPr>
        <w:pStyle w:val="BodyText"/>
      </w:pPr>
      <w:r w:rsidRPr="00373DC0">
        <w:t>In 20</w:t>
      </w:r>
      <w:r w:rsidR="00C36B48">
        <w:t>19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52B7354B" w14:textId="77777777" w:rsidR="00104D09" w:rsidRPr="00482DDC" w:rsidRDefault="00104D09" w:rsidP="00104D09">
      <w:pPr>
        <w:pStyle w:val="ListBullet"/>
      </w:pPr>
      <w:r w:rsidRPr="00482DDC">
        <w:t xml:space="preserve">Implement a school wide inquiry approach to professional learning communities with a focus on using data and evidence to show growth in student learning </w:t>
      </w:r>
    </w:p>
    <w:p w14:paraId="445CF24F" w14:textId="77777777" w:rsidR="00104D09" w:rsidRPr="00482DDC" w:rsidRDefault="00104D09" w:rsidP="00104D09">
      <w:pPr>
        <w:pStyle w:val="ListBullet"/>
        <w:rPr>
          <w:i/>
        </w:rPr>
      </w:pPr>
      <w:r w:rsidRPr="00482DDC">
        <w:t>Develop and trial models which allow an increase in pedagogies focussing on 21</w:t>
      </w:r>
      <w:r w:rsidRPr="00482DDC">
        <w:rPr>
          <w:vertAlign w:val="superscript"/>
        </w:rPr>
        <w:t>st</w:t>
      </w:r>
      <w:r w:rsidRPr="00482DDC">
        <w:t xml:space="preserve"> Century skills and General Capabilities </w:t>
      </w:r>
    </w:p>
    <w:p w14:paraId="5D7D6EBF" w14:textId="77777777" w:rsidR="00104D09" w:rsidRPr="000F0410" w:rsidRDefault="00104D09" w:rsidP="00104D09">
      <w:pPr>
        <w:pStyle w:val="ListBullet"/>
      </w:pPr>
      <w:r>
        <w:t>Develop and trial methodologies for providing evidence of and assessing 21</w:t>
      </w:r>
      <w:r w:rsidRPr="0010587A">
        <w:rPr>
          <w:vertAlign w:val="superscript"/>
        </w:rPr>
        <w:t>st</w:t>
      </w:r>
      <w:r>
        <w:t xml:space="preserve"> Century skills and General Capabilities which incorporate student reflection on learning</w:t>
      </w:r>
    </w:p>
    <w:p w14:paraId="6403B9E2" w14:textId="77777777" w:rsidR="009B454E" w:rsidRDefault="009B454E" w:rsidP="009B454E">
      <w:pPr>
        <w:pStyle w:val="BodyText"/>
      </w:pPr>
    </w:p>
    <w:p w14:paraId="7DFF073D" w14:textId="1E021A1D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11CF262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676D6E2B" w14:textId="77777777" w:rsidR="006D2F6B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118BFB5A" w14:textId="2A95260A" w:rsidR="00314348" w:rsidRPr="00314348" w:rsidRDefault="00314348" w:rsidP="00D56F59">
            <w:pPr>
              <w:jc w:val="center"/>
            </w:pPr>
            <w:r w:rsidRPr="00314348">
              <w:t>2017</w:t>
            </w:r>
          </w:p>
        </w:tc>
        <w:tc>
          <w:tcPr>
            <w:tcW w:w="790" w:type="dxa"/>
            <w:shd w:val="clear" w:color="auto" w:fill="auto"/>
          </w:tcPr>
          <w:p w14:paraId="76AE5EE2" w14:textId="77777777" w:rsidR="006D2F6B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42366ADC" w14:textId="6F824040" w:rsidR="00314348" w:rsidRPr="00314348" w:rsidRDefault="00314348" w:rsidP="00D56F59">
            <w:pPr>
              <w:jc w:val="center"/>
            </w:pPr>
            <w:r w:rsidRPr="00314348">
              <w:t>2018</w:t>
            </w:r>
          </w:p>
        </w:tc>
        <w:tc>
          <w:tcPr>
            <w:tcW w:w="790" w:type="dxa"/>
            <w:shd w:val="clear" w:color="auto" w:fill="auto"/>
          </w:tcPr>
          <w:p w14:paraId="4027F295" w14:textId="77777777" w:rsidR="006D2F6B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3CAE587B" w14:textId="60BCA0CA" w:rsidR="00314348" w:rsidRPr="00314348" w:rsidRDefault="00314348" w:rsidP="00D56F59">
            <w:pPr>
              <w:jc w:val="center"/>
            </w:pPr>
            <w:r w:rsidRPr="00314348">
              <w:t>2019</w:t>
            </w:r>
          </w:p>
        </w:tc>
        <w:tc>
          <w:tcPr>
            <w:tcW w:w="790" w:type="dxa"/>
            <w:shd w:val="clear" w:color="auto" w:fill="auto"/>
          </w:tcPr>
          <w:p w14:paraId="77063A34" w14:textId="77777777" w:rsidR="006D2F6B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0785495E" w14:textId="73A036EB" w:rsidR="00314348" w:rsidRPr="00314348" w:rsidRDefault="00314348" w:rsidP="00D56F59">
            <w:pPr>
              <w:jc w:val="center"/>
            </w:pPr>
            <w:r w:rsidRPr="00314348">
              <w:t>2020</w:t>
            </w:r>
          </w:p>
        </w:tc>
        <w:tc>
          <w:tcPr>
            <w:tcW w:w="790" w:type="dxa"/>
            <w:shd w:val="clear" w:color="auto" w:fill="auto"/>
          </w:tcPr>
          <w:p w14:paraId="7F50D085" w14:textId="77777777" w:rsidR="006D2F6B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1F5C5718" w14:textId="2F02BE99" w:rsidR="00314348" w:rsidRPr="00314348" w:rsidRDefault="00314348" w:rsidP="00D56F59">
            <w:pPr>
              <w:jc w:val="center"/>
            </w:pPr>
            <w:r w:rsidRPr="00314348">
              <w:t>2021</w:t>
            </w:r>
          </w:p>
        </w:tc>
        <w:tc>
          <w:tcPr>
            <w:tcW w:w="791" w:type="dxa"/>
            <w:shd w:val="clear" w:color="auto" w:fill="auto"/>
          </w:tcPr>
          <w:p w14:paraId="76DFE7BE" w14:textId="77777777" w:rsidR="006D2F6B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3485F32F" w14:textId="5CCA4EC8" w:rsidR="00314348" w:rsidRPr="00314348" w:rsidRDefault="00314348" w:rsidP="00D56F59">
            <w:pPr>
              <w:jc w:val="center"/>
            </w:pPr>
            <w:r w:rsidRPr="00314348">
              <w:t>2022</w:t>
            </w:r>
          </w:p>
        </w:tc>
      </w:tr>
      <w:tr w:rsidR="006D2F6B" w14:paraId="3B6F6B79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2F72BA3" w14:textId="2FB72563" w:rsidR="006D2F6B" w:rsidRPr="00D03B0C" w:rsidRDefault="00304B4B" w:rsidP="00D03B0C">
            <w:pPr>
              <w:pStyle w:val="PlainText"/>
            </w:pPr>
            <w:r>
              <w:t>NAPLAN expected growth reading</w:t>
            </w:r>
          </w:p>
        </w:tc>
        <w:tc>
          <w:tcPr>
            <w:tcW w:w="790" w:type="dxa"/>
            <w:shd w:val="clear" w:color="auto" w:fill="auto"/>
          </w:tcPr>
          <w:p w14:paraId="6F51F004" w14:textId="6C4DB3DC" w:rsidR="006D2F6B" w:rsidRPr="00D03B0C" w:rsidRDefault="00205B6D" w:rsidP="000B45D8">
            <w:pPr>
              <w:jc w:val="center"/>
            </w:pPr>
            <w:r>
              <w:t>58.0%</w:t>
            </w:r>
          </w:p>
        </w:tc>
        <w:tc>
          <w:tcPr>
            <w:tcW w:w="790" w:type="dxa"/>
            <w:shd w:val="clear" w:color="auto" w:fill="auto"/>
          </w:tcPr>
          <w:p w14:paraId="3571C78F" w14:textId="70C1CEDC" w:rsidR="006D2F6B" w:rsidRPr="00D03B0C" w:rsidRDefault="00205B6D" w:rsidP="000B45D8">
            <w:pPr>
              <w:jc w:val="center"/>
            </w:pPr>
            <w:r>
              <w:t>65.7%</w:t>
            </w:r>
          </w:p>
        </w:tc>
        <w:tc>
          <w:tcPr>
            <w:tcW w:w="790" w:type="dxa"/>
            <w:shd w:val="clear" w:color="auto" w:fill="auto"/>
          </w:tcPr>
          <w:p w14:paraId="69018766" w14:textId="344ECA08" w:rsidR="006D2F6B" w:rsidRPr="00D03B0C" w:rsidRDefault="00205B6D" w:rsidP="000B45D8">
            <w:pPr>
              <w:jc w:val="center"/>
            </w:pPr>
            <w:r>
              <w:t>63.5%</w:t>
            </w:r>
          </w:p>
        </w:tc>
        <w:tc>
          <w:tcPr>
            <w:tcW w:w="790" w:type="dxa"/>
            <w:shd w:val="clear" w:color="auto" w:fill="auto"/>
          </w:tcPr>
          <w:p w14:paraId="7AB434B5" w14:textId="77777777" w:rsidR="006D2F6B" w:rsidRPr="00D03B0C" w:rsidRDefault="006D2F6B" w:rsidP="000B45D8">
            <w:pPr>
              <w:jc w:val="center"/>
            </w:pPr>
          </w:p>
        </w:tc>
        <w:tc>
          <w:tcPr>
            <w:tcW w:w="790" w:type="dxa"/>
            <w:shd w:val="clear" w:color="auto" w:fill="auto"/>
          </w:tcPr>
          <w:p w14:paraId="6E571018" w14:textId="77777777" w:rsidR="006D2F6B" w:rsidRPr="00D03B0C" w:rsidRDefault="006D2F6B" w:rsidP="000B45D8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1D114ACD" w14:textId="7C70CF01" w:rsidR="006D2F6B" w:rsidRPr="00304B4B" w:rsidRDefault="00304B4B" w:rsidP="00304B4B">
            <w:pPr>
              <w:jc w:val="center"/>
              <w:rPr>
                <w:color w:val="00B050"/>
              </w:rPr>
            </w:pPr>
            <w:r w:rsidRPr="00304B4B">
              <w:rPr>
                <w:color w:val="00B050"/>
              </w:rPr>
              <w:t>70%</w:t>
            </w:r>
          </w:p>
        </w:tc>
      </w:tr>
      <w:tr w:rsidR="006D2F6B" w14:paraId="3E447EB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3C7AC1FF" w14:textId="0A25414B" w:rsidR="006D2F6B" w:rsidRPr="00D03B0C" w:rsidRDefault="00304B4B" w:rsidP="006D2F6B">
            <w:r>
              <w:t xml:space="preserve">NAPLAN expected growth writing </w:t>
            </w:r>
          </w:p>
        </w:tc>
        <w:tc>
          <w:tcPr>
            <w:tcW w:w="790" w:type="dxa"/>
            <w:shd w:val="clear" w:color="auto" w:fill="auto"/>
          </w:tcPr>
          <w:p w14:paraId="4C712096" w14:textId="3DD8348A" w:rsidR="006D2F6B" w:rsidRPr="00D03B0C" w:rsidRDefault="00205B6D" w:rsidP="000B45D8">
            <w:pPr>
              <w:jc w:val="center"/>
            </w:pPr>
            <w:r>
              <w:t>65.4%</w:t>
            </w:r>
          </w:p>
        </w:tc>
        <w:tc>
          <w:tcPr>
            <w:tcW w:w="790" w:type="dxa"/>
            <w:shd w:val="clear" w:color="auto" w:fill="auto"/>
          </w:tcPr>
          <w:p w14:paraId="2AFC093D" w14:textId="26145DF3" w:rsidR="006D2F6B" w:rsidRPr="00D03B0C" w:rsidRDefault="00205B6D" w:rsidP="000B45D8">
            <w:pPr>
              <w:jc w:val="center"/>
            </w:pPr>
            <w:r>
              <w:t>48.7%</w:t>
            </w:r>
          </w:p>
        </w:tc>
        <w:tc>
          <w:tcPr>
            <w:tcW w:w="790" w:type="dxa"/>
            <w:shd w:val="clear" w:color="auto" w:fill="auto"/>
          </w:tcPr>
          <w:p w14:paraId="21FB2E79" w14:textId="517D6B26" w:rsidR="006D2F6B" w:rsidRPr="00D03B0C" w:rsidRDefault="00205B6D" w:rsidP="000B45D8">
            <w:pPr>
              <w:jc w:val="center"/>
            </w:pPr>
            <w:r>
              <w:t>63.0%</w:t>
            </w:r>
          </w:p>
        </w:tc>
        <w:tc>
          <w:tcPr>
            <w:tcW w:w="790" w:type="dxa"/>
            <w:shd w:val="clear" w:color="auto" w:fill="auto"/>
          </w:tcPr>
          <w:p w14:paraId="3C328C1C" w14:textId="77777777" w:rsidR="006D2F6B" w:rsidRPr="00D03B0C" w:rsidRDefault="006D2F6B" w:rsidP="000B45D8">
            <w:pPr>
              <w:jc w:val="center"/>
            </w:pPr>
          </w:p>
        </w:tc>
        <w:tc>
          <w:tcPr>
            <w:tcW w:w="790" w:type="dxa"/>
            <w:shd w:val="clear" w:color="auto" w:fill="auto"/>
          </w:tcPr>
          <w:p w14:paraId="7A35D1D4" w14:textId="77777777" w:rsidR="006D2F6B" w:rsidRPr="00D03B0C" w:rsidRDefault="006D2F6B" w:rsidP="000B45D8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7DBFB30A" w14:textId="486E0485" w:rsidR="006D2F6B" w:rsidRPr="00304B4B" w:rsidRDefault="00304B4B" w:rsidP="00304B4B">
            <w:pPr>
              <w:jc w:val="center"/>
              <w:rPr>
                <w:color w:val="00B050"/>
              </w:rPr>
            </w:pPr>
            <w:r w:rsidRPr="00304B4B">
              <w:rPr>
                <w:color w:val="00B050"/>
              </w:rPr>
              <w:t>70%</w:t>
            </w:r>
          </w:p>
        </w:tc>
      </w:tr>
      <w:tr w:rsidR="00304B4B" w14:paraId="5AE50917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1C9C547" w14:textId="05A34E4F" w:rsidR="00304B4B" w:rsidRPr="00D03B0C" w:rsidRDefault="00304B4B" w:rsidP="006D2F6B">
            <w:r>
              <w:t xml:space="preserve">NAPLAN expected growth numeracy </w:t>
            </w:r>
          </w:p>
        </w:tc>
        <w:tc>
          <w:tcPr>
            <w:tcW w:w="790" w:type="dxa"/>
            <w:shd w:val="clear" w:color="auto" w:fill="auto"/>
          </w:tcPr>
          <w:p w14:paraId="44A20857" w14:textId="5F4CD29B" w:rsidR="00304B4B" w:rsidRPr="00D03B0C" w:rsidRDefault="00205B6D" w:rsidP="000B45D8">
            <w:pPr>
              <w:jc w:val="center"/>
            </w:pPr>
            <w:r>
              <w:t>61.7%</w:t>
            </w:r>
          </w:p>
        </w:tc>
        <w:tc>
          <w:tcPr>
            <w:tcW w:w="790" w:type="dxa"/>
            <w:shd w:val="clear" w:color="auto" w:fill="auto"/>
          </w:tcPr>
          <w:p w14:paraId="1726B964" w14:textId="10C5FD11" w:rsidR="00304B4B" w:rsidRPr="00D03B0C" w:rsidRDefault="00205B6D" w:rsidP="000B45D8">
            <w:pPr>
              <w:jc w:val="center"/>
            </w:pPr>
            <w:r>
              <w:t>64.5%</w:t>
            </w:r>
          </w:p>
        </w:tc>
        <w:tc>
          <w:tcPr>
            <w:tcW w:w="790" w:type="dxa"/>
            <w:shd w:val="clear" w:color="auto" w:fill="auto"/>
          </w:tcPr>
          <w:p w14:paraId="43A2E541" w14:textId="06F73AA2" w:rsidR="00304B4B" w:rsidRPr="00D03B0C" w:rsidRDefault="00205B6D" w:rsidP="000B45D8">
            <w:pPr>
              <w:jc w:val="center"/>
            </w:pPr>
            <w:r>
              <w:t>54.8%</w:t>
            </w:r>
          </w:p>
        </w:tc>
        <w:tc>
          <w:tcPr>
            <w:tcW w:w="790" w:type="dxa"/>
            <w:shd w:val="clear" w:color="auto" w:fill="auto"/>
          </w:tcPr>
          <w:p w14:paraId="5B41C3BB" w14:textId="77777777" w:rsidR="00304B4B" w:rsidRPr="00D03B0C" w:rsidRDefault="00304B4B" w:rsidP="000B45D8">
            <w:pPr>
              <w:jc w:val="center"/>
            </w:pPr>
          </w:p>
        </w:tc>
        <w:tc>
          <w:tcPr>
            <w:tcW w:w="790" w:type="dxa"/>
            <w:shd w:val="clear" w:color="auto" w:fill="auto"/>
          </w:tcPr>
          <w:p w14:paraId="04FEC3F7" w14:textId="77777777" w:rsidR="00304B4B" w:rsidRPr="00D03B0C" w:rsidRDefault="00304B4B" w:rsidP="000B45D8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3CB084D7" w14:textId="6499E2EE" w:rsidR="00304B4B" w:rsidRPr="00304B4B" w:rsidRDefault="00304B4B" w:rsidP="00304B4B">
            <w:pPr>
              <w:jc w:val="center"/>
              <w:rPr>
                <w:color w:val="00B050"/>
              </w:rPr>
            </w:pPr>
            <w:r w:rsidRPr="00304B4B">
              <w:rPr>
                <w:color w:val="00B050"/>
              </w:rPr>
              <w:t>77%</w:t>
            </w:r>
          </w:p>
        </w:tc>
      </w:tr>
    </w:tbl>
    <w:p w14:paraId="7EC75DC1" w14:textId="77777777" w:rsidR="00580F50" w:rsidRDefault="00580F50" w:rsidP="00C81D5D">
      <w:pPr>
        <w:pStyle w:val="Heading4"/>
      </w:pPr>
    </w:p>
    <w:p w14:paraId="71110D5E" w14:textId="51B09816" w:rsidR="0095326F" w:rsidRPr="0095326F" w:rsidRDefault="008A01DA" w:rsidP="00C81D5D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314348" w14:paraId="4EF7DD9F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3269C94" w14:textId="77777777" w:rsidR="00314348" w:rsidRPr="006D2F6B" w:rsidRDefault="00314348" w:rsidP="00314348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20EAB315" w14:textId="77777777" w:rsidR="00314348" w:rsidRDefault="00314348" w:rsidP="00314348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4B51A1C5" w14:textId="66E4E280" w:rsidR="00314348" w:rsidRPr="006D2F6B" w:rsidRDefault="00314348" w:rsidP="00314348">
            <w:pPr>
              <w:jc w:val="center"/>
              <w:rPr>
                <w:b/>
              </w:rPr>
            </w:pPr>
            <w:r w:rsidRPr="00314348">
              <w:t>2017</w:t>
            </w:r>
          </w:p>
        </w:tc>
        <w:tc>
          <w:tcPr>
            <w:tcW w:w="790" w:type="dxa"/>
            <w:shd w:val="clear" w:color="auto" w:fill="auto"/>
          </w:tcPr>
          <w:p w14:paraId="1CEEAD94" w14:textId="77777777" w:rsidR="00314348" w:rsidRDefault="00314348" w:rsidP="00314348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15B7F1C3" w14:textId="0B85BAB2" w:rsidR="00314348" w:rsidRPr="006D2F6B" w:rsidRDefault="00314348" w:rsidP="00314348">
            <w:pPr>
              <w:jc w:val="center"/>
              <w:rPr>
                <w:b/>
              </w:rPr>
            </w:pPr>
            <w:r w:rsidRPr="00314348">
              <w:t>2018</w:t>
            </w:r>
          </w:p>
        </w:tc>
        <w:tc>
          <w:tcPr>
            <w:tcW w:w="790" w:type="dxa"/>
            <w:shd w:val="clear" w:color="auto" w:fill="auto"/>
          </w:tcPr>
          <w:p w14:paraId="5C3C08E5" w14:textId="77777777" w:rsidR="00314348" w:rsidRDefault="00314348" w:rsidP="00314348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4CC28E98" w14:textId="062E3008" w:rsidR="00314348" w:rsidRPr="006D2F6B" w:rsidRDefault="00314348" w:rsidP="00314348">
            <w:pPr>
              <w:jc w:val="center"/>
              <w:rPr>
                <w:b/>
              </w:rPr>
            </w:pPr>
            <w:r w:rsidRPr="00314348">
              <w:t>2019</w:t>
            </w:r>
          </w:p>
        </w:tc>
        <w:tc>
          <w:tcPr>
            <w:tcW w:w="790" w:type="dxa"/>
            <w:shd w:val="clear" w:color="auto" w:fill="auto"/>
          </w:tcPr>
          <w:p w14:paraId="437879D8" w14:textId="77777777" w:rsidR="00314348" w:rsidRDefault="00314348" w:rsidP="00314348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5EE5455E" w14:textId="7FE71939" w:rsidR="00314348" w:rsidRPr="006D2F6B" w:rsidRDefault="00314348" w:rsidP="00314348">
            <w:pPr>
              <w:jc w:val="center"/>
              <w:rPr>
                <w:b/>
              </w:rPr>
            </w:pPr>
            <w:r w:rsidRPr="00314348">
              <w:t>2020</w:t>
            </w:r>
          </w:p>
        </w:tc>
        <w:tc>
          <w:tcPr>
            <w:tcW w:w="790" w:type="dxa"/>
            <w:shd w:val="clear" w:color="auto" w:fill="auto"/>
          </w:tcPr>
          <w:p w14:paraId="5604985A" w14:textId="77777777" w:rsidR="00314348" w:rsidRDefault="00314348" w:rsidP="00314348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1CA3136C" w14:textId="09559F8C" w:rsidR="00314348" w:rsidRPr="006D2F6B" w:rsidRDefault="00314348" w:rsidP="00314348">
            <w:pPr>
              <w:jc w:val="center"/>
              <w:rPr>
                <w:b/>
              </w:rPr>
            </w:pPr>
            <w:r w:rsidRPr="00314348">
              <w:t>2021</w:t>
            </w:r>
          </w:p>
        </w:tc>
        <w:tc>
          <w:tcPr>
            <w:tcW w:w="791" w:type="dxa"/>
            <w:shd w:val="clear" w:color="auto" w:fill="auto"/>
          </w:tcPr>
          <w:p w14:paraId="21E3809F" w14:textId="77777777" w:rsidR="00314348" w:rsidRDefault="00314348" w:rsidP="00314348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372CDBC5" w14:textId="2FCA2A4E" w:rsidR="00314348" w:rsidRPr="006D2F6B" w:rsidRDefault="00314348" w:rsidP="00314348">
            <w:pPr>
              <w:jc w:val="center"/>
              <w:rPr>
                <w:b/>
              </w:rPr>
            </w:pPr>
            <w:r w:rsidRPr="00314348">
              <w:t>2022</w:t>
            </w:r>
          </w:p>
        </w:tc>
      </w:tr>
      <w:tr w:rsidR="006D2F6B" w14:paraId="71FE611D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4716D6B3" w14:textId="35365F5D" w:rsidR="000F6DA9" w:rsidRDefault="000F6DA9" w:rsidP="00D03B0C">
            <w:pPr>
              <w:pStyle w:val="PlainText"/>
            </w:pPr>
            <w:r>
              <w:t>Student perception data –</w:t>
            </w:r>
          </w:p>
          <w:p w14:paraId="1A290323" w14:textId="77777777" w:rsidR="00C81D5D" w:rsidRDefault="002524C0" w:rsidP="00D03B0C">
            <w:pPr>
              <w:pStyle w:val="PlainText"/>
            </w:pPr>
            <w:r>
              <w:t>Teachers give useful feedback</w:t>
            </w:r>
            <w:r w:rsidR="000F6DA9">
              <w:t xml:space="preserve"> </w:t>
            </w:r>
          </w:p>
          <w:p w14:paraId="15FDFA6D" w14:textId="52EFDA0A" w:rsidR="002524C0" w:rsidRPr="006D2F6B" w:rsidRDefault="00C81D5D" w:rsidP="00D03B0C">
            <w:pPr>
              <w:pStyle w:val="PlainText"/>
            </w:pPr>
            <w:r>
              <w:t>(</w:t>
            </w:r>
            <w:r w:rsidR="000F6DA9">
              <w:t>% strongly agree and agree</w:t>
            </w:r>
            <w:r>
              <w:t>)</w:t>
            </w:r>
          </w:p>
        </w:tc>
        <w:tc>
          <w:tcPr>
            <w:tcW w:w="790" w:type="dxa"/>
            <w:shd w:val="clear" w:color="auto" w:fill="auto"/>
          </w:tcPr>
          <w:p w14:paraId="4B7CDD05" w14:textId="0690973C" w:rsidR="006D2F6B" w:rsidRPr="00450AE0" w:rsidRDefault="000F6DA9" w:rsidP="00B87959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t>60.8%</w:t>
            </w:r>
          </w:p>
        </w:tc>
        <w:tc>
          <w:tcPr>
            <w:tcW w:w="790" w:type="dxa"/>
            <w:shd w:val="clear" w:color="auto" w:fill="auto"/>
          </w:tcPr>
          <w:p w14:paraId="1037F637" w14:textId="40CBB746" w:rsidR="006D2F6B" w:rsidRPr="00450AE0" w:rsidRDefault="000F6DA9" w:rsidP="00B87959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t>63.4%</w:t>
            </w:r>
          </w:p>
        </w:tc>
        <w:tc>
          <w:tcPr>
            <w:tcW w:w="790" w:type="dxa"/>
            <w:shd w:val="clear" w:color="auto" w:fill="auto"/>
          </w:tcPr>
          <w:p w14:paraId="4DED56F3" w14:textId="30BB1488" w:rsidR="006D2F6B" w:rsidRPr="00450AE0" w:rsidRDefault="000F6DA9" w:rsidP="00B87959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t>63.3%</w:t>
            </w:r>
          </w:p>
        </w:tc>
        <w:tc>
          <w:tcPr>
            <w:tcW w:w="790" w:type="dxa"/>
            <w:shd w:val="clear" w:color="auto" w:fill="auto"/>
          </w:tcPr>
          <w:p w14:paraId="252D803F" w14:textId="77777777" w:rsidR="006D2F6B" w:rsidRPr="006D2F6B" w:rsidRDefault="006D2F6B" w:rsidP="00B87959">
            <w:pPr>
              <w:jc w:val="center"/>
            </w:pPr>
          </w:p>
        </w:tc>
        <w:tc>
          <w:tcPr>
            <w:tcW w:w="790" w:type="dxa"/>
            <w:shd w:val="clear" w:color="auto" w:fill="auto"/>
          </w:tcPr>
          <w:p w14:paraId="5D9DADCD" w14:textId="77777777" w:rsidR="006D2F6B" w:rsidRPr="006D2F6B" w:rsidRDefault="006D2F6B" w:rsidP="00B87959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0521852A" w14:textId="77777777" w:rsidR="006D2F6B" w:rsidRPr="006D2F6B" w:rsidRDefault="006D2F6B" w:rsidP="00B87959">
            <w:pPr>
              <w:jc w:val="center"/>
            </w:pPr>
          </w:p>
        </w:tc>
      </w:tr>
      <w:tr w:rsidR="00B87959" w14:paraId="46ECF983" w14:textId="77777777" w:rsidTr="00B87959">
        <w:trPr>
          <w:jc w:val="center"/>
        </w:trPr>
        <w:tc>
          <w:tcPr>
            <w:tcW w:w="4297" w:type="dxa"/>
            <w:shd w:val="clear" w:color="auto" w:fill="auto"/>
          </w:tcPr>
          <w:p w14:paraId="1D2FD742" w14:textId="77777777" w:rsidR="00B87959" w:rsidRDefault="00B87959" w:rsidP="00B87959">
            <w:pPr>
              <w:pStyle w:val="PlainText"/>
            </w:pPr>
            <w:r>
              <w:t>Student perception data –</w:t>
            </w:r>
          </w:p>
          <w:p w14:paraId="4F61AF61" w14:textId="66F593C2" w:rsidR="00B87959" w:rsidRDefault="00B87959" w:rsidP="00B87959">
            <w:pPr>
              <w:pStyle w:val="PlainText"/>
            </w:pPr>
            <w:r>
              <w:t xml:space="preserve">I </w:t>
            </w:r>
            <w:proofErr w:type="gramStart"/>
            <w:r>
              <w:t>have the opportunity to</w:t>
            </w:r>
            <w:proofErr w:type="gramEnd"/>
            <w:r>
              <w:t xml:space="preserve"> provide feedback about teaching and learning programs </w:t>
            </w:r>
          </w:p>
          <w:p w14:paraId="428F48AE" w14:textId="7192031D" w:rsidR="00B87959" w:rsidRDefault="00B87959" w:rsidP="00B87959">
            <w:pPr>
              <w:pStyle w:val="PlainText"/>
            </w:pPr>
            <w:r>
              <w:t>(% strongly agree and agree)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0DE41E45" w14:textId="77777777" w:rsidR="00B87959" w:rsidRPr="000A6307" w:rsidRDefault="00B87959" w:rsidP="00B87959">
            <w:pPr>
              <w:jc w:val="center"/>
              <w:rPr>
                <w:color w:val="D09E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0369F57E" w14:textId="77777777" w:rsidR="00B87959" w:rsidRPr="000A6307" w:rsidRDefault="00B87959" w:rsidP="00B87959">
            <w:pPr>
              <w:jc w:val="center"/>
              <w:rPr>
                <w:color w:val="D09E00"/>
              </w:rPr>
            </w:pPr>
          </w:p>
        </w:tc>
        <w:tc>
          <w:tcPr>
            <w:tcW w:w="790" w:type="dxa"/>
            <w:shd w:val="clear" w:color="auto" w:fill="auto"/>
          </w:tcPr>
          <w:p w14:paraId="12FB8DA3" w14:textId="169DAF32" w:rsidR="00B87959" w:rsidRPr="000A6307" w:rsidRDefault="00B87959" w:rsidP="00B87959">
            <w:pPr>
              <w:jc w:val="center"/>
              <w:rPr>
                <w:color w:val="D09E00"/>
              </w:rPr>
            </w:pPr>
            <w:r w:rsidRPr="00B87959">
              <w:t>53.0%</w:t>
            </w:r>
          </w:p>
        </w:tc>
        <w:tc>
          <w:tcPr>
            <w:tcW w:w="790" w:type="dxa"/>
            <w:shd w:val="clear" w:color="auto" w:fill="auto"/>
          </w:tcPr>
          <w:p w14:paraId="577555CB" w14:textId="77777777" w:rsidR="00B87959" w:rsidRPr="006D2F6B" w:rsidRDefault="00B87959" w:rsidP="00B87959">
            <w:pPr>
              <w:jc w:val="center"/>
            </w:pPr>
          </w:p>
        </w:tc>
        <w:tc>
          <w:tcPr>
            <w:tcW w:w="790" w:type="dxa"/>
            <w:shd w:val="clear" w:color="auto" w:fill="auto"/>
          </w:tcPr>
          <w:p w14:paraId="4B6933B2" w14:textId="77777777" w:rsidR="00B87959" w:rsidRPr="006D2F6B" w:rsidRDefault="00B87959" w:rsidP="00B87959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1DF12389" w14:textId="77777777" w:rsidR="00B87959" w:rsidRPr="006D2F6B" w:rsidRDefault="00B87959" w:rsidP="00B87959">
            <w:pPr>
              <w:jc w:val="center"/>
            </w:pPr>
          </w:p>
        </w:tc>
      </w:tr>
      <w:tr w:rsidR="006D2F6B" w14:paraId="38F74B11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6173D3A7" w14:textId="43A2A83B" w:rsidR="00C81D5D" w:rsidRDefault="00C81D5D" w:rsidP="00C81D5D">
            <w:pPr>
              <w:pStyle w:val="PlainText"/>
            </w:pPr>
            <w:r>
              <w:t>Staff perception data –</w:t>
            </w:r>
          </w:p>
          <w:p w14:paraId="521CB753" w14:textId="42CE85A4" w:rsidR="000A6307" w:rsidRDefault="000A6307" w:rsidP="00C81D5D">
            <w:pPr>
              <w:pStyle w:val="PlainText"/>
            </w:pPr>
            <w:r>
              <w:t>Teachers f</w:t>
            </w:r>
            <w:r w:rsidR="00096CD3">
              <w:t>ro</w:t>
            </w:r>
            <w:r>
              <w:t xml:space="preserve">m this school use results from system testing and system processes to inform planning </w:t>
            </w:r>
          </w:p>
          <w:p w14:paraId="46E092F7" w14:textId="024053AB" w:rsidR="006D2F6B" w:rsidRPr="006D2F6B" w:rsidRDefault="00C81D5D" w:rsidP="00C81D5D">
            <w:r>
              <w:t>(% strongly agree and agree)</w:t>
            </w:r>
          </w:p>
        </w:tc>
        <w:tc>
          <w:tcPr>
            <w:tcW w:w="790" w:type="dxa"/>
            <w:shd w:val="clear" w:color="auto" w:fill="auto"/>
          </w:tcPr>
          <w:p w14:paraId="3072EA45" w14:textId="4220018A" w:rsidR="006D2F6B" w:rsidRPr="000A6307" w:rsidRDefault="000A6307" w:rsidP="00B87959">
            <w:pPr>
              <w:jc w:val="center"/>
              <w:rPr>
                <w:color w:val="D09E00"/>
              </w:rPr>
            </w:pPr>
            <w:r w:rsidRPr="000A6307">
              <w:rPr>
                <w:color w:val="D09E00"/>
              </w:rPr>
              <w:t>78.7%</w:t>
            </w:r>
          </w:p>
        </w:tc>
        <w:tc>
          <w:tcPr>
            <w:tcW w:w="790" w:type="dxa"/>
            <w:shd w:val="clear" w:color="auto" w:fill="auto"/>
          </w:tcPr>
          <w:p w14:paraId="4392190E" w14:textId="262B7933" w:rsidR="006D2F6B" w:rsidRPr="000A6307" w:rsidRDefault="000A6307" w:rsidP="00B87959">
            <w:pPr>
              <w:jc w:val="center"/>
              <w:rPr>
                <w:color w:val="D09E00"/>
              </w:rPr>
            </w:pPr>
            <w:r w:rsidRPr="000A6307">
              <w:rPr>
                <w:color w:val="D09E00"/>
              </w:rPr>
              <w:t>71.8%</w:t>
            </w:r>
          </w:p>
        </w:tc>
        <w:tc>
          <w:tcPr>
            <w:tcW w:w="790" w:type="dxa"/>
            <w:shd w:val="clear" w:color="auto" w:fill="auto"/>
          </w:tcPr>
          <w:p w14:paraId="56D80C92" w14:textId="772D2F26" w:rsidR="006D2F6B" w:rsidRPr="000A6307" w:rsidRDefault="000A6307" w:rsidP="00B87959">
            <w:pPr>
              <w:jc w:val="center"/>
              <w:rPr>
                <w:color w:val="D09E00"/>
              </w:rPr>
            </w:pPr>
            <w:r w:rsidRPr="000A6307">
              <w:rPr>
                <w:color w:val="D09E00"/>
              </w:rPr>
              <w:t>72.9%</w:t>
            </w:r>
          </w:p>
        </w:tc>
        <w:tc>
          <w:tcPr>
            <w:tcW w:w="790" w:type="dxa"/>
            <w:shd w:val="clear" w:color="auto" w:fill="auto"/>
          </w:tcPr>
          <w:p w14:paraId="396718C1" w14:textId="77777777" w:rsidR="006D2F6B" w:rsidRPr="006D2F6B" w:rsidRDefault="006D2F6B" w:rsidP="00B87959">
            <w:pPr>
              <w:jc w:val="center"/>
            </w:pPr>
          </w:p>
        </w:tc>
        <w:tc>
          <w:tcPr>
            <w:tcW w:w="790" w:type="dxa"/>
            <w:shd w:val="clear" w:color="auto" w:fill="auto"/>
          </w:tcPr>
          <w:p w14:paraId="432D642D" w14:textId="77777777" w:rsidR="006D2F6B" w:rsidRPr="006D2F6B" w:rsidRDefault="006D2F6B" w:rsidP="00B87959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3F68F7CD" w14:textId="77777777" w:rsidR="006D2F6B" w:rsidRPr="006D2F6B" w:rsidRDefault="006D2F6B" w:rsidP="00B87959">
            <w:pPr>
              <w:jc w:val="center"/>
            </w:pPr>
          </w:p>
        </w:tc>
      </w:tr>
    </w:tbl>
    <w:p w14:paraId="3BAAD9B9" w14:textId="77777777" w:rsidR="004C748A" w:rsidRDefault="004C748A" w:rsidP="004C748A">
      <w:pPr>
        <w:pStyle w:val="Heading4"/>
      </w:pPr>
    </w:p>
    <w:p w14:paraId="31AD0B74" w14:textId="78A70D01" w:rsidR="004C748A" w:rsidRDefault="008A01DA" w:rsidP="004C748A">
      <w:pPr>
        <w:pStyle w:val="Heading4"/>
      </w:pPr>
      <w:r>
        <w:t>School program and process data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4C748A" w14:paraId="194F5F25" w14:textId="77777777" w:rsidTr="00C5759B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20D0A43" w14:textId="7217E090" w:rsidR="00D06910" w:rsidRDefault="00382309" w:rsidP="004C748A">
            <w:pPr>
              <w:pStyle w:val="PlainText"/>
            </w:pPr>
            <w:r>
              <w:t xml:space="preserve">Nil </w:t>
            </w:r>
          </w:p>
        </w:tc>
      </w:tr>
    </w:tbl>
    <w:p w14:paraId="08235F38" w14:textId="77777777" w:rsidR="004C748A" w:rsidRPr="004C748A" w:rsidRDefault="004C748A" w:rsidP="004C748A"/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5A7D1DBC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7683E7F7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2A604068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  <w:p w14:paraId="3D66D815" w14:textId="12C1FD3F" w:rsidR="00626211" w:rsidRPr="00626211" w:rsidRDefault="00626211" w:rsidP="00D56F59">
            <w:pPr>
              <w:jc w:val="center"/>
            </w:pPr>
            <w:r w:rsidRPr="00626211">
              <w:t>2017</w:t>
            </w:r>
          </w:p>
        </w:tc>
        <w:tc>
          <w:tcPr>
            <w:tcW w:w="790" w:type="dxa"/>
            <w:shd w:val="clear" w:color="auto" w:fill="auto"/>
          </w:tcPr>
          <w:p w14:paraId="74568F42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  <w:p w14:paraId="2D7C7705" w14:textId="4EF954BE" w:rsidR="00626211" w:rsidRPr="00626211" w:rsidRDefault="00626211" w:rsidP="00D56F59">
            <w:pPr>
              <w:jc w:val="center"/>
            </w:pPr>
            <w:r w:rsidRPr="00626211">
              <w:t>2018</w:t>
            </w:r>
          </w:p>
        </w:tc>
        <w:tc>
          <w:tcPr>
            <w:tcW w:w="790" w:type="dxa"/>
            <w:shd w:val="clear" w:color="auto" w:fill="auto"/>
          </w:tcPr>
          <w:p w14:paraId="5F066CB8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  <w:p w14:paraId="1AEEC90B" w14:textId="67F0568E" w:rsidR="00626211" w:rsidRPr="00626211" w:rsidRDefault="00626211" w:rsidP="00D56F59">
            <w:pPr>
              <w:jc w:val="center"/>
            </w:pPr>
            <w:r w:rsidRPr="00626211">
              <w:t>2019</w:t>
            </w:r>
          </w:p>
        </w:tc>
        <w:tc>
          <w:tcPr>
            <w:tcW w:w="790" w:type="dxa"/>
            <w:shd w:val="clear" w:color="auto" w:fill="auto"/>
          </w:tcPr>
          <w:p w14:paraId="40D099C6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  <w:p w14:paraId="55A376BF" w14:textId="19BB5AD5" w:rsidR="00626211" w:rsidRPr="00626211" w:rsidRDefault="00626211" w:rsidP="00D56F59">
            <w:pPr>
              <w:jc w:val="center"/>
            </w:pPr>
            <w:r w:rsidRPr="00626211">
              <w:t>2020</w:t>
            </w:r>
          </w:p>
        </w:tc>
        <w:tc>
          <w:tcPr>
            <w:tcW w:w="790" w:type="dxa"/>
            <w:shd w:val="clear" w:color="auto" w:fill="auto"/>
          </w:tcPr>
          <w:p w14:paraId="4839FE03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  <w:p w14:paraId="7B0F6FB9" w14:textId="24C3EE45" w:rsidR="00626211" w:rsidRPr="00626211" w:rsidRDefault="00626211" w:rsidP="00D56F59">
            <w:pPr>
              <w:jc w:val="center"/>
            </w:pPr>
            <w:r w:rsidRPr="00626211">
              <w:t>2021</w:t>
            </w:r>
          </w:p>
        </w:tc>
        <w:tc>
          <w:tcPr>
            <w:tcW w:w="791" w:type="dxa"/>
            <w:shd w:val="clear" w:color="auto" w:fill="auto"/>
          </w:tcPr>
          <w:p w14:paraId="78175D2B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  <w:p w14:paraId="1A3E1375" w14:textId="4498B6D0" w:rsidR="00626211" w:rsidRPr="00626211" w:rsidRDefault="00626211" w:rsidP="00D56F59">
            <w:pPr>
              <w:jc w:val="center"/>
            </w:pPr>
            <w:r w:rsidRPr="00626211">
              <w:t>2022</w:t>
            </w:r>
          </w:p>
        </w:tc>
      </w:tr>
      <w:tr w:rsidR="006D2F6B" w14:paraId="511DB66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FF0947B" w14:textId="77777777" w:rsidR="00626211" w:rsidRDefault="00626211" w:rsidP="00D03B0C">
            <w:pPr>
              <w:pStyle w:val="PlainText"/>
            </w:pPr>
            <w:r>
              <w:t>Digital Technology classes</w:t>
            </w:r>
          </w:p>
          <w:p w14:paraId="0CEA91E9" w14:textId="4677EDA1" w:rsidR="006D2F6B" w:rsidRPr="006D2F6B" w:rsidRDefault="00626211" w:rsidP="00D03B0C">
            <w:pPr>
              <w:pStyle w:val="PlainText"/>
            </w:pPr>
            <w:r>
              <w:t xml:space="preserve">(total number of classes) </w:t>
            </w:r>
          </w:p>
        </w:tc>
        <w:tc>
          <w:tcPr>
            <w:tcW w:w="790" w:type="dxa"/>
            <w:shd w:val="clear" w:color="auto" w:fill="auto"/>
          </w:tcPr>
          <w:p w14:paraId="1DEC5E9B" w14:textId="653FE3C4" w:rsidR="006D2F6B" w:rsidRPr="006D2F6B" w:rsidRDefault="00626211" w:rsidP="00626211">
            <w:pPr>
              <w:jc w:val="center"/>
            </w:pPr>
            <w:r>
              <w:t>3</w:t>
            </w:r>
          </w:p>
        </w:tc>
        <w:tc>
          <w:tcPr>
            <w:tcW w:w="790" w:type="dxa"/>
            <w:shd w:val="clear" w:color="auto" w:fill="auto"/>
          </w:tcPr>
          <w:p w14:paraId="0FF61450" w14:textId="5503AEE2" w:rsidR="006D2F6B" w:rsidRPr="006D2F6B" w:rsidRDefault="00E26CA2" w:rsidP="00626211">
            <w:pPr>
              <w:jc w:val="center"/>
            </w:pPr>
            <w:r>
              <w:t>5</w:t>
            </w:r>
          </w:p>
        </w:tc>
        <w:tc>
          <w:tcPr>
            <w:tcW w:w="790" w:type="dxa"/>
            <w:shd w:val="clear" w:color="auto" w:fill="auto"/>
          </w:tcPr>
          <w:p w14:paraId="6E75F6C9" w14:textId="0958F789" w:rsidR="006D2F6B" w:rsidRPr="006D2F6B" w:rsidRDefault="00E26CA2" w:rsidP="00626211">
            <w:pPr>
              <w:jc w:val="center"/>
            </w:pPr>
            <w:r>
              <w:t>6</w:t>
            </w:r>
          </w:p>
        </w:tc>
        <w:tc>
          <w:tcPr>
            <w:tcW w:w="790" w:type="dxa"/>
            <w:shd w:val="clear" w:color="auto" w:fill="auto"/>
          </w:tcPr>
          <w:p w14:paraId="3E895FED" w14:textId="77777777" w:rsidR="006D2F6B" w:rsidRPr="006D2F6B" w:rsidRDefault="006D2F6B" w:rsidP="00626211">
            <w:pPr>
              <w:jc w:val="center"/>
            </w:pPr>
          </w:p>
        </w:tc>
        <w:tc>
          <w:tcPr>
            <w:tcW w:w="790" w:type="dxa"/>
            <w:shd w:val="clear" w:color="auto" w:fill="auto"/>
          </w:tcPr>
          <w:p w14:paraId="3731D7F2" w14:textId="77777777" w:rsidR="006D2F6B" w:rsidRPr="006D2F6B" w:rsidRDefault="006D2F6B" w:rsidP="00626211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0E363862" w14:textId="5F11B9B5" w:rsidR="006D2F6B" w:rsidRPr="006D2F6B" w:rsidRDefault="00626211" w:rsidP="00626211">
            <w:pPr>
              <w:jc w:val="center"/>
            </w:pPr>
            <w:r w:rsidRPr="00626211">
              <w:rPr>
                <w:color w:val="00B050"/>
              </w:rPr>
              <w:t>6</w:t>
            </w:r>
          </w:p>
        </w:tc>
      </w:tr>
      <w:tr w:rsidR="006D2F6B" w14:paraId="67C433E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ACCC9D6" w14:textId="77777777" w:rsidR="006D2F6B" w:rsidRDefault="00626211" w:rsidP="00761CEF">
            <w:r>
              <w:t>STEM classes</w:t>
            </w:r>
          </w:p>
          <w:p w14:paraId="7BEC87F4" w14:textId="7D67EE1B" w:rsidR="00626211" w:rsidRPr="006D2F6B" w:rsidRDefault="00626211" w:rsidP="00761CEF">
            <w:r>
              <w:t>(total number of classes)</w:t>
            </w:r>
          </w:p>
        </w:tc>
        <w:tc>
          <w:tcPr>
            <w:tcW w:w="790" w:type="dxa"/>
            <w:shd w:val="clear" w:color="auto" w:fill="auto"/>
          </w:tcPr>
          <w:p w14:paraId="3C288E5B" w14:textId="17267A12" w:rsidR="006D2F6B" w:rsidRPr="006D2F6B" w:rsidRDefault="00626211" w:rsidP="00E26CA2">
            <w:pPr>
              <w:jc w:val="center"/>
            </w:pPr>
            <w:r>
              <w:t>0</w:t>
            </w:r>
          </w:p>
        </w:tc>
        <w:tc>
          <w:tcPr>
            <w:tcW w:w="790" w:type="dxa"/>
            <w:shd w:val="clear" w:color="auto" w:fill="auto"/>
          </w:tcPr>
          <w:p w14:paraId="7AEA167E" w14:textId="0E994344" w:rsidR="006D2F6B" w:rsidRPr="006D2F6B" w:rsidRDefault="00E26CA2" w:rsidP="00E26CA2">
            <w:pPr>
              <w:jc w:val="center"/>
            </w:pPr>
            <w:r>
              <w:t>1</w:t>
            </w:r>
          </w:p>
        </w:tc>
        <w:tc>
          <w:tcPr>
            <w:tcW w:w="790" w:type="dxa"/>
            <w:shd w:val="clear" w:color="auto" w:fill="auto"/>
          </w:tcPr>
          <w:p w14:paraId="016DCD06" w14:textId="28B636AF" w:rsidR="006D2F6B" w:rsidRPr="006D2F6B" w:rsidRDefault="00E26CA2" w:rsidP="00E26CA2">
            <w:pPr>
              <w:jc w:val="center"/>
            </w:pPr>
            <w:r>
              <w:t>5</w:t>
            </w:r>
          </w:p>
        </w:tc>
        <w:tc>
          <w:tcPr>
            <w:tcW w:w="790" w:type="dxa"/>
            <w:shd w:val="clear" w:color="auto" w:fill="auto"/>
          </w:tcPr>
          <w:p w14:paraId="6C5F0C5C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156A1392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217D8781" w14:textId="77777777" w:rsidR="006D2F6B" w:rsidRPr="006D2F6B" w:rsidRDefault="006D2F6B" w:rsidP="00D03B0C"/>
        </w:tc>
      </w:tr>
    </w:tbl>
    <w:p w14:paraId="6D092A05" w14:textId="77777777" w:rsidR="008A01DA" w:rsidRDefault="008A01DA" w:rsidP="00E061B8">
      <w:pPr>
        <w:pStyle w:val="BodyText"/>
      </w:pPr>
    </w:p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6E9CE62D" w14:textId="47E6AD50" w:rsidR="003D3E1F" w:rsidRDefault="000B45D8" w:rsidP="003D3E1F">
            <w:pPr>
              <w:pStyle w:val="PlainText"/>
              <w:rPr>
                <w:b/>
              </w:rPr>
            </w:pPr>
            <w:bookmarkStart w:id="1" w:name="_Hlk30417168"/>
            <w:r>
              <w:rPr>
                <w:b/>
              </w:rPr>
              <w:t>Y</w:t>
            </w:r>
            <w:r w:rsidR="003D3E1F" w:rsidRPr="00750B7C">
              <w:rPr>
                <w:b/>
              </w:rPr>
              <w:t xml:space="preserve">ear 9 NAPLAN </w:t>
            </w:r>
            <w:r w:rsidR="003D3E1F">
              <w:rPr>
                <w:b/>
              </w:rPr>
              <w:t>Reading</w:t>
            </w:r>
            <w:r w:rsidR="003D3E1F" w:rsidRPr="00750B7C">
              <w:rPr>
                <w:b/>
              </w:rPr>
              <w:t xml:space="preserve"> Analysis</w:t>
            </w:r>
          </w:p>
          <w:p w14:paraId="01FC2C20" w14:textId="77777777" w:rsidR="00A02646" w:rsidRDefault="00302949" w:rsidP="00302949">
            <w:pPr>
              <w:pStyle w:val="PlainText"/>
            </w:pPr>
            <w:r>
              <w:t>The percentage of students achieving at or above expected growth in year 9 NAPLAN Reading ha</w:t>
            </w:r>
            <w:r w:rsidR="003D6DBA">
              <w:t>s</w:t>
            </w:r>
            <w:r>
              <w:t xml:space="preserve"> increased from the </w:t>
            </w:r>
            <w:r w:rsidR="003D6DBA">
              <w:t>baseline of 58% at the commencement of the improvement cycle to 63.5% in 2019. This represents a positive trend toward the projected target of 70% by 2022.</w:t>
            </w:r>
            <w:r w:rsidR="00A02646">
              <w:t xml:space="preserve"> </w:t>
            </w:r>
          </w:p>
          <w:p w14:paraId="16735400" w14:textId="547B7348" w:rsidR="00F731C4" w:rsidRDefault="00A02646" w:rsidP="00302949">
            <w:pPr>
              <w:pStyle w:val="PlainText"/>
              <w:rPr>
                <w:szCs w:val="22"/>
              </w:rPr>
            </w:pPr>
            <w:r>
              <w:t>41.4% (79</w:t>
            </w:r>
            <w:r w:rsidR="00860A3A">
              <w:t xml:space="preserve"> students</w:t>
            </w:r>
            <w:r>
              <w:t xml:space="preserve">) were in the top 2 bands for reading </w:t>
            </w:r>
            <w:r w:rsidRPr="00A02646">
              <w:rPr>
                <w:szCs w:val="22"/>
              </w:rPr>
              <w:t>compared to 40.1% in top two bands for similar schools</w:t>
            </w:r>
            <w:r w:rsidR="004C2350">
              <w:rPr>
                <w:szCs w:val="22"/>
              </w:rPr>
              <w:t>, representing an</w:t>
            </w:r>
            <w:r w:rsidR="008E3A7C">
              <w:rPr>
                <w:szCs w:val="22"/>
              </w:rPr>
              <w:t xml:space="preserve"> overall</w:t>
            </w:r>
            <w:r w:rsidR="004C2350">
              <w:rPr>
                <w:szCs w:val="22"/>
              </w:rPr>
              <w:t xml:space="preserve"> increase</w:t>
            </w:r>
            <w:r w:rsidR="00275859">
              <w:rPr>
                <w:szCs w:val="22"/>
              </w:rPr>
              <w:t xml:space="preserve"> from 36.1</w:t>
            </w:r>
            <w:r w:rsidR="008E3A7C">
              <w:rPr>
                <w:szCs w:val="22"/>
              </w:rPr>
              <w:t>% in 2017</w:t>
            </w:r>
            <w:r w:rsidR="00F731C4">
              <w:rPr>
                <w:szCs w:val="22"/>
              </w:rPr>
              <w:t>.</w:t>
            </w:r>
          </w:p>
          <w:p w14:paraId="0DDCFF66" w14:textId="3D5EECD3" w:rsidR="004C2350" w:rsidRPr="00F731C4" w:rsidRDefault="00F731C4" w:rsidP="00302949">
            <w:pPr>
              <w:pStyle w:val="PlainText"/>
              <w:rPr>
                <w:szCs w:val="22"/>
              </w:rPr>
            </w:pPr>
            <w:r w:rsidRPr="00F731C4">
              <w:rPr>
                <w:szCs w:val="22"/>
              </w:rPr>
              <w:t>7.9% (15 students) in bottom two bands</w:t>
            </w:r>
            <w:r w:rsidR="008E3A7C">
              <w:rPr>
                <w:szCs w:val="22"/>
              </w:rPr>
              <w:t xml:space="preserve"> </w:t>
            </w:r>
            <w:r w:rsidR="008E3A7C" w:rsidRPr="00A02646">
              <w:rPr>
                <w:szCs w:val="22"/>
              </w:rPr>
              <w:t xml:space="preserve">compared to </w:t>
            </w:r>
            <w:r w:rsidR="008E3A7C">
              <w:rPr>
                <w:szCs w:val="22"/>
              </w:rPr>
              <w:t>7.1</w:t>
            </w:r>
            <w:r w:rsidR="008E3A7C" w:rsidRPr="00A02646">
              <w:rPr>
                <w:szCs w:val="22"/>
              </w:rPr>
              <w:t xml:space="preserve">% in </w:t>
            </w:r>
            <w:r w:rsidR="008E3A7C">
              <w:rPr>
                <w:szCs w:val="22"/>
              </w:rPr>
              <w:t>bottom</w:t>
            </w:r>
            <w:r w:rsidR="008E3A7C" w:rsidRPr="00A02646">
              <w:rPr>
                <w:szCs w:val="22"/>
              </w:rPr>
              <w:t xml:space="preserve"> two bands for similar schools</w:t>
            </w:r>
            <w:r w:rsidR="008E3A7C">
              <w:rPr>
                <w:szCs w:val="22"/>
              </w:rPr>
              <w:t>, representing a decrease from 12.0% in 2016.</w:t>
            </w:r>
          </w:p>
          <w:p w14:paraId="7A3AA913" w14:textId="5FE605A4" w:rsidR="00302949" w:rsidRPr="00A02646" w:rsidRDefault="00A02646" w:rsidP="00302949">
            <w:pPr>
              <w:pStyle w:val="PlainText"/>
              <w:rPr>
                <w:szCs w:val="22"/>
              </w:rPr>
            </w:pPr>
            <w:r w:rsidRPr="00A02646">
              <w:rPr>
                <w:szCs w:val="22"/>
              </w:rPr>
              <w:t xml:space="preserve"> </w:t>
            </w:r>
            <w:r w:rsidR="003D6DBA" w:rsidRPr="00A02646">
              <w:rPr>
                <w:szCs w:val="22"/>
              </w:rPr>
              <w:t xml:space="preserve">  </w:t>
            </w:r>
            <w:r w:rsidR="00302949" w:rsidRPr="00A02646">
              <w:rPr>
                <w:szCs w:val="22"/>
              </w:rPr>
              <w:t xml:space="preserve">  </w:t>
            </w:r>
          </w:p>
          <w:p w14:paraId="556DDD46" w14:textId="7892953F" w:rsidR="00080E52" w:rsidRDefault="00C84CAC" w:rsidP="003D3E1F">
            <w:pPr>
              <w:pStyle w:val="PlainText"/>
              <w:rPr>
                <w:b/>
              </w:rPr>
            </w:pPr>
            <w:r>
              <w:rPr>
                <w:b/>
              </w:rPr>
              <w:t>Y</w:t>
            </w:r>
            <w:r w:rsidR="003D3E1F" w:rsidRPr="00750B7C">
              <w:rPr>
                <w:b/>
              </w:rPr>
              <w:t xml:space="preserve">ear 9 NAPLAN Writing Analysis </w:t>
            </w:r>
          </w:p>
          <w:p w14:paraId="4EEEB367" w14:textId="05231BBE" w:rsidR="00080E52" w:rsidRDefault="00080E52" w:rsidP="00080E52">
            <w:pPr>
              <w:pStyle w:val="PlainText"/>
            </w:pPr>
            <w:r>
              <w:t xml:space="preserve">The percentage of students achieving at or above expected growth in year 9 NAPLAN Writing has fluctuated from the baseline of 65.4% to 63% in 2019, after dropping to 48.7% in 2018. </w:t>
            </w:r>
            <w:r w:rsidR="00906C4E">
              <w:t xml:space="preserve">Overall </w:t>
            </w:r>
            <w:r w:rsidR="002C3DA2">
              <w:t>results have stabilised but not progressed</w:t>
            </w:r>
            <w:r>
              <w:t xml:space="preserve"> toward the projected target of 70% by 2022. </w:t>
            </w:r>
          </w:p>
          <w:p w14:paraId="36655A26" w14:textId="64A85CB9" w:rsidR="00080E52" w:rsidRDefault="002C3DA2" w:rsidP="00080E52">
            <w:pPr>
              <w:pStyle w:val="PlainText"/>
              <w:rPr>
                <w:szCs w:val="22"/>
              </w:rPr>
            </w:pPr>
            <w:r>
              <w:lastRenderedPageBreak/>
              <w:t>23.7</w:t>
            </w:r>
            <w:r w:rsidR="00080E52">
              <w:t>% (</w:t>
            </w:r>
            <w:r w:rsidR="00FE69F0">
              <w:t xml:space="preserve">46 </w:t>
            </w:r>
            <w:r w:rsidR="00080E52">
              <w:t xml:space="preserve">students) were in the top 2 bands for </w:t>
            </w:r>
            <w:r>
              <w:t>writing</w:t>
            </w:r>
            <w:r w:rsidR="00080E52">
              <w:t xml:space="preserve"> </w:t>
            </w:r>
            <w:r w:rsidR="00080E52" w:rsidRPr="00A02646">
              <w:rPr>
                <w:szCs w:val="22"/>
              </w:rPr>
              <w:t xml:space="preserve">compared to </w:t>
            </w:r>
            <w:r>
              <w:rPr>
                <w:szCs w:val="22"/>
              </w:rPr>
              <w:t>22</w:t>
            </w:r>
            <w:r w:rsidR="00080E52" w:rsidRPr="00A02646">
              <w:rPr>
                <w:szCs w:val="22"/>
              </w:rPr>
              <w:t>.</w:t>
            </w:r>
            <w:r>
              <w:rPr>
                <w:szCs w:val="22"/>
              </w:rPr>
              <w:t>0</w:t>
            </w:r>
            <w:r w:rsidR="00080E52" w:rsidRPr="00A02646">
              <w:rPr>
                <w:szCs w:val="22"/>
              </w:rPr>
              <w:t>% in top two bands for similar schools</w:t>
            </w:r>
            <w:r w:rsidR="00080E52">
              <w:rPr>
                <w:szCs w:val="22"/>
              </w:rPr>
              <w:t xml:space="preserve">, representing an overall increase from </w:t>
            </w:r>
            <w:r>
              <w:rPr>
                <w:szCs w:val="22"/>
              </w:rPr>
              <w:t>21.4</w:t>
            </w:r>
            <w:r w:rsidR="00080E52">
              <w:rPr>
                <w:szCs w:val="22"/>
              </w:rPr>
              <w:t>% in 201</w:t>
            </w:r>
            <w:r>
              <w:rPr>
                <w:szCs w:val="22"/>
              </w:rPr>
              <w:t>6</w:t>
            </w:r>
            <w:r w:rsidR="00080E52">
              <w:rPr>
                <w:szCs w:val="22"/>
              </w:rPr>
              <w:t>.</w:t>
            </w:r>
          </w:p>
          <w:p w14:paraId="69403493" w14:textId="3BDDA725" w:rsidR="00080E52" w:rsidRPr="00F731C4" w:rsidRDefault="002C3DA2" w:rsidP="00080E52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>26.8</w:t>
            </w:r>
            <w:r w:rsidR="00080E52" w:rsidRPr="00F731C4">
              <w:rPr>
                <w:szCs w:val="22"/>
              </w:rPr>
              <w:t>% (</w:t>
            </w:r>
            <w:r w:rsidR="00FE69F0">
              <w:rPr>
                <w:szCs w:val="22"/>
              </w:rPr>
              <w:t xml:space="preserve">52 </w:t>
            </w:r>
            <w:r w:rsidR="00080E52" w:rsidRPr="00F731C4">
              <w:rPr>
                <w:szCs w:val="22"/>
              </w:rPr>
              <w:t>students) in bottom two bands</w:t>
            </w:r>
            <w:r w:rsidR="00080E52">
              <w:rPr>
                <w:szCs w:val="22"/>
              </w:rPr>
              <w:t xml:space="preserve"> </w:t>
            </w:r>
            <w:r w:rsidR="00080E52" w:rsidRPr="00A02646">
              <w:rPr>
                <w:szCs w:val="22"/>
              </w:rPr>
              <w:t xml:space="preserve">compared to </w:t>
            </w:r>
            <w:r>
              <w:rPr>
                <w:szCs w:val="22"/>
              </w:rPr>
              <w:t>19.8</w:t>
            </w:r>
            <w:r w:rsidR="00080E52" w:rsidRPr="00A02646">
              <w:rPr>
                <w:szCs w:val="22"/>
              </w:rPr>
              <w:t xml:space="preserve">% in </w:t>
            </w:r>
            <w:r w:rsidR="00080E52">
              <w:rPr>
                <w:szCs w:val="22"/>
              </w:rPr>
              <w:t>bottom</w:t>
            </w:r>
            <w:r w:rsidR="00080E52" w:rsidRPr="00A02646">
              <w:rPr>
                <w:szCs w:val="22"/>
              </w:rPr>
              <w:t xml:space="preserve"> two bands for similar schools</w:t>
            </w:r>
            <w:r w:rsidR="00080E52">
              <w:rPr>
                <w:szCs w:val="22"/>
              </w:rPr>
              <w:t xml:space="preserve">, representing a decrease from </w:t>
            </w:r>
            <w:r>
              <w:rPr>
                <w:szCs w:val="22"/>
              </w:rPr>
              <w:t>35.3</w:t>
            </w:r>
            <w:r w:rsidR="00080E52">
              <w:rPr>
                <w:szCs w:val="22"/>
              </w:rPr>
              <w:t>% in 201</w:t>
            </w:r>
            <w:r>
              <w:rPr>
                <w:szCs w:val="22"/>
              </w:rPr>
              <w:t>8</w:t>
            </w:r>
            <w:r w:rsidR="00080E52">
              <w:rPr>
                <w:szCs w:val="22"/>
              </w:rPr>
              <w:t>.</w:t>
            </w:r>
          </w:p>
          <w:p w14:paraId="7ED866DA" w14:textId="77777777" w:rsidR="00080E52" w:rsidRDefault="00080E52" w:rsidP="003D3E1F">
            <w:pPr>
              <w:pStyle w:val="PlainText"/>
              <w:rPr>
                <w:b/>
              </w:rPr>
            </w:pPr>
          </w:p>
          <w:p w14:paraId="52E8FC5A" w14:textId="77777777" w:rsidR="00302949" w:rsidRPr="00750B7C" w:rsidRDefault="00302949" w:rsidP="003D3E1F">
            <w:pPr>
              <w:pStyle w:val="PlainText"/>
              <w:rPr>
                <w:b/>
              </w:rPr>
            </w:pPr>
          </w:p>
          <w:p w14:paraId="334552DA" w14:textId="43955A56" w:rsidR="003D3E1F" w:rsidRDefault="003D3E1F" w:rsidP="003D3E1F">
            <w:pPr>
              <w:pStyle w:val="PlainText"/>
              <w:rPr>
                <w:b/>
              </w:rPr>
            </w:pPr>
            <w:r w:rsidRPr="00750B7C">
              <w:rPr>
                <w:b/>
              </w:rPr>
              <w:t xml:space="preserve">Year 9 NAPLAN </w:t>
            </w:r>
            <w:r>
              <w:rPr>
                <w:b/>
              </w:rPr>
              <w:t>Numeracy</w:t>
            </w:r>
            <w:r w:rsidRPr="00750B7C">
              <w:rPr>
                <w:b/>
              </w:rPr>
              <w:t xml:space="preserve"> Analysis </w:t>
            </w:r>
          </w:p>
          <w:p w14:paraId="6BD32F0B" w14:textId="2DC57269" w:rsidR="00F105C7" w:rsidRDefault="002C3DA2" w:rsidP="002C3DA2">
            <w:pPr>
              <w:pStyle w:val="PlainText"/>
            </w:pPr>
            <w:r>
              <w:t xml:space="preserve">The percentage of students achieving at or above expected growth in year 9 NAPLAN </w:t>
            </w:r>
            <w:r w:rsidR="00FE69F0">
              <w:t>Numeracy</w:t>
            </w:r>
            <w:r>
              <w:t xml:space="preserve"> </w:t>
            </w:r>
            <w:r w:rsidR="00FE69F0">
              <w:t>was</w:t>
            </w:r>
            <w:r w:rsidR="00F105C7">
              <w:t xml:space="preserve"> 54.8%, a decrease from the baseline of 61.7% in 2017</w:t>
            </w:r>
            <w:r w:rsidR="00C84CAC">
              <w:t xml:space="preserve"> and an overall negative trend away from our 2022 target of 77%</w:t>
            </w:r>
            <w:r w:rsidR="00F105C7">
              <w:t xml:space="preserve">.  </w:t>
            </w:r>
          </w:p>
          <w:p w14:paraId="0AC2F8A5" w14:textId="0D19CA7C" w:rsidR="00C84CAC" w:rsidRPr="00C84CAC" w:rsidRDefault="00C84CAC" w:rsidP="002C3DA2">
            <w:pPr>
              <w:pStyle w:val="PlainText"/>
              <w:rPr>
                <w:szCs w:val="22"/>
              </w:rPr>
            </w:pPr>
            <w:r w:rsidRPr="00C84CAC">
              <w:rPr>
                <w:szCs w:val="22"/>
              </w:rPr>
              <w:t>7.3% (14 students) in bottom two bands and 39.8% (76 students) in top two bands compared to 45.1% in top two bands for similar schools.</w:t>
            </w:r>
            <w:r>
              <w:rPr>
                <w:szCs w:val="22"/>
              </w:rPr>
              <w:t xml:space="preserve"> This is trending up from 34.3% in 2016.</w:t>
            </w:r>
          </w:p>
          <w:p w14:paraId="7F242FF1" w14:textId="2A503E18" w:rsidR="00C84CAC" w:rsidRDefault="00C84CAC" w:rsidP="002C3DA2">
            <w:pPr>
              <w:pStyle w:val="PlainText"/>
              <w:rPr>
                <w:sz w:val="18"/>
                <w:szCs w:val="18"/>
              </w:rPr>
            </w:pPr>
          </w:p>
          <w:p w14:paraId="1F84E4B1" w14:textId="77777777" w:rsidR="007E6372" w:rsidRDefault="007E6372" w:rsidP="007E6372">
            <w:pPr>
              <w:pStyle w:val="PlainText"/>
              <w:rPr>
                <w:b/>
              </w:rPr>
            </w:pPr>
          </w:p>
          <w:p w14:paraId="0C7C66C7" w14:textId="33C82562" w:rsidR="007E6372" w:rsidRDefault="007E6372" w:rsidP="007E6372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Staff </w:t>
            </w:r>
            <w:r w:rsidR="0002463E">
              <w:rPr>
                <w:b/>
              </w:rPr>
              <w:t xml:space="preserve">and </w:t>
            </w:r>
            <w:r>
              <w:rPr>
                <w:b/>
              </w:rPr>
              <w:t xml:space="preserve">student perception data </w:t>
            </w:r>
          </w:p>
          <w:p w14:paraId="636AD6D7" w14:textId="252FD1DD" w:rsidR="00C84CAC" w:rsidRDefault="0002463E" w:rsidP="002C3DA2">
            <w:pPr>
              <w:pStyle w:val="PlainText"/>
            </w:pPr>
            <w:r>
              <w:t xml:space="preserve">There </w:t>
            </w:r>
            <w:r w:rsidR="00096CD3">
              <w:t xml:space="preserve">are </w:t>
            </w:r>
            <w:r w:rsidR="00B87959">
              <w:t>3</w:t>
            </w:r>
            <w:r w:rsidR="00096CD3">
              <w:t xml:space="preserve"> items which link to </w:t>
            </w:r>
            <w:r w:rsidR="00E7509A">
              <w:t xml:space="preserve">the </w:t>
            </w:r>
            <w:r w:rsidR="00096CD3">
              <w:t xml:space="preserve">improvement strategies. </w:t>
            </w:r>
          </w:p>
          <w:p w14:paraId="7C69F4CD" w14:textId="07E1655F" w:rsidR="00096CD3" w:rsidRDefault="00096CD3" w:rsidP="002C3DA2">
            <w:pPr>
              <w:pStyle w:val="PlainText"/>
            </w:pPr>
          </w:p>
          <w:p w14:paraId="652FE4E4" w14:textId="76078B39" w:rsidR="00096CD3" w:rsidRDefault="00983291" w:rsidP="00096CD3">
            <w:pPr>
              <w:pStyle w:val="PlainText"/>
            </w:pPr>
            <w:r>
              <w:t>72.9 t</w:t>
            </w:r>
            <w:r w:rsidR="00096CD3">
              <w:t xml:space="preserve">eachers from this school </w:t>
            </w:r>
            <w:r>
              <w:t xml:space="preserve">report </w:t>
            </w:r>
            <w:r w:rsidR="00096CD3">
              <w:t>us</w:t>
            </w:r>
            <w:r>
              <w:t>ing</w:t>
            </w:r>
            <w:r w:rsidR="00096CD3">
              <w:t xml:space="preserve"> results from system testing and system processes to inform planning</w:t>
            </w:r>
            <w:r>
              <w:t xml:space="preserve">. This is in comparison to 60.8% from similar school types. This figure is down from 78.7% in 2017. This </w:t>
            </w:r>
            <w:r w:rsidR="00754293">
              <w:t>could</w:t>
            </w:r>
            <w:r>
              <w:t xml:space="preserve"> be explained by an increased focus on using small data approaches to measure student growth in the classroom.  </w:t>
            </w:r>
            <w:r w:rsidR="00096CD3">
              <w:t xml:space="preserve"> </w:t>
            </w:r>
          </w:p>
          <w:p w14:paraId="6CFA9B97" w14:textId="77777777" w:rsidR="00096CD3" w:rsidRDefault="00096CD3" w:rsidP="002C3DA2">
            <w:pPr>
              <w:pStyle w:val="PlainText"/>
            </w:pPr>
          </w:p>
          <w:p w14:paraId="141EA305" w14:textId="347704A0" w:rsidR="00754293" w:rsidRDefault="00754293" w:rsidP="00754293">
            <w:pPr>
              <w:pStyle w:val="PlainText"/>
            </w:pPr>
            <w:r>
              <w:t>63.3% of student</w:t>
            </w:r>
            <w:r w:rsidR="00764217">
              <w:t>s</w:t>
            </w:r>
            <w:r>
              <w:t xml:space="preserve"> report teachers give useful feedback. This is in comparison to 60.8% from similar school types. This figure is </w:t>
            </w:r>
            <w:r w:rsidR="004071B9">
              <w:t>up significantly</w:t>
            </w:r>
            <w:r>
              <w:t xml:space="preserve"> from </w:t>
            </w:r>
            <w:r w:rsidR="004071B9">
              <w:t>34</w:t>
            </w:r>
            <w:r>
              <w:t>% in 201</w:t>
            </w:r>
            <w:r w:rsidR="004071B9">
              <w:t>6</w:t>
            </w:r>
            <w:r>
              <w:t xml:space="preserve">. </w:t>
            </w:r>
          </w:p>
          <w:p w14:paraId="71FC0C72" w14:textId="77777777" w:rsidR="00C84CAC" w:rsidRDefault="00C84CAC" w:rsidP="002C3DA2">
            <w:pPr>
              <w:pStyle w:val="PlainText"/>
            </w:pPr>
          </w:p>
          <w:p w14:paraId="53B76963" w14:textId="755E725D" w:rsidR="002C3DA2" w:rsidRPr="00750B7C" w:rsidRDefault="00764217" w:rsidP="003D3E1F">
            <w:pPr>
              <w:pStyle w:val="PlainText"/>
              <w:rPr>
                <w:b/>
              </w:rPr>
            </w:pPr>
            <w:r>
              <w:t xml:space="preserve">53.0% of students report they </w:t>
            </w:r>
            <w:proofErr w:type="gramStart"/>
            <w:r>
              <w:t>have the opportunity to</w:t>
            </w:r>
            <w:proofErr w:type="gramEnd"/>
            <w:r>
              <w:t xml:space="preserve"> provide feedback about teaching and learning programs.</w:t>
            </w:r>
          </w:p>
          <w:p w14:paraId="2DFB70DA" w14:textId="147B5352" w:rsidR="003D3E1F" w:rsidRDefault="003D3E1F" w:rsidP="003D3E1F">
            <w:pPr>
              <w:pStyle w:val="PlainText"/>
            </w:pPr>
          </w:p>
        </w:tc>
      </w:tr>
      <w:bookmarkEnd w:id="1"/>
    </w:tbl>
    <w:p w14:paraId="4CE61FB4" w14:textId="77777777" w:rsidR="000B45D8" w:rsidRDefault="000B45D8" w:rsidP="000B45D8">
      <w:pPr>
        <w:pStyle w:val="Heading3"/>
      </w:pPr>
    </w:p>
    <w:p w14:paraId="2C475ECA" w14:textId="6F272C94" w:rsidR="005611F4" w:rsidRPr="005611F4" w:rsidRDefault="00937D6F" w:rsidP="000B45D8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761CEF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7EBC3B4F" w14:textId="5EFD6F98" w:rsidR="00B454D5" w:rsidRPr="00056A92" w:rsidRDefault="00B454D5" w:rsidP="00056A92">
            <w:pPr>
              <w:pStyle w:val="ListBullet"/>
              <w:numPr>
                <w:ilvl w:val="0"/>
                <w:numId w:val="0"/>
              </w:numPr>
            </w:pPr>
            <w:r w:rsidRPr="00056A92">
              <w:rPr>
                <w:b/>
              </w:rPr>
              <w:t>Build a focus and staff capacity in using data and evidence to show growth in student learning</w:t>
            </w:r>
          </w:p>
          <w:p w14:paraId="1CDE69E0" w14:textId="77777777" w:rsidR="00B24AE7" w:rsidRDefault="00B454D5" w:rsidP="00B454D5">
            <w:pPr>
              <w:pStyle w:val="ListBullet"/>
            </w:pPr>
            <w:r>
              <w:t>Through</w:t>
            </w:r>
            <w:r w:rsidR="00056A92">
              <w:t xml:space="preserve"> the</w:t>
            </w:r>
            <w:r>
              <w:t xml:space="preserve"> Professional </w:t>
            </w:r>
            <w:r w:rsidR="00056A92">
              <w:t>Learning</w:t>
            </w:r>
            <w:r>
              <w:t xml:space="preserve"> Communities model, teachers </w:t>
            </w:r>
            <w:r w:rsidR="00056A92">
              <w:t>conducted an inquiry in the classroom which involved collecting data to evidence student learning</w:t>
            </w:r>
          </w:p>
          <w:p w14:paraId="56096758" w14:textId="50DC0BC1" w:rsidR="00B454D5" w:rsidRDefault="006B598B" w:rsidP="00B454D5">
            <w:pPr>
              <w:pStyle w:val="ListBullet"/>
            </w:pPr>
            <w:r>
              <w:t>The PLC model for 2020</w:t>
            </w:r>
            <w:r w:rsidR="007769F3">
              <w:t xml:space="preserve"> </w:t>
            </w:r>
            <w:r>
              <w:t xml:space="preserve">has been redesigned following review with stakeholder input from teachers  </w:t>
            </w:r>
            <w:r w:rsidR="00056A92">
              <w:t xml:space="preserve">  </w:t>
            </w:r>
          </w:p>
          <w:p w14:paraId="5C168074" w14:textId="77777777" w:rsidR="00CA26FB" w:rsidRDefault="00CA26FB" w:rsidP="00CA26F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5CF99BD7" w14:textId="77777777" w:rsidR="00056A92" w:rsidRPr="00056A92" w:rsidRDefault="00056A92" w:rsidP="00056A9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056A92">
              <w:rPr>
                <w:b/>
              </w:rPr>
              <w:t>Developing and trialling models which allow an increase in pedagogies focussing on 21</w:t>
            </w:r>
            <w:r w:rsidRPr="00056A92">
              <w:rPr>
                <w:b/>
                <w:vertAlign w:val="superscript"/>
              </w:rPr>
              <w:t>st</w:t>
            </w:r>
            <w:r w:rsidRPr="00056A92">
              <w:rPr>
                <w:b/>
              </w:rPr>
              <w:t xml:space="preserve"> Century</w:t>
            </w:r>
          </w:p>
          <w:p w14:paraId="37C13A58" w14:textId="14A6C5A9" w:rsidR="00056A92" w:rsidRPr="00056A92" w:rsidRDefault="00056A92" w:rsidP="00056A9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i/>
              </w:rPr>
            </w:pPr>
            <w:r w:rsidRPr="00056A92">
              <w:rPr>
                <w:b/>
              </w:rPr>
              <w:t xml:space="preserve">skills and General Capabilities </w:t>
            </w:r>
          </w:p>
          <w:p w14:paraId="4266B94C" w14:textId="7D72F00B" w:rsidR="00E61D1D" w:rsidRPr="00E61D1D" w:rsidRDefault="00E61D1D" w:rsidP="00E61D1D">
            <w:pPr>
              <w:pStyle w:val="ListBullet"/>
              <w:rPr>
                <w:rFonts w:ascii="Calibri" w:hAnsi="Calibri" w:cs="Calibri"/>
              </w:rPr>
            </w:pPr>
            <w:r w:rsidRPr="00E61D1D">
              <w:rPr>
                <w:rFonts w:ascii="Calibri" w:hAnsi="Calibri" w:cs="Calibri"/>
                <w:iCs/>
              </w:rPr>
              <w:t xml:space="preserve">Integrated </w:t>
            </w:r>
            <w:r w:rsidR="00514546">
              <w:rPr>
                <w:rFonts w:ascii="Calibri" w:hAnsi="Calibri" w:cs="Calibri"/>
                <w:iCs/>
              </w:rPr>
              <w:t>STEM</w:t>
            </w:r>
            <w:r w:rsidRPr="00E61D1D">
              <w:rPr>
                <w:rFonts w:ascii="Calibri" w:hAnsi="Calibri" w:cs="Calibri"/>
                <w:iCs/>
              </w:rPr>
              <w:t xml:space="preserve"> projects</w:t>
            </w:r>
            <w:r w:rsidR="00514546">
              <w:rPr>
                <w:rFonts w:ascii="Calibri" w:hAnsi="Calibri" w:cs="Calibri"/>
                <w:iCs/>
              </w:rPr>
              <w:t xml:space="preserve"> </w:t>
            </w:r>
            <w:r w:rsidR="00AB597A">
              <w:rPr>
                <w:rFonts w:ascii="Calibri" w:hAnsi="Calibri" w:cs="Calibri"/>
                <w:iCs/>
              </w:rPr>
              <w:t xml:space="preserve">through Maths </w:t>
            </w:r>
            <w:r w:rsidR="008B2AE7">
              <w:rPr>
                <w:rFonts w:ascii="Calibri" w:hAnsi="Calibri" w:cs="Calibri"/>
                <w:iCs/>
              </w:rPr>
              <w:t>a</w:t>
            </w:r>
            <w:r w:rsidR="00AB597A">
              <w:rPr>
                <w:rFonts w:ascii="Calibri" w:hAnsi="Calibri" w:cs="Calibri"/>
                <w:iCs/>
              </w:rPr>
              <w:t>nd Science faculties</w:t>
            </w:r>
          </w:p>
          <w:p w14:paraId="376DCDA1" w14:textId="6AB323EB" w:rsidR="00E61D1D" w:rsidRPr="00E61D1D" w:rsidRDefault="00E61D1D" w:rsidP="00056A92">
            <w:pPr>
              <w:pStyle w:val="ListBulle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Cs/>
              </w:rPr>
              <w:t>Use of</w:t>
            </w:r>
            <w:r w:rsidRPr="00E61D1D">
              <w:rPr>
                <w:rFonts w:ascii="Calibri" w:hAnsi="Calibri" w:cs="Calibri"/>
                <w:iCs/>
              </w:rPr>
              <w:t xml:space="preserve"> inquiry </w:t>
            </w:r>
            <w:r>
              <w:rPr>
                <w:rFonts w:ascii="Calibri" w:hAnsi="Calibri" w:cs="Calibri"/>
                <w:iCs/>
              </w:rPr>
              <w:t>pedagogy</w:t>
            </w:r>
            <w:r w:rsidRPr="00E61D1D">
              <w:rPr>
                <w:rFonts w:ascii="Calibri" w:hAnsi="Calibri" w:cs="Calibri"/>
                <w:iCs/>
              </w:rPr>
              <w:t xml:space="preserve"> in </w:t>
            </w:r>
            <w:r>
              <w:rPr>
                <w:rFonts w:ascii="Calibri" w:hAnsi="Calibri" w:cs="Calibri"/>
                <w:iCs/>
              </w:rPr>
              <w:t>gifted and talented</w:t>
            </w:r>
            <w:r w:rsidRPr="00E61D1D">
              <w:rPr>
                <w:rFonts w:ascii="Calibri" w:hAnsi="Calibri" w:cs="Calibri"/>
                <w:iCs/>
              </w:rPr>
              <w:t xml:space="preserve"> program </w:t>
            </w:r>
          </w:p>
          <w:p w14:paraId="19E15A2C" w14:textId="113849A4" w:rsidR="00CA26FB" w:rsidRPr="00E61D1D" w:rsidRDefault="000D0100" w:rsidP="00056A92">
            <w:pPr>
              <w:pStyle w:val="ListBullet"/>
              <w:rPr>
                <w:rFonts w:ascii="Calibri" w:hAnsi="Calibri" w:cs="Calibri"/>
              </w:rPr>
            </w:pPr>
            <w:r w:rsidRPr="00E61D1D">
              <w:rPr>
                <w:rFonts w:ascii="Calibri" w:hAnsi="Calibri" w:cs="Calibri"/>
                <w:iCs/>
              </w:rPr>
              <w:t xml:space="preserve">Mapping and increasing focus on the delivery of GC </w:t>
            </w:r>
            <w:r w:rsidR="00E61D1D">
              <w:rPr>
                <w:rFonts w:ascii="Calibri" w:hAnsi="Calibri" w:cs="Calibri"/>
                <w:iCs/>
              </w:rPr>
              <w:t>and</w:t>
            </w:r>
            <w:r w:rsidRPr="00E61D1D">
              <w:rPr>
                <w:rFonts w:ascii="Calibri" w:hAnsi="Calibri" w:cs="Calibri"/>
                <w:iCs/>
              </w:rPr>
              <w:t xml:space="preserve"> 21st-century skills in existing learning programs</w:t>
            </w:r>
            <w:r w:rsidR="00E61D1D">
              <w:rPr>
                <w:rFonts w:ascii="Calibri" w:hAnsi="Calibri" w:cs="Calibri"/>
                <w:iCs/>
              </w:rPr>
              <w:t xml:space="preserve"> and assessment items</w:t>
            </w:r>
          </w:p>
          <w:p w14:paraId="48C5D032" w14:textId="40E4E713" w:rsidR="00056A92" w:rsidRPr="00AB597A" w:rsidRDefault="00AB597A" w:rsidP="00AB597A">
            <w:pPr>
              <w:pStyle w:val="ListBullet"/>
              <w:rPr>
                <w:rFonts w:ascii="Calibri" w:hAnsi="Calibri" w:cs="Calibri"/>
              </w:rPr>
            </w:pPr>
            <w:r w:rsidRPr="00AB597A">
              <w:rPr>
                <w:rFonts w:ascii="Calibri" w:hAnsi="Calibri" w:cs="Calibri"/>
                <w:color w:val="000000"/>
              </w:rPr>
              <w:t xml:space="preserve">Trialling the use of portfolios to present </w:t>
            </w:r>
            <w:r>
              <w:rPr>
                <w:rFonts w:ascii="Calibri" w:hAnsi="Calibri" w:cs="Calibri"/>
                <w:color w:val="000000"/>
              </w:rPr>
              <w:t>for</w:t>
            </w:r>
            <w:r w:rsidRPr="00AB597A">
              <w:rPr>
                <w:rFonts w:ascii="Calibri" w:hAnsi="Calibri" w:cs="Calibri"/>
                <w:color w:val="000000"/>
              </w:rPr>
              <w:t xml:space="preserve"> assessment of </w:t>
            </w:r>
            <w:r w:rsidRPr="00E61D1D">
              <w:rPr>
                <w:rFonts w:ascii="Calibri" w:hAnsi="Calibri" w:cs="Calibri"/>
                <w:iCs/>
              </w:rPr>
              <w:t xml:space="preserve">GC </w:t>
            </w:r>
            <w:r>
              <w:rPr>
                <w:rFonts w:ascii="Calibri" w:hAnsi="Calibri" w:cs="Calibri"/>
                <w:iCs/>
              </w:rPr>
              <w:t>and</w:t>
            </w:r>
            <w:r w:rsidRPr="00E61D1D">
              <w:rPr>
                <w:rFonts w:ascii="Calibri" w:hAnsi="Calibri" w:cs="Calibri"/>
                <w:iCs/>
              </w:rPr>
              <w:t xml:space="preserve"> 21st-century skills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7D533DA9" w14:textId="77777777" w:rsidR="00EC2EA7" w:rsidRDefault="00EC2EA7" w:rsidP="00BD4AC3">
      <w:pPr>
        <w:pStyle w:val="NoSpacing"/>
      </w:pPr>
    </w:p>
    <w:p w14:paraId="0652A4EC" w14:textId="77777777" w:rsidR="00EC2EA7" w:rsidRDefault="00EC2EA7" w:rsidP="00BD4AC3">
      <w:pPr>
        <w:pStyle w:val="NoSpacing"/>
      </w:pPr>
    </w:p>
    <w:p w14:paraId="72756C64" w14:textId="77777777" w:rsidR="00EC2EA7" w:rsidRDefault="00EC2EA7" w:rsidP="00BD4AC3">
      <w:pPr>
        <w:pStyle w:val="NoSpacing"/>
      </w:pPr>
    </w:p>
    <w:p w14:paraId="73AF730F" w14:textId="2B8D9AB9" w:rsidR="005611F4" w:rsidRPr="005611F4" w:rsidRDefault="00937D6F" w:rsidP="00BD4AC3">
      <w:pPr>
        <w:pStyle w:val="NoSpacing"/>
      </w:pPr>
      <w:r w:rsidRPr="00DA09ED">
        <w:lastRenderedPageBreak/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761CEF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01721912" w14:textId="76E82237" w:rsidR="007769F3" w:rsidRDefault="002D21D2" w:rsidP="00932E67">
            <w:pPr>
              <w:pStyle w:val="ListBullet"/>
            </w:pPr>
            <w:r>
              <w:t xml:space="preserve">Strengthen Professional Learning Community strategy to target specific improvement areas </w:t>
            </w:r>
            <w:proofErr w:type="gramStart"/>
            <w:r>
              <w:t>including:</w:t>
            </w:r>
            <w:proofErr w:type="gramEnd"/>
            <w:r>
              <w:t xml:space="preserve"> numeracy, writing, CES programs, cultural integrity, wellbeing, assessing growth and future focussed pedagogies. </w:t>
            </w:r>
          </w:p>
          <w:p w14:paraId="4D467D62" w14:textId="6D9115E2" w:rsidR="00932E67" w:rsidRDefault="002D21D2" w:rsidP="00932E67">
            <w:pPr>
              <w:pStyle w:val="ListBullet"/>
            </w:pPr>
            <w:r>
              <w:t>P</w:t>
            </w:r>
            <w:r w:rsidR="00DE3C32">
              <w:t xml:space="preserve">rofessional </w:t>
            </w:r>
            <w:r>
              <w:t>L</w:t>
            </w:r>
            <w:r w:rsidR="00DE3C32">
              <w:t xml:space="preserve">earning </w:t>
            </w:r>
            <w:r>
              <w:t>C</w:t>
            </w:r>
            <w:r w:rsidR="00DE3C32">
              <w:t xml:space="preserve">ommunities </w:t>
            </w:r>
            <w:r>
              <w:t xml:space="preserve">inquiry projects </w:t>
            </w:r>
            <w:r w:rsidR="00DE3C32">
              <w:t xml:space="preserve">must include pre and </w:t>
            </w:r>
            <w:proofErr w:type="spellStart"/>
            <w:r w:rsidR="00DE3C32">
              <w:t>post performance</w:t>
            </w:r>
            <w:proofErr w:type="spellEnd"/>
            <w:r w:rsidR="00DE3C32">
              <w:t xml:space="preserve"> data</w:t>
            </w:r>
            <w:r>
              <w:t>.</w:t>
            </w:r>
            <w:r w:rsidR="00DE3C32">
              <w:t xml:space="preserve">  </w:t>
            </w:r>
          </w:p>
          <w:p w14:paraId="21501890" w14:textId="24BBD0DE" w:rsidR="00937D6F" w:rsidRDefault="00937D6F" w:rsidP="007769F3">
            <w:pPr>
              <w:pStyle w:val="ListBullet2"/>
              <w:numPr>
                <w:ilvl w:val="0"/>
                <w:numId w:val="0"/>
              </w:numPr>
              <w:ind w:left="714"/>
            </w:pPr>
          </w:p>
        </w:tc>
      </w:tr>
    </w:tbl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6F6A05B7" w14:textId="7C62809D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D959AD">
        <w:t>Equipping students to be successful members of our community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5FAC4C34" w:rsidR="00EB70CE" w:rsidRDefault="00EB70CE" w:rsidP="00EB70CE">
      <w:pPr>
        <w:pStyle w:val="BodyText"/>
      </w:pPr>
      <w:r>
        <w:t>By the end of 20</w:t>
      </w:r>
      <w:r w:rsidR="00382309">
        <w:t>22</w:t>
      </w:r>
      <w:r>
        <w:t xml:space="preserve"> we will achieve:</w:t>
      </w:r>
    </w:p>
    <w:p w14:paraId="31882935" w14:textId="56B0B4C1" w:rsidR="00382309" w:rsidRDefault="00382309" w:rsidP="00382309">
      <w:pPr>
        <w:pStyle w:val="ListBullet"/>
      </w:pPr>
      <w:r>
        <w:t xml:space="preserve">Use </w:t>
      </w:r>
      <w:proofErr w:type="spellStart"/>
      <w:r>
        <w:t>Sentral</w:t>
      </w:r>
      <w:proofErr w:type="spellEnd"/>
      <w:r>
        <w:t xml:space="preserve"> measures of community involvement (TBC) or Reduce to 15% students giving a ‘needs improvement’ rating to measures for Student Well-Being, specifically anxiety, in the School Climate survey (from an average of 21% over the previous three years).</w:t>
      </w:r>
    </w:p>
    <w:p w14:paraId="4FA1A707" w14:textId="77777777" w:rsidR="00382309" w:rsidRDefault="00382309" w:rsidP="00382309">
      <w:pPr>
        <w:pStyle w:val="ListBullet"/>
      </w:pPr>
      <w:r>
        <w:t xml:space="preserve">Add new questions for Satisfaction Survey (staff/students/parents) – I am able to organise </w:t>
      </w:r>
      <w:proofErr w:type="gramStart"/>
      <w:r>
        <w:t>school work</w:t>
      </w:r>
      <w:proofErr w:type="gramEnd"/>
      <w:r>
        <w:t xml:space="preserve"> and submit assignments on time/I am able to organise my time and seek 90% agreement from all stakeholders.</w:t>
      </w:r>
    </w:p>
    <w:p w14:paraId="07918A0B" w14:textId="77777777" w:rsidR="00382309" w:rsidRDefault="00382309" w:rsidP="00382309">
      <w:pPr>
        <w:pStyle w:val="ListBullet"/>
      </w:pPr>
      <w:r>
        <w:t>80% of students report ‘I can talk to my teachers about my concerns’ in the annual Satisfaction Survey (from average 55% over last four years)</w:t>
      </w:r>
    </w:p>
    <w:p w14:paraId="75697AF2" w14:textId="77777777" w:rsidR="00382309" w:rsidRDefault="00382309" w:rsidP="00382309">
      <w:pPr>
        <w:pStyle w:val="ListBullet"/>
      </w:pPr>
      <w:r>
        <w:rPr>
          <w:rFonts w:cs="Calibri"/>
          <w:color w:val="000000"/>
        </w:rPr>
        <w:t xml:space="preserve">Canteen returns to profit (currently $22,000 in deficit) and </w:t>
      </w:r>
      <w:r>
        <w:t>70% of students respond positively to ‘I am satisfied with the availability of healthy food and drink at this school’ in the annual Satisfaction Survey (from average 51% over previous two years).</w:t>
      </w:r>
    </w:p>
    <w:p w14:paraId="7E2EE7F5" w14:textId="77777777" w:rsidR="00382309" w:rsidRDefault="00382309" w:rsidP="00382309">
      <w:pPr>
        <w:pStyle w:val="ListBullet"/>
        <w:numPr>
          <w:ilvl w:val="0"/>
          <w:numId w:val="0"/>
        </w:numPr>
      </w:pPr>
    </w:p>
    <w:p w14:paraId="6BF90988" w14:textId="4824A060" w:rsidR="00EB70CE" w:rsidRDefault="00EB70CE" w:rsidP="00382309">
      <w:pPr>
        <w:pStyle w:val="ListBullet"/>
        <w:numPr>
          <w:ilvl w:val="0"/>
          <w:numId w:val="0"/>
        </w:numPr>
      </w:pPr>
      <w:r w:rsidRPr="00373DC0">
        <w:t>In 20</w:t>
      </w:r>
      <w:r w:rsidR="00382309">
        <w:t>19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1FA6CB28" w14:textId="49DA64AF" w:rsidR="00157085" w:rsidRDefault="00157085" w:rsidP="00157085">
      <w:pPr>
        <w:pStyle w:val="ListBullet"/>
      </w:pPr>
      <w:r>
        <w:t>Establish a research partnership to investigate indicators of student wellbeing contained in School Climate and Satisfaction Surveys</w:t>
      </w:r>
    </w:p>
    <w:p w14:paraId="49C10405" w14:textId="77777777" w:rsidR="00157085" w:rsidRDefault="00157085" w:rsidP="00157085">
      <w:pPr>
        <w:pStyle w:val="ListBullet"/>
      </w:pPr>
      <w:r>
        <w:t>Review of Student Wellbeing structures and policies</w:t>
      </w:r>
    </w:p>
    <w:p w14:paraId="2EAA16C4" w14:textId="5A7FA145" w:rsidR="00157085" w:rsidRDefault="00157085" w:rsidP="00157085">
      <w:pPr>
        <w:pStyle w:val="ListBullet"/>
      </w:pPr>
      <w:r>
        <w:t xml:space="preserve">Develop </w:t>
      </w:r>
      <w:r w:rsidR="00DC0E80">
        <w:t xml:space="preserve">a Continuum of Education Support (CES) </w:t>
      </w:r>
      <w:r>
        <w:t>tier 3 strategy and program in preparation for 2020</w:t>
      </w:r>
    </w:p>
    <w:p w14:paraId="4E381AF2" w14:textId="77777777" w:rsidR="00157085" w:rsidRPr="000F0410" w:rsidRDefault="00157085" w:rsidP="00157085">
      <w:pPr>
        <w:pStyle w:val="ListBullet"/>
      </w:pPr>
      <w:r>
        <w:t xml:space="preserve">Increase opportunities for student voice in school improvement planning processes    </w:t>
      </w:r>
    </w:p>
    <w:p w14:paraId="402969AD" w14:textId="77777777" w:rsidR="00382309" w:rsidRPr="00373DC0" w:rsidRDefault="00382309" w:rsidP="00382309">
      <w:pPr>
        <w:pStyle w:val="ListBullet"/>
        <w:numPr>
          <w:ilvl w:val="0"/>
          <w:numId w:val="0"/>
        </w:numPr>
      </w:pPr>
    </w:p>
    <w:p w14:paraId="13F17F2B" w14:textId="77777777" w:rsidR="00EB70CE" w:rsidRDefault="00EB70CE" w:rsidP="00EB70CE">
      <w:pPr>
        <w:pStyle w:val="BodyText"/>
      </w:pPr>
    </w:p>
    <w:p w14:paraId="32A84660" w14:textId="3D4489AD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2A610292" w14:textId="03F4FEEF" w:rsidR="0095326F" w:rsidRPr="0095326F" w:rsidRDefault="00EB70CE" w:rsidP="00287834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0F6DA9" w14:paraId="1396D008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6A81EE33" w14:textId="77777777" w:rsidR="000F6DA9" w:rsidRPr="006D2F6B" w:rsidRDefault="000F6DA9" w:rsidP="000F6DA9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527A332F" w14:textId="77777777" w:rsidR="000F6DA9" w:rsidRDefault="000F6DA9" w:rsidP="000F6DA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159C188F" w14:textId="350A79A0" w:rsidR="000F6DA9" w:rsidRPr="006D2F6B" w:rsidRDefault="000F6DA9" w:rsidP="000F6DA9">
            <w:pPr>
              <w:jc w:val="center"/>
              <w:rPr>
                <w:b/>
              </w:rPr>
            </w:pPr>
            <w:r w:rsidRPr="00314348">
              <w:t>2017</w:t>
            </w:r>
          </w:p>
        </w:tc>
        <w:tc>
          <w:tcPr>
            <w:tcW w:w="790" w:type="dxa"/>
            <w:shd w:val="clear" w:color="auto" w:fill="auto"/>
          </w:tcPr>
          <w:p w14:paraId="169ABB98" w14:textId="77777777" w:rsidR="000F6DA9" w:rsidRDefault="000F6DA9" w:rsidP="000F6DA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2066ED5C" w14:textId="491B7C47" w:rsidR="000F6DA9" w:rsidRPr="006D2F6B" w:rsidRDefault="000F6DA9" w:rsidP="000F6DA9">
            <w:pPr>
              <w:jc w:val="center"/>
              <w:rPr>
                <w:b/>
              </w:rPr>
            </w:pPr>
            <w:r w:rsidRPr="00314348">
              <w:t>2018</w:t>
            </w:r>
          </w:p>
        </w:tc>
        <w:tc>
          <w:tcPr>
            <w:tcW w:w="790" w:type="dxa"/>
            <w:shd w:val="clear" w:color="auto" w:fill="auto"/>
          </w:tcPr>
          <w:p w14:paraId="23678885" w14:textId="77777777" w:rsidR="000F6DA9" w:rsidRDefault="000F6DA9" w:rsidP="000F6DA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27AC99DF" w14:textId="55ED0E5D" w:rsidR="000F6DA9" w:rsidRPr="006D2F6B" w:rsidRDefault="000F6DA9" w:rsidP="000F6DA9">
            <w:pPr>
              <w:jc w:val="center"/>
              <w:rPr>
                <w:b/>
              </w:rPr>
            </w:pPr>
            <w:r w:rsidRPr="00314348">
              <w:t>2019</w:t>
            </w:r>
          </w:p>
        </w:tc>
        <w:tc>
          <w:tcPr>
            <w:tcW w:w="790" w:type="dxa"/>
            <w:shd w:val="clear" w:color="auto" w:fill="auto"/>
          </w:tcPr>
          <w:p w14:paraId="59685797" w14:textId="77777777" w:rsidR="000F6DA9" w:rsidRDefault="000F6DA9" w:rsidP="000F6DA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2397C360" w14:textId="12F520F0" w:rsidR="000F6DA9" w:rsidRPr="006D2F6B" w:rsidRDefault="000F6DA9" w:rsidP="000F6DA9">
            <w:pPr>
              <w:jc w:val="center"/>
              <w:rPr>
                <w:b/>
              </w:rPr>
            </w:pPr>
            <w:r w:rsidRPr="00314348">
              <w:t>2020</w:t>
            </w:r>
          </w:p>
        </w:tc>
        <w:tc>
          <w:tcPr>
            <w:tcW w:w="790" w:type="dxa"/>
            <w:shd w:val="clear" w:color="auto" w:fill="auto"/>
          </w:tcPr>
          <w:p w14:paraId="73C98386" w14:textId="77777777" w:rsidR="000F6DA9" w:rsidRDefault="000F6DA9" w:rsidP="000F6DA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102EF8AB" w14:textId="14C7B2EE" w:rsidR="000F6DA9" w:rsidRPr="006D2F6B" w:rsidRDefault="000F6DA9" w:rsidP="000F6DA9">
            <w:pPr>
              <w:jc w:val="center"/>
              <w:rPr>
                <w:b/>
              </w:rPr>
            </w:pPr>
            <w:r w:rsidRPr="00314348">
              <w:t>2021</w:t>
            </w:r>
          </w:p>
        </w:tc>
        <w:tc>
          <w:tcPr>
            <w:tcW w:w="791" w:type="dxa"/>
            <w:shd w:val="clear" w:color="auto" w:fill="auto"/>
          </w:tcPr>
          <w:p w14:paraId="35FC1CEA" w14:textId="77777777" w:rsidR="000F6DA9" w:rsidRDefault="000F6DA9" w:rsidP="000F6DA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750673D6" w14:textId="23EE03F8" w:rsidR="000F6DA9" w:rsidRPr="006D2F6B" w:rsidRDefault="000F6DA9" w:rsidP="000F6DA9">
            <w:pPr>
              <w:jc w:val="center"/>
              <w:rPr>
                <w:b/>
              </w:rPr>
            </w:pPr>
            <w:r w:rsidRPr="00314348">
              <w:t>2022</w:t>
            </w:r>
          </w:p>
        </w:tc>
      </w:tr>
      <w:tr w:rsidR="00EB70CE" w14:paraId="715AAF1C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32AC69BB" w14:textId="77777777" w:rsidR="000F6DA9" w:rsidRDefault="000F6DA9" w:rsidP="000F6DA9">
            <w:pPr>
              <w:pStyle w:val="PlainText"/>
            </w:pPr>
            <w:r>
              <w:t>Student perception data –</w:t>
            </w:r>
          </w:p>
          <w:p w14:paraId="54762B45" w14:textId="77777777" w:rsidR="001978E2" w:rsidRDefault="000F6DA9" w:rsidP="000F6DA9">
            <w:pPr>
              <w:pStyle w:val="PlainText"/>
            </w:pPr>
            <w:r>
              <w:t xml:space="preserve">Staff take students’ concerns seriously </w:t>
            </w:r>
          </w:p>
          <w:p w14:paraId="1BB77CFA" w14:textId="071D6AA3" w:rsidR="00EB70CE" w:rsidRPr="006D2F6B" w:rsidRDefault="001978E2" w:rsidP="000F6DA9">
            <w:pPr>
              <w:pStyle w:val="PlainText"/>
            </w:pPr>
            <w:r>
              <w:t>(</w:t>
            </w:r>
            <w:r w:rsidR="000F6DA9">
              <w:t>% strongly agree and agree</w:t>
            </w:r>
            <w:r>
              <w:t>)</w:t>
            </w:r>
          </w:p>
        </w:tc>
        <w:tc>
          <w:tcPr>
            <w:tcW w:w="790" w:type="dxa"/>
            <w:shd w:val="clear" w:color="auto" w:fill="auto"/>
          </w:tcPr>
          <w:p w14:paraId="694253E4" w14:textId="76BD4F1A" w:rsidR="00EB70CE" w:rsidRPr="00450AE0" w:rsidRDefault="000F6DA9" w:rsidP="00B65833">
            <w:pPr>
              <w:jc w:val="center"/>
              <w:rPr>
                <w:color w:val="D09E00"/>
              </w:rPr>
            </w:pPr>
            <w:r w:rsidRPr="00450AE0">
              <w:rPr>
                <w:color w:val="D09E00"/>
              </w:rPr>
              <w:t>66</w:t>
            </w:r>
            <w:r w:rsidR="00DF15A8">
              <w:rPr>
                <w:color w:val="D09E00"/>
              </w:rPr>
              <w:t>.0</w:t>
            </w:r>
            <w:r w:rsidRPr="00450AE0">
              <w:rPr>
                <w:color w:val="D09E0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30994033" w14:textId="31CDC936" w:rsidR="00EB70CE" w:rsidRPr="00450AE0" w:rsidRDefault="000F6DA9" w:rsidP="00B65833">
            <w:pPr>
              <w:jc w:val="center"/>
              <w:rPr>
                <w:color w:val="D09E00"/>
              </w:rPr>
            </w:pPr>
            <w:r w:rsidRPr="00450AE0">
              <w:rPr>
                <w:color w:val="D09E00"/>
              </w:rPr>
              <w:t>64.2%</w:t>
            </w:r>
          </w:p>
        </w:tc>
        <w:tc>
          <w:tcPr>
            <w:tcW w:w="790" w:type="dxa"/>
            <w:shd w:val="clear" w:color="auto" w:fill="auto"/>
          </w:tcPr>
          <w:p w14:paraId="0240AD5D" w14:textId="004203AB" w:rsidR="00EB70CE" w:rsidRPr="00450AE0" w:rsidRDefault="000F6DA9" w:rsidP="00B65833">
            <w:pPr>
              <w:jc w:val="center"/>
              <w:rPr>
                <w:color w:val="D09E00"/>
              </w:rPr>
            </w:pPr>
            <w:r w:rsidRPr="00450AE0">
              <w:rPr>
                <w:color w:val="D09E00"/>
              </w:rPr>
              <w:t>61.5%</w:t>
            </w:r>
          </w:p>
        </w:tc>
        <w:tc>
          <w:tcPr>
            <w:tcW w:w="790" w:type="dxa"/>
            <w:shd w:val="clear" w:color="auto" w:fill="auto"/>
          </w:tcPr>
          <w:p w14:paraId="06476B2E" w14:textId="77777777" w:rsidR="00EB70CE" w:rsidRPr="006D2F6B" w:rsidRDefault="00EB70CE" w:rsidP="00761CEF"/>
        </w:tc>
        <w:tc>
          <w:tcPr>
            <w:tcW w:w="790" w:type="dxa"/>
            <w:shd w:val="clear" w:color="auto" w:fill="auto"/>
          </w:tcPr>
          <w:p w14:paraId="7CE7857F" w14:textId="77777777" w:rsidR="00EB70CE" w:rsidRPr="006D2F6B" w:rsidRDefault="00EB70CE" w:rsidP="00761CEF"/>
        </w:tc>
        <w:tc>
          <w:tcPr>
            <w:tcW w:w="791" w:type="dxa"/>
            <w:shd w:val="clear" w:color="auto" w:fill="auto"/>
          </w:tcPr>
          <w:p w14:paraId="58F95C67" w14:textId="77777777" w:rsidR="00EB70CE" w:rsidRPr="006D2F6B" w:rsidRDefault="00EB70CE" w:rsidP="00761CEF"/>
        </w:tc>
      </w:tr>
      <w:tr w:rsidR="0090310B" w14:paraId="3C6933F8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62314286" w14:textId="77777777" w:rsidR="0090310B" w:rsidRDefault="0090310B" w:rsidP="0090310B">
            <w:pPr>
              <w:pStyle w:val="PlainText"/>
            </w:pPr>
            <w:r>
              <w:t>Student perception data –</w:t>
            </w:r>
          </w:p>
          <w:p w14:paraId="16D20080" w14:textId="04D6128C" w:rsidR="0090310B" w:rsidRDefault="0090310B" w:rsidP="0090310B">
            <w:pPr>
              <w:pStyle w:val="PlainText"/>
            </w:pPr>
            <w:r>
              <w:t xml:space="preserve">I can talk </w:t>
            </w:r>
            <w:r w:rsidR="00DF15A8">
              <w:t xml:space="preserve">to my teachers about my concerns </w:t>
            </w:r>
          </w:p>
          <w:p w14:paraId="202EDF10" w14:textId="1169DE9B" w:rsidR="0090310B" w:rsidRDefault="0090310B" w:rsidP="0090310B">
            <w:pPr>
              <w:pStyle w:val="PlainText"/>
            </w:pPr>
            <w:r>
              <w:t>(% strongly agree and agree)</w:t>
            </w:r>
          </w:p>
        </w:tc>
        <w:tc>
          <w:tcPr>
            <w:tcW w:w="790" w:type="dxa"/>
            <w:shd w:val="clear" w:color="auto" w:fill="auto"/>
          </w:tcPr>
          <w:p w14:paraId="41302069" w14:textId="379061CA" w:rsidR="0090310B" w:rsidRPr="00DF15A8" w:rsidRDefault="00DF15A8" w:rsidP="00B65833">
            <w:pPr>
              <w:jc w:val="center"/>
              <w:rPr>
                <w:color w:val="D09E00"/>
              </w:rPr>
            </w:pPr>
            <w:r w:rsidRPr="00DF15A8">
              <w:rPr>
                <w:color w:val="D09E00"/>
              </w:rPr>
              <w:t>58.3%</w:t>
            </w:r>
          </w:p>
        </w:tc>
        <w:tc>
          <w:tcPr>
            <w:tcW w:w="790" w:type="dxa"/>
            <w:shd w:val="clear" w:color="auto" w:fill="auto"/>
          </w:tcPr>
          <w:p w14:paraId="6E582D70" w14:textId="20E0A1FC" w:rsidR="0090310B" w:rsidRPr="00DF15A8" w:rsidRDefault="00DF15A8" w:rsidP="00B65833">
            <w:pPr>
              <w:jc w:val="center"/>
              <w:rPr>
                <w:color w:val="D09E00"/>
              </w:rPr>
            </w:pPr>
            <w:r w:rsidRPr="00DF15A8">
              <w:rPr>
                <w:color w:val="D09E00"/>
              </w:rPr>
              <w:t>58.8%</w:t>
            </w:r>
          </w:p>
        </w:tc>
        <w:tc>
          <w:tcPr>
            <w:tcW w:w="790" w:type="dxa"/>
            <w:shd w:val="clear" w:color="auto" w:fill="auto"/>
          </w:tcPr>
          <w:p w14:paraId="47D424F6" w14:textId="5B2E33E3" w:rsidR="0090310B" w:rsidRPr="00DF15A8" w:rsidRDefault="00DF15A8" w:rsidP="00B65833">
            <w:pPr>
              <w:jc w:val="center"/>
              <w:rPr>
                <w:color w:val="D09E00"/>
              </w:rPr>
            </w:pPr>
            <w:r w:rsidRPr="00DF15A8">
              <w:rPr>
                <w:color w:val="D09E00"/>
              </w:rPr>
              <w:t>54.2%</w:t>
            </w:r>
          </w:p>
        </w:tc>
        <w:tc>
          <w:tcPr>
            <w:tcW w:w="790" w:type="dxa"/>
            <w:shd w:val="clear" w:color="auto" w:fill="auto"/>
          </w:tcPr>
          <w:p w14:paraId="309AD433" w14:textId="77777777" w:rsidR="0090310B" w:rsidRPr="006D2F6B" w:rsidRDefault="0090310B" w:rsidP="00761CEF"/>
        </w:tc>
        <w:tc>
          <w:tcPr>
            <w:tcW w:w="790" w:type="dxa"/>
            <w:shd w:val="clear" w:color="auto" w:fill="auto"/>
          </w:tcPr>
          <w:p w14:paraId="3ECB7268" w14:textId="77777777" w:rsidR="0090310B" w:rsidRPr="006D2F6B" w:rsidRDefault="0090310B" w:rsidP="00761CEF"/>
        </w:tc>
        <w:tc>
          <w:tcPr>
            <w:tcW w:w="791" w:type="dxa"/>
            <w:shd w:val="clear" w:color="auto" w:fill="auto"/>
          </w:tcPr>
          <w:p w14:paraId="1DF0DD5E" w14:textId="00A1D841" w:rsidR="0090310B" w:rsidRPr="006D2F6B" w:rsidRDefault="008B2AE7" w:rsidP="00761CEF">
            <w:r w:rsidRPr="008B2AE7">
              <w:rPr>
                <w:color w:val="00B050"/>
              </w:rPr>
              <w:t>80%</w:t>
            </w:r>
          </w:p>
        </w:tc>
      </w:tr>
      <w:tr w:rsidR="00EB70CE" w14:paraId="6DD2C688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5A3523BE" w14:textId="463FBCB7" w:rsidR="000F6DA9" w:rsidRDefault="000F6DA9" w:rsidP="000F6DA9">
            <w:pPr>
              <w:pStyle w:val="PlainText"/>
            </w:pPr>
            <w:r>
              <w:t>Student perception data –</w:t>
            </w:r>
          </w:p>
          <w:p w14:paraId="5FF4787E" w14:textId="77777777" w:rsidR="001978E2" w:rsidRDefault="000F6DA9" w:rsidP="000F6DA9">
            <w:r>
              <w:t xml:space="preserve">I feel safe at this school </w:t>
            </w:r>
          </w:p>
          <w:p w14:paraId="3EFCC141" w14:textId="0BB76901" w:rsidR="00EB70CE" w:rsidRPr="006D2F6B" w:rsidRDefault="001978E2" w:rsidP="000F6DA9">
            <w:r>
              <w:t>(</w:t>
            </w:r>
            <w:r w:rsidR="000F6DA9">
              <w:t>% strongly agree and agree</w:t>
            </w:r>
            <w:r>
              <w:t>)</w:t>
            </w:r>
          </w:p>
        </w:tc>
        <w:tc>
          <w:tcPr>
            <w:tcW w:w="790" w:type="dxa"/>
            <w:shd w:val="clear" w:color="auto" w:fill="auto"/>
          </w:tcPr>
          <w:p w14:paraId="018EACAA" w14:textId="684185A8" w:rsidR="00EB70CE" w:rsidRPr="00450AE0" w:rsidRDefault="000F6DA9" w:rsidP="00B65833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t>72.7%</w:t>
            </w:r>
          </w:p>
        </w:tc>
        <w:tc>
          <w:tcPr>
            <w:tcW w:w="790" w:type="dxa"/>
            <w:shd w:val="clear" w:color="auto" w:fill="auto"/>
          </w:tcPr>
          <w:p w14:paraId="5982A543" w14:textId="74DD9067" w:rsidR="00EB70CE" w:rsidRPr="00450AE0" w:rsidRDefault="000F6DA9" w:rsidP="00B65833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t>76.6%</w:t>
            </w:r>
          </w:p>
        </w:tc>
        <w:tc>
          <w:tcPr>
            <w:tcW w:w="790" w:type="dxa"/>
            <w:shd w:val="clear" w:color="auto" w:fill="auto"/>
          </w:tcPr>
          <w:p w14:paraId="040ADB54" w14:textId="6E30E40C" w:rsidR="00EB70CE" w:rsidRPr="00450AE0" w:rsidRDefault="000F6DA9" w:rsidP="00B65833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t>70.1%</w:t>
            </w:r>
          </w:p>
        </w:tc>
        <w:tc>
          <w:tcPr>
            <w:tcW w:w="790" w:type="dxa"/>
            <w:shd w:val="clear" w:color="auto" w:fill="auto"/>
          </w:tcPr>
          <w:p w14:paraId="2F8CD83E" w14:textId="77777777" w:rsidR="00EB70CE" w:rsidRPr="006D2F6B" w:rsidRDefault="00EB70CE" w:rsidP="00761CEF"/>
        </w:tc>
        <w:tc>
          <w:tcPr>
            <w:tcW w:w="790" w:type="dxa"/>
            <w:shd w:val="clear" w:color="auto" w:fill="auto"/>
          </w:tcPr>
          <w:p w14:paraId="49509B3D" w14:textId="77777777" w:rsidR="00EB70CE" w:rsidRPr="006D2F6B" w:rsidRDefault="00EB70CE" w:rsidP="00761CEF"/>
        </w:tc>
        <w:tc>
          <w:tcPr>
            <w:tcW w:w="791" w:type="dxa"/>
            <w:shd w:val="clear" w:color="auto" w:fill="auto"/>
          </w:tcPr>
          <w:p w14:paraId="34604F66" w14:textId="77777777" w:rsidR="00EB70CE" w:rsidRPr="006D2F6B" w:rsidRDefault="00EB70CE" w:rsidP="00761CEF"/>
        </w:tc>
      </w:tr>
      <w:tr w:rsidR="00E957E4" w14:paraId="5B9298A7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1D97BC8F" w14:textId="0E26B6F6" w:rsidR="00E957E4" w:rsidRDefault="00703A82" w:rsidP="000F6DA9">
            <w:pPr>
              <w:pStyle w:val="PlainText"/>
            </w:pPr>
            <w:r>
              <w:t xml:space="preserve">Trend analysis – </w:t>
            </w:r>
          </w:p>
          <w:p w14:paraId="4CBC0B70" w14:textId="77777777" w:rsidR="001978E2" w:rsidRDefault="00703A82" w:rsidP="000F6DA9">
            <w:pPr>
              <w:pStyle w:val="PlainText"/>
            </w:pPr>
            <w:r>
              <w:t>School identification</w:t>
            </w:r>
          </w:p>
          <w:p w14:paraId="5B28A4B1" w14:textId="229236C7" w:rsidR="00703A82" w:rsidRDefault="001978E2" w:rsidP="000F6DA9">
            <w:pPr>
              <w:pStyle w:val="PlainText"/>
            </w:pPr>
            <w:r w:rsidRPr="004A49B2">
              <w:t>(Average Response)</w:t>
            </w:r>
            <w:r w:rsidR="00703A82">
              <w:t xml:space="preserve"> </w:t>
            </w:r>
          </w:p>
        </w:tc>
        <w:tc>
          <w:tcPr>
            <w:tcW w:w="790" w:type="dxa"/>
            <w:shd w:val="clear" w:color="auto" w:fill="auto"/>
          </w:tcPr>
          <w:p w14:paraId="41430047" w14:textId="52D62042" w:rsidR="00E957E4" w:rsidRPr="00450AE0" w:rsidRDefault="001978E2" w:rsidP="00B65833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t>3.6</w:t>
            </w:r>
          </w:p>
        </w:tc>
        <w:tc>
          <w:tcPr>
            <w:tcW w:w="790" w:type="dxa"/>
            <w:shd w:val="clear" w:color="auto" w:fill="auto"/>
          </w:tcPr>
          <w:p w14:paraId="426E85CD" w14:textId="1A749A53" w:rsidR="00E957E4" w:rsidRPr="00450AE0" w:rsidRDefault="001978E2" w:rsidP="00B65833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t>3.8</w:t>
            </w:r>
          </w:p>
        </w:tc>
        <w:tc>
          <w:tcPr>
            <w:tcW w:w="790" w:type="dxa"/>
            <w:shd w:val="clear" w:color="auto" w:fill="auto"/>
          </w:tcPr>
          <w:p w14:paraId="250FD36E" w14:textId="493553D5" w:rsidR="00E957E4" w:rsidRPr="00450AE0" w:rsidRDefault="001978E2" w:rsidP="00B65833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t>3.8</w:t>
            </w:r>
          </w:p>
        </w:tc>
        <w:tc>
          <w:tcPr>
            <w:tcW w:w="790" w:type="dxa"/>
            <w:shd w:val="clear" w:color="auto" w:fill="auto"/>
          </w:tcPr>
          <w:p w14:paraId="6B2EE126" w14:textId="77777777" w:rsidR="00E957E4" w:rsidRPr="006D2F6B" w:rsidRDefault="00E957E4" w:rsidP="00761CEF"/>
        </w:tc>
        <w:tc>
          <w:tcPr>
            <w:tcW w:w="790" w:type="dxa"/>
            <w:shd w:val="clear" w:color="auto" w:fill="auto"/>
          </w:tcPr>
          <w:p w14:paraId="008065DF" w14:textId="77777777" w:rsidR="00E957E4" w:rsidRPr="006D2F6B" w:rsidRDefault="00E957E4" w:rsidP="00761CEF"/>
        </w:tc>
        <w:tc>
          <w:tcPr>
            <w:tcW w:w="791" w:type="dxa"/>
            <w:shd w:val="clear" w:color="auto" w:fill="auto"/>
          </w:tcPr>
          <w:p w14:paraId="58D0C140" w14:textId="77777777" w:rsidR="00E957E4" w:rsidRPr="006D2F6B" w:rsidRDefault="00E957E4" w:rsidP="00761CEF"/>
        </w:tc>
      </w:tr>
      <w:tr w:rsidR="00E957E4" w14:paraId="113671FD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7FB802A2" w14:textId="77777777" w:rsidR="001978E2" w:rsidRDefault="001978E2" w:rsidP="001978E2">
            <w:pPr>
              <w:pStyle w:val="PlainText"/>
            </w:pPr>
            <w:r>
              <w:t xml:space="preserve">Trend analysis – </w:t>
            </w:r>
          </w:p>
          <w:p w14:paraId="5149FFC8" w14:textId="77777777" w:rsidR="001978E2" w:rsidRDefault="001978E2" w:rsidP="001978E2">
            <w:pPr>
              <w:pStyle w:val="PlainText"/>
            </w:pPr>
            <w:r>
              <w:t>School identification</w:t>
            </w:r>
          </w:p>
          <w:p w14:paraId="23A1739F" w14:textId="3AC9BEAF" w:rsidR="00E957E4" w:rsidRDefault="000F6995" w:rsidP="001978E2">
            <w:pPr>
              <w:pStyle w:val="PlainText"/>
            </w:pPr>
            <w:r>
              <w:lastRenderedPageBreak/>
              <w:t>(% strongly agree and agree)</w:t>
            </w:r>
          </w:p>
        </w:tc>
        <w:tc>
          <w:tcPr>
            <w:tcW w:w="790" w:type="dxa"/>
            <w:shd w:val="clear" w:color="auto" w:fill="auto"/>
          </w:tcPr>
          <w:p w14:paraId="03DD5403" w14:textId="6780FAF8" w:rsidR="00E957E4" w:rsidRPr="00450AE0" w:rsidRDefault="000F6995" w:rsidP="00B65833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lastRenderedPageBreak/>
              <w:t>65%</w:t>
            </w:r>
          </w:p>
        </w:tc>
        <w:tc>
          <w:tcPr>
            <w:tcW w:w="790" w:type="dxa"/>
            <w:shd w:val="clear" w:color="auto" w:fill="auto"/>
          </w:tcPr>
          <w:p w14:paraId="5CECA1DF" w14:textId="502782E0" w:rsidR="00E957E4" w:rsidRPr="00450AE0" w:rsidRDefault="000F6995" w:rsidP="00B65833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t>67%</w:t>
            </w:r>
          </w:p>
        </w:tc>
        <w:tc>
          <w:tcPr>
            <w:tcW w:w="790" w:type="dxa"/>
            <w:shd w:val="clear" w:color="auto" w:fill="auto"/>
          </w:tcPr>
          <w:p w14:paraId="7D0ADD59" w14:textId="3997626D" w:rsidR="00E957E4" w:rsidRPr="00450AE0" w:rsidRDefault="000F6995" w:rsidP="00B65833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t>66%</w:t>
            </w:r>
          </w:p>
        </w:tc>
        <w:tc>
          <w:tcPr>
            <w:tcW w:w="790" w:type="dxa"/>
            <w:shd w:val="clear" w:color="auto" w:fill="auto"/>
          </w:tcPr>
          <w:p w14:paraId="24DA8A68" w14:textId="77777777" w:rsidR="00E957E4" w:rsidRPr="006D2F6B" w:rsidRDefault="00E957E4" w:rsidP="00E957E4"/>
        </w:tc>
        <w:tc>
          <w:tcPr>
            <w:tcW w:w="790" w:type="dxa"/>
            <w:shd w:val="clear" w:color="auto" w:fill="auto"/>
          </w:tcPr>
          <w:p w14:paraId="6EFC80FC" w14:textId="77777777" w:rsidR="00E957E4" w:rsidRPr="006D2F6B" w:rsidRDefault="00E957E4" w:rsidP="00E957E4"/>
        </w:tc>
        <w:tc>
          <w:tcPr>
            <w:tcW w:w="791" w:type="dxa"/>
            <w:shd w:val="clear" w:color="auto" w:fill="auto"/>
          </w:tcPr>
          <w:p w14:paraId="67ED2F24" w14:textId="77777777" w:rsidR="00E957E4" w:rsidRPr="006D2F6B" w:rsidRDefault="00E957E4" w:rsidP="00E957E4"/>
        </w:tc>
      </w:tr>
      <w:tr w:rsidR="000F6995" w14:paraId="5E0664E1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6532C5DD" w14:textId="77777777" w:rsidR="000F6995" w:rsidRDefault="000F6995" w:rsidP="000F6995">
            <w:pPr>
              <w:pStyle w:val="PlainText"/>
            </w:pPr>
            <w:r>
              <w:t xml:space="preserve">Trend analysis – </w:t>
            </w:r>
          </w:p>
          <w:p w14:paraId="67DD8ED1" w14:textId="383AB2A5" w:rsidR="000F6995" w:rsidRDefault="000F6995" w:rsidP="000F6995">
            <w:pPr>
              <w:pStyle w:val="PlainText"/>
            </w:pPr>
            <w:r>
              <w:t xml:space="preserve">Shared values and approach </w:t>
            </w:r>
          </w:p>
          <w:p w14:paraId="5A4E8465" w14:textId="39BCD878" w:rsidR="000F6995" w:rsidRDefault="000F6995" w:rsidP="000F6995">
            <w:pPr>
              <w:pStyle w:val="PlainText"/>
            </w:pPr>
            <w:r w:rsidRPr="004A49B2">
              <w:t>(Average Response)</w:t>
            </w:r>
            <w:r>
              <w:t xml:space="preserve"> </w:t>
            </w:r>
          </w:p>
        </w:tc>
        <w:tc>
          <w:tcPr>
            <w:tcW w:w="790" w:type="dxa"/>
            <w:shd w:val="clear" w:color="auto" w:fill="auto"/>
          </w:tcPr>
          <w:p w14:paraId="1139FFBE" w14:textId="44290D48" w:rsidR="000F6995" w:rsidRPr="00450AE0" w:rsidRDefault="000F6995" w:rsidP="00B65833">
            <w:pPr>
              <w:jc w:val="center"/>
              <w:rPr>
                <w:color w:val="D09E00"/>
              </w:rPr>
            </w:pPr>
            <w:r w:rsidRPr="00450AE0">
              <w:rPr>
                <w:color w:val="D09E00"/>
              </w:rPr>
              <w:t>3.8</w:t>
            </w:r>
          </w:p>
        </w:tc>
        <w:tc>
          <w:tcPr>
            <w:tcW w:w="790" w:type="dxa"/>
            <w:shd w:val="clear" w:color="auto" w:fill="auto"/>
          </w:tcPr>
          <w:p w14:paraId="7914E8D2" w14:textId="14E4EB06" w:rsidR="000F6995" w:rsidRPr="00450AE0" w:rsidRDefault="000F6995" w:rsidP="00B65833">
            <w:pPr>
              <w:jc w:val="center"/>
              <w:rPr>
                <w:color w:val="D09E00"/>
              </w:rPr>
            </w:pPr>
            <w:r w:rsidRPr="00450AE0">
              <w:rPr>
                <w:color w:val="D09E00"/>
              </w:rPr>
              <w:t>4.0</w:t>
            </w:r>
          </w:p>
        </w:tc>
        <w:tc>
          <w:tcPr>
            <w:tcW w:w="790" w:type="dxa"/>
            <w:shd w:val="clear" w:color="auto" w:fill="auto"/>
          </w:tcPr>
          <w:p w14:paraId="3234C776" w14:textId="3A1D11DE" w:rsidR="000F6995" w:rsidRPr="00450AE0" w:rsidRDefault="000F6995" w:rsidP="00B65833">
            <w:pPr>
              <w:jc w:val="center"/>
              <w:rPr>
                <w:color w:val="D09E00"/>
              </w:rPr>
            </w:pPr>
            <w:r w:rsidRPr="00450AE0">
              <w:rPr>
                <w:color w:val="D09E00"/>
              </w:rPr>
              <w:t>3.8</w:t>
            </w:r>
          </w:p>
        </w:tc>
        <w:tc>
          <w:tcPr>
            <w:tcW w:w="790" w:type="dxa"/>
            <w:shd w:val="clear" w:color="auto" w:fill="auto"/>
          </w:tcPr>
          <w:p w14:paraId="2DD4C76B" w14:textId="77777777" w:rsidR="000F6995" w:rsidRPr="006D2F6B" w:rsidRDefault="000F6995" w:rsidP="000F6995"/>
        </w:tc>
        <w:tc>
          <w:tcPr>
            <w:tcW w:w="790" w:type="dxa"/>
            <w:shd w:val="clear" w:color="auto" w:fill="auto"/>
          </w:tcPr>
          <w:p w14:paraId="56F32DA2" w14:textId="77777777" w:rsidR="000F6995" w:rsidRPr="006D2F6B" w:rsidRDefault="000F6995" w:rsidP="000F6995"/>
        </w:tc>
        <w:tc>
          <w:tcPr>
            <w:tcW w:w="791" w:type="dxa"/>
            <w:shd w:val="clear" w:color="auto" w:fill="auto"/>
          </w:tcPr>
          <w:p w14:paraId="4A2A90EB" w14:textId="77777777" w:rsidR="000F6995" w:rsidRPr="006D2F6B" w:rsidRDefault="000F6995" w:rsidP="000F6995"/>
        </w:tc>
      </w:tr>
      <w:tr w:rsidR="000F6995" w14:paraId="76915157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3FEA6A85" w14:textId="77777777" w:rsidR="000F6995" w:rsidRDefault="000F6995" w:rsidP="000F6995">
            <w:pPr>
              <w:pStyle w:val="PlainText"/>
            </w:pPr>
            <w:r>
              <w:t xml:space="preserve">Trend analysis – </w:t>
            </w:r>
          </w:p>
          <w:p w14:paraId="54625BFE" w14:textId="77777777" w:rsidR="000F6995" w:rsidRDefault="000F6995" w:rsidP="000F6995">
            <w:pPr>
              <w:pStyle w:val="PlainText"/>
            </w:pPr>
            <w:r>
              <w:t xml:space="preserve">Shared values and approach </w:t>
            </w:r>
          </w:p>
          <w:p w14:paraId="03E81693" w14:textId="75EF5D5E" w:rsidR="000F6995" w:rsidRDefault="000F6995" w:rsidP="000F6995">
            <w:pPr>
              <w:pStyle w:val="PlainText"/>
            </w:pPr>
            <w:r>
              <w:t>(% strongly agree and agree)</w:t>
            </w:r>
          </w:p>
        </w:tc>
        <w:tc>
          <w:tcPr>
            <w:tcW w:w="790" w:type="dxa"/>
            <w:shd w:val="clear" w:color="auto" w:fill="auto"/>
          </w:tcPr>
          <w:p w14:paraId="79B6BA99" w14:textId="4DF7527D" w:rsidR="000F6995" w:rsidRPr="00450AE0" w:rsidRDefault="000F6995" w:rsidP="00B65833">
            <w:pPr>
              <w:jc w:val="center"/>
              <w:rPr>
                <w:color w:val="D09E00"/>
              </w:rPr>
            </w:pPr>
            <w:r w:rsidRPr="00450AE0">
              <w:rPr>
                <w:color w:val="D09E00"/>
              </w:rPr>
              <w:t>70%</w:t>
            </w:r>
          </w:p>
        </w:tc>
        <w:tc>
          <w:tcPr>
            <w:tcW w:w="790" w:type="dxa"/>
            <w:shd w:val="clear" w:color="auto" w:fill="auto"/>
          </w:tcPr>
          <w:p w14:paraId="72217E6F" w14:textId="02FDE8D9" w:rsidR="000F6995" w:rsidRPr="00450AE0" w:rsidRDefault="000F6995" w:rsidP="00B65833">
            <w:pPr>
              <w:jc w:val="center"/>
              <w:rPr>
                <w:color w:val="D09E00"/>
              </w:rPr>
            </w:pPr>
            <w:r w:rsidRPr="00450AE0">
              <w:rPr>
                <w:color w:val="D09E00"/>
              </w:rPr>
              <w:t>71%</w:t>
            </w:r>
          </w:p>
        </w:tc>
        <w:tc>
          <w:tcPr>
            <w:tcW w:w="790" w:type="dxa"/>
            <w:shd w:val="clear" w:color="auto" w:fill="auto"/>
          </w:tcPr>
          <w:p w14:paraId="09FC5619" w14:textId="61414D1A" w:rsidR="000F6995" w:rsidRPr="00450AE0" w:rsidRDefault="000F6995" w:rsidP="00B65833">
            <w:pPr>
              <w:jc w:val="center"/>
              <w:rPr>
                <w:color w:val="D09E00"/>
              </w:rPr>
            </w:pPr>
            <w:r w:rsidRPr="00450AE0">
              <w:rPr>
                <w:color w:val="D09E00"/>
              </w:rPr>
              <w:t>67%</w:t>
            </w:r>
          </w:p>
        </w:tc>
        <w:tc>
          <w:tcPr>
            <w:tcW w:w="790" w:type="dxa"/>
            <w:shd w:val="clear" w:color="auto" w:fill="auto"/>
          </w:tcPr>
          <w:p w14:paraId="307FB49B" w14:textId="77777777" w:rsidR="000F6995" w:rsidRPr="006D2F6B" w:rsidRDefault="000F6995" w:rsidP="000F6995"/>
        </w:tc>
        <w:tc>
          <w:tcPr>
            <w:tcW w:w="790" w:type="dxa"/>
            <w:shd w:val="clear" w:color="auto" w:fill="auto"/>
          </w:tcPr>
          <w:p w14:paraId="2E4068A4" w14:textId="77777777" w:rsidR="000F6995" w:rsidRPr="006D2F6B" w:rsidRDefault="000F6995" w:rsidP="000F6995"/>
        </w:tc>
        <w:tc>
          <w:tcPr>
            <w:tcW w:w="791" w:type="dxa"/>
            <w:shd w:val="clear" w:color="auto" w:fill="auto"/>
          </w:tcPr>
          <w:p w14:paraId="77FB163E" w14:textId="77777777" w:rsidR="000F6995" w:rsidRPr="006D2F6B" w:rsidRDefault="000F6995" w:rsidP="000F6995"/>
        </w:tc>
      </w:tr>
      <w:tr w:rsidR="000F6995" w14:paraId="3E8A6C10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0853E09E" w14:textId="77777777" w:rsidR="000F6995" w:rsidRDefault="000F6995" w:rsidP="000F6995">
            <w:pPr>
              <w:pStyle w:val="PlainText"/>
            </w:pPr>
            <w:r>
              <w:t xml:space="preserve">Trend analysis – </w:t>
            </w:r>
          </w:p>
          <w:p w14:paraId="14DCD2C9" w14:textId="4DB2F876" w:rsidR="000F6995" w:rsidRDefault="00677316" w:rsidP="000F6995">
            <w:pPr>
              <w:pStyle w:val="PlainText"/>
            </w:pPr>
            <w:r>
              <w:t>Student relations</w:t>
            </w:r>
          </w:p>
          <w:p w14:paraId="1AFD89A6" w14:textId="768F2423" w:rsidR="000F6995" w:rsidRDefault="000F6995" w:rsidP="000F6995">
            <w:pPr>
              <w:pStyle w:val="PlainText"/>
            </w:pPr>
            <w:r w:rsidRPr="004A49B2">
              <w:t>(Average Response)</w:t>
            </w:r>
            <w:r>
              <w:t xml:space="preserve"> </w:t>
            </w:r>
          </w:p>
        </w:tc>
        <w:tc>
          <w:tcPr>
            <w:tcW w:w="790" w:type="dxa"/>
            <w:shd w:val="clear" w:color="auto" w:fill="auto"/>
          </w:tcPr>
          <w:p w14:paraId="0B965B08" w14:textId="0D0765AD" w:rsidR="000F6995" w:rsidRPr="00677316" w:rsidRDefault="000F6995" w:rsidP="00B65833">
            <w:pPr>
              <w:jc w:val="center"/>
              <w:rPr>
                <w:color w:val="00B050"/>
              </w:rPr>
            </w:pPr>
            <w:r w:rsidRPr="00677316">
              <w:rPr>
                <w:color w:val="00B050"/>
              </w:rPr>
              <w:t>3.</w:t>
            </w:r>
            <w:r w:rsidR="00677316" w:rsidRPr="00677316">
              <w:rPr>
                <w:color w:val="00B050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14:paraId="222EFE73" w14:textId="4C8F7EFF" w:rsidR="000F6995" w:rsidRPr="00677316" w:rsidRDefault="00677316" w:rsidP="00B65833">
            <w:pPr>
              <w:jc w:val="center"/>
              <w:rPr>
                <w:color w:val="00B050"/>
              </w:rPr>
            </w:pPr>
            <w:r w:rsidRPr="00677316">
              <w:rPr>
                <w:color w:val="00B050"/>
              </w:rPr>
              <w:t>3.5</w:t>
            </w:r>
          </w:p>
        </w:tc>
        <w:tc>
          <w:tcPr>
            <w:tcW w:w="790" w:type="dxa"/>
            <w:shd w:val="clear" w:color="auto" w:fill="auto"/>
          </w:tcPr>
          <w:p w14:paraId="7FE4529F" w14:textId="1D413CF5" w:rsidR="000F6995" w:rsidRPr="00677316" w:rsidRDefault="000F6995" w:rsidP="00B65833">
            <w:pPr>
              <w:jc w:val="center"/>
              <w:rPr>
                <w:color w:val="00B050"/>
              </w:rPr>
            </w:pPr>
            <w:r w:rsidRPr="00677316">
              <w:rPr>
                <w:color w:val="00B050"/>
              </w:rPr>
              <w:t>3.</w:t>
            </w:r>
            <w:r w:rsidR="00677316" w:rsidRPr="00677316">
              <w:rPr>
                <w:color w:val="00B050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14:paraId="75429D96" w14:textId="77777777" w:rsidR="000F6995" w:rsidRPr="006D2F6B" w:rsidRDefault="000F6995" w:rsidP="000F6995"/>
        </w:tc>
        <w:tc>
          <w:tcPr>
            <w:tcW w:w="790" w:type="dxa"/>
            <w:shd w:val="clear" w:color="auto" w:fill="auto"/>
          </w:tcPr>
          <w:p w14:paraId="17A47F34" w14:textId="77777777" w:rsidR="000F6995" w:rsidRPr="006D2F6B" w:rsidRDefault="000F6995" w:rsidP="000F6995"/>
        </w:tc>
        <w:tc>
          <w:tcPr>
            <w:tcW w:w="791" w:type="dxa"/>
            <w:shd w:val="clear" w:color="auto" w:fill="auto"/>
          </w:tcPr>
          <w:p w14:paraId="1CB09D2C" w14:textId="77777777" w:rsidR="000F6995" w:rsidRPr="006D2F6B" w:rsidRDefault="000F6995" w:rsidP="000F6995"/>
        </w:tc>
      </w:tr>
      <w:tr w:rsidR="000F6995" w14:paraId="5C7AFC42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5B1A5AE3" w14:textId="77777777" w:rsidR="000F6995" w:rsidRDefault="000F6995" w:rsidP="000F6995">
            <w:pPr>
              <w:pStyle w:val="PlainText"/>
            </w:pPr>
            <w:r>
              <w:t xml:space="preserve">Trend analysis – </w:t>
            </w:r>
          </w:p>
          <w:p w14:paraId="27E6B31C" w14:textId="77777777" w:rsidR="00677316" w:rsidRDefault="00677316" w:rsidP="00677316">
            <w:pPr>
              <w:pStyle w:val="PlainText"/>
            </w:pPr>
            <w:r>
              <w:t>Student relations</w:t>
            </w:r>
          </w:p>
          <w:p w14:paraId="1BA234F4" w14:textId="2C83812D" w:rsidR="000F6995" w:rsidRDefault="000F6995" w:rsidP="00677316">
            <w:pPr>
              <w:pStyle w:val="PlainText"/>
            </w:pPr>
            <w:r>
              <w:t>(% strongly agree and agree)</w:t>
            </w:r>
          </w:p>
        </w:tc>
        <w:tc>
          <w:tcPr>
            <w:tcW w:w="790" w:type="dxa"/>
            <w:shd w:val="clear" w:color="auto" w:fill="auto"/>
          </w:tcPr>
          <w:p w14:paraId="38D63C0C" w14:textId="24535DFA" w:rsidR="000F6995" w:rsidRPr="00677316" w:rsidRDefault="00677316" w:rsidP="00B65833">
            <w:pPr>
              <w:jc w:val="center"/>
              <w:rPr>
                <w:color w:val="00B050"/>
              </w:rPr>
            </w:pPr>
            <w:r w:rsidRPr="00677316">
              <w:rPr>
                <w:color w:val="00B050"/>
              </w:rPr>
              <w:t>48</w:t>
            </w:r>
            <w:r w:rsidR="000F6995" w:rsidRPr="00677316">
              <w:rPr>
                <w:color w:val="00B05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0DCA762C" w14:textId="3FB472CB" w:rsidR="000F6995" w:rsidRPr="00677316" w:rsidRDefault="00677316" w:rsidP="00B65833">
            <w:pPr>
              <w:jc w:val="center"/>
              <w:rPr>
                <w:color w:val="00B050"/>
              </w:rPr>
            </w:pPr>
            <w:r w:rsidRPr="00677316">
              <w:rPr>
                <w:color w:val="00B050"/>
              </w:rPr>
              <w:t>53</w:t>
            </w:r>
            <w:r w:rsidR="000F6995" w:rsidRPr="00677316">
              <w:rPr>
                <w:color w:val="00B05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2B243959" w14:textId="71ABA908" w:rsidR="000F6995" w:rsidRPr="00677316" w:rsidRDefault="00677316" w:rsidP="00B65833">
            <w:pPr>
              <w:jc w:val="center"/>
              <w:rPr>
                <w:color w:val="00B050"/>
              </w:rPr>
            </w:pPr>
            <w:r w:rsidRPr="00677316">
              <w:rPr>
                <w:color w:val="00B050"/>
              </w:rPr>
              <w:t>48</w:t>
            </w:r>
            <w:r w:rsidR="000F6995" w:rsidRPr="00677316">
              <w:rPr>
                <w:color w:val="00B05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27B8CA20" w14:textId="77777777" w:rsidR="000F6995" w:rsidRPr="006D2F6B" w:rsidRDefault="000F6995" w:rsidP="000F6995"/>
        </w:tc>
        <w:tc>
          <w:tcPr>
            <w:tcW w:w="790" w:type="dxa"/>
            <w:shd w:val="clear" w:color="auto" w:fill="auto"/>
          </w:tcPr>
          <w:p w14:paraId="772EE957" w14:textId="77777777" w:rsidR="000F6995" w:rsidRPr="006D2F6B" w:rsidRDefault="000F6995" w:rsidP="000F6995"/>
        </w:tc>
        <w:tc>
          <w:tcPr>
            <w:tcW w:w="791" w:type="dxa"/>
            <w:shd w:val="clear" w:color="auto" w:fill="auto"/>
          </w:tcPr>
          <w:p w14:paraId="5DBAA5E4" w14:textId="77777777" w:rsidR="000F6995" w:rsidRPr="006D2F6B" w:rsidRDefault="000F6995" w:rsidP="000F6995"/>
        </w:tc>
      </w:tr>
      <w:tr w:rsidR="00677316" w14:paraId="3A6A081E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4EDB5360" w14:textId="77777777" w:rsidR="00677316" w:rsidRDefault="00677316" w:rsidP="00677316">
            <w:pPr>
              <w:pStyle w:val="PlainText"/>
            </w:pPr>
            <w:r>
              <w:t xml:space="preserve">Trend analysis – </w:t>
            </w:r>
          </w:p>
          <w:p w14:paraId="4F1A6450" w14:textId="0EE99BF0" w:rsidR="00677316" w:rsidRDefault="00677316" w:rsidP="00677316">
            <w:pPr>
              <w:pStyle w:val="PlainText"/>
            </w:pPr>
            <w:r>
              <w:t>Student staff relations</w:t>
            </w:r>
          </w:p>
          <w:p w14:paraId="0AB917D9" w14:textId="4287341E" w:rsidR="00677316" w:rsidRDefault="00677316" w:rsidP="00677316">
            <w:pPr>
              <w:pStyle w:val="PlainText"/>
            </w:pPr>
            <w:r w:rsidRPr="004A49B2">
              <w:t>(Average Response)</w:t>
            </w:r>
            <w:r>
              <w:t xml:space="preserve"> </w:t>
            </w:r>
          </w:p>
        </w:tc>
        <w:tc>
          <w:tcPr>
            <w:tcW w:w="790" w:type="dxa"/>
            <w:shd w:val="clear" w:color="auto" w:fill="auto"/>
          </w:tcPr>
          <w:p w14:paraId="79D49567" w14:textId="774956E1" w:rsidR="00677316" w:rsidRPr="00450AE0" w:rsidRDefault="00677316" w:rsidP="00B65833">
            <w:pPr>
              <w:jc w:val="center"/>
              <w:rPr>
                <w:color w:val="D09E00"/>
              </w:rPr>
            </w:pPr>
            <w:r w:rsidRPr="00450AE0">
              <w:rPr>
                <w:color w:val="D09E00"/>
              </w:rPr>
              <w:t>3.7</w:t>
            </w:r>
          </w:p>
        </w:tc>
        <w:tc>
          <w:tcPr>
            <w:tcW w:w="790" w:type="dxa"/>
            <w:shd w:val="clear" w:color="auto" w:fill="auto"/>
          </w:tcPr>
          <w:p w14:paraId="6B748BBF" w14:textId="3850F4AD" w:rsidR="00677316" w:rsidRPr="00450AE0" w:rsidRDefault="00677316" w:rsidP="00B65833">
            <w:pPr>
              <w:jc w:val="center"/>
              <w:rPr>
                <w:color w:val="D09E00"/>
              </w:rPr>
            </w:pPr>
            <w:r w:rsidRPr="00450AE0">
              <w:rPr>
                <w:color w:val="D09E00"/>
              </w:rPr>
              <w:t>3.9</w:t>
            </w:r>
          </w:p>
        </w:tc>
        <w:tc>
          <w:tcPr>
            <w:tcW w:w="790" w:type="dxa"/>
            <w:shd w:val="clear" w:color="auto" w:fill="auto"/>
          </w:tcPr>
          <w:p w14:paraId="71221DFD" w14:textId="47A3DF4D" w:rsidR="00677316" w:rsidRPr="00450AE0" w:rsidRDefault="00677316" w:rsidP="00B65833">
            <w:pPr>
              <w:jc w:val="center"/>
              <w:rPr>
                <w:color w:val="D09E00"/>
              </w:rPr>
            </w:pPr>
            <w:r w:rsidRPr="00450AE0">
              <w:rPr>
                <w:color w:val="D09E00"/>
              </w:rPr>
              <w:t>3.8</w:t>
            </w:r>
          </w:p>
        </w:tc>
        <w:tc>
          <w:tcPr>
            <w:tcW w:w="790" w:type="dxa"/>
            <w:shd w:val="clear" w:color="auto" w:fill="auto"/>
          </w:tcPr>
          <w:p w14:paraId="44E559A3" w14:textId="77777777" w:rsidR="00677316" w:rsidRPr="006D2F6B" w:rsidRDefault="00677316" w:rsidP="00677316"/>
        </w:tc>
        <w:tc>
          <w:tcPr>
            <w:tcW w:w="790" w:type="dxa"/>
            <w:shd w:val="clear" w:color="auto" w:fill="auto"/>
          </w:tcPr>
          <w:p w14:paraId="2DAC9D41" w14:textId="77777777" w:rsidR="00677316" w:rsidRPr="006D2F6B" w:rsidRDefault="00677316" w:rsidP="00677316"/>
        </w:tc>
        <w:tc>
          <w:tcPr>
            <w:tcW w:w="791" w:type="dxa"/>
            <w:shd w:val="clear" w:color="auto" w:fill="auto"/>
          </w:tcPr>
          <w:p w14:paraId="521994B0" w14:textId="77777777" w:rsidR="00677316" w:rsidRPr="006D2F6B" w:rsidRDefault="00677316" w:rsidP="00677316"/>
        </w:tc>
      </w:tr>
      <w:tr w:rsidR="00677316" w14:paraId="2CD74E07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57E741AE" w14:textId="77777777" w:rsidR="00677316" w:rsidRDefault="00677316" w:rsidP="00677316">
            <w:pPr>
              <w:pStyle w:val="PlainText"/>
            </w:pPr>
            <w:r>
              <w:t xml:space="preserve">Trend analysis – </w:t>
            </w:r>
          </w:p>
          <w:p w14:paraId="5DCFA7CC" w14:textId="4DF35D7B" w:rsidR="00677316" w:rsidRDefault="00677316" w:rsidP="00677316">
            <w:pPr>
              <w:pStyle w:val="PlainText"/>
            </w:pPr>
            <w:r>
              <w:t>Student staff relations</w:t>
            </w:r>
          </w:p>
          <w:p w14:paraId="0E1626AE" w14:textId="0265130E" w:rsidR="00677316" w:rsidRDefault="00677316" w:rsidP="00677316">
            <w:pPr>
              <w:pStyle w:val="PlainText"/>
            </w:pPr>
            <w:r>
              <w:t>(% strongly agree and agree)</w:t>
            </w:r>
          </w:p>
        </w:tc>
        <w:tc>
          <w:tcPr>
            <w:tcW w:w="790" w:type="dxa"/>
            <w:shd w:val="clear" w:color="auto" w:fill="auto"/>
          </w:tcPr>
          <w:p w14:paraId="02D6A074" w14:textId="1588D1F9" w:rsidR="00677316" w:rsidRPr="00450AE0" w:rsidRDefault="00677316" w:rsidP="00B65833">
            <w:pPr>
              <w:jc w:val="center"/>
              <w:rPr>
                <w:color w:val="D09E00"/>
              </w:rPr>
            </w:pPr>
            <w:r w:rsidRPr="00450AE0">
              <w:rPr>
                <w:color w:val="D09E00"/>
              </w:rPr>
              <w:t>66%</w:t>
            </w:r>
          </w:p>
        </w:tc>
        <w:tc>
          <w:tcPr>
            <w:tcW w:w="790" w:type="dxa"/>
            <w:shd w:val="clear" w:color="auto" w:fill="auto"/>
          </w:tcPr>
          <w:p w14:paraId="7ED6414D" w14:textId="100D66DC" w:rsidR="00677316" w:rsidRPr="00450AE0" w:rsidRDefault="00677316" w:rsidP="00B65833">
            <w:pPr>
              <w:jc w:val="center"/>
              <w:rPr>
                <w:color w:val="D09E00"/>
              </w:rPr>
            </w:pPr>
            <w:r w:rsidRPr="00450AE0">
              <w:rPr>
                <w:color w:val="D09E00"/>
              </w:rPr>
              <w:t>69%</w:t>
            </w:r>
          </w:p>
        </w:tc>
        <w:tc>
          <w:tcPr>
            <w:tcW w:w="790" w:type="dxa"/>
            <w:shd w:val="clear" w:color="auto" w:fill="auto"/>
          </w:tcPr>
          <w:p w14:paraId="7C942BE5" w14:textId="3A89778F" w:rsidR="00677316" w:rsidRPr="00450AE0" w:rsidRDefault="00677316" w:rsidP="00B65833">
            <w:pPr>
              <w:jc w:val="center"/>
              <w:rPr>
                <w:color w:val="D09E00"/>
              </w:rPr>
            </w:pPr>
            <w:r w:rsidRPr="00450AE0">
              <w:rPr>
                <w:color w:val="D09E00"/>
              </w:rPr>
              <w:t>65%</w:t>
            </w:r>
          </w:p>
        </w:tc>
        <w:tc>
          <w:tcPr>
            <w:tcW w:w="790" w:type="dxa"/>
            <w:shd w:val="clear" w:color="auto" w:fill="auto"/>
          </w:tcPr>
          <w:p w14:paraId="5B64E9F3" w14:textId="77777777" w:rsidR="00677316" w:rsidRPr="006D2F6B" w:rsidRDefault="00677316" w:rsidP="00677316"/>
        </w:tc>
        <w:tc>
          <w:tcPr>
            <w:tcW w:w="790" w:type="dxa"/>
            <w:shd w:val="clear" w:color="auto" w:fill="auto"/>
          </w:tcPr>
          <w:p w14:paraId="496FEF8F" w14:textId="77777777" w:rsidR="00677316" w:rsidRPr="006D2F6B" w:rsidRDefault="00677316" w:rsidP="00677316"/>
        </w:tc>
        <w:tc>
          <w:tcPr>
            <w:tcW w:w="791" w:type="dxa"/>
            <w:shd w:val="clear" w:color="auto" w:fill="auto"/>
          </w:tcPr>
          <w:p w14:paraId="66462A72" w14:textId="77777777" w:rsidR="00677316" w:rsidRPr="006D2F6B" w:rsidRDefault="00677316" w:rsidP="00677316"/>
        </w:tc>
      </w:tr>
      <w:tr w:rsidR="00450AE0" w14:paraId="346CBB10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27F74E78" w14:textId="77777777" w:rsidR="00450AE0" w:rsidRDefault="00450AE0" w:rsidP="00450AE0">
            <w:pPr>
              <w:pStyle w:val="PlainText"/>
            </w:pPr>
            <w:r>
              <w:t xml:space="preserve">Trend analysis – </w:t>
            </w:r>
            <w:r>
              <w:br/>
            </w:r>
            <w:r w:rsidRPr="00450A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Behavioural engagement</w:t>
            </w:r>
            <w:r w:rsidRPr="004A49B2">
              <w:t xml:space="preserve"> </w:t>
            </w:r>
          </w:p>
          <w:p w14:paraId="4033589D" w14:textId="1C5C9CC7" w:rsidR="00450AE0" w:rsidRDefault="00450AE0" w:rsidP="00450AE0">
            <w:pPr>
              <w:pStyle w:val="PlainText"/>
            </w:pPr>
            <w:r w:rsidRPr="004A49B2">
              <w:t>(Average Response)</w:t>
            </w:r>
            <w:r>
              <w:t xml:space="preserve"> </w:t>
            </w:r>
          </w:p>
        </w:tc>
        <w:tc>
          <w:tcPr>
            <w:tcW w:w="790" w:type="dxa"/>
            <w:shd w:val="clear" w:color="auto" w:fill="auto"/>
          </w:tcPr>
          <w:p w14:paraId="0CDB5B46" w14:textId="1D6B8971" w:rsidR="00450AE0" w:rsidRPr="002611BF" w:rsidRDefault="002611BF" w:rsidP="00B65833">
            <w:pPr>
              <w:jc w:val="center"/>
              <w:rPr>
                <w:color w:val="D09E00"/>
              </w:rPr>
            </w:pPr>
            <w:r w:rsidRPr="002611BF">
              <w:rPr>
                <w:color w:val="D09E00"/>
              </w:rPr>
              <w:t>3.7</w:t>
            </w:r>
          </w:p>
        </w:tc>
        <w:tc>
          <w:tcPr>
            <w:tcW w:w="790" w:type="dxa"/>
            <w:shd w:val="clear" w:color="auto" w:fill="auto"/>
          </w:tcPr>
          <w:p w14:paraId="564956E8" w14:textId="59C778AC" w:rsidR="00450AE0" w:rsidRPr="002611BF" w:rsidRDefault="002611BF" w:rsidP="00B65833">
            <w:pPr>
              <w:jc w:val="center"/>
              <w:rPr>
                <w:color w:val="D09E00"/>
              </w:rPr>
            </w:pPr>
            <w:r w:rsidRPr="002611BF">
              <w:rPr>
                <w:color w:val="D09E00"/>
              </w:rPr>
              <w:t>4.0</w:t>
            </w:r>
          </w:p>
        </w:tc>
        <w:tc>
          <w:tcPr>
            <w:tcW w:w="790" w:type="dxa"/>
            <w:shd w:val="clear" w:color="auto" w:fill="auto"/>
          </w:tcPr>
          <w:p w14:paraId="5697F140" w14:textId="4ECFFEFE" w:rsidR="00450AE0" w:rsidRPr="002611BF" w:rsidRDefault="002611BF" w:rsidP="00B65833">
            <w:pPr>
              <w:jc w:val="center"/>
              <w:rPr>
                <w:color w:val="D09E00"/>
              </w:rPr>
            </w:pPr>
            <w:r w:rsidRPr="002611BF">
              <w:rPr>
                <w:color w:val="D09E00"/>
              </w:rPr>
              <w:t>4.0</w:t>
            </w:r>
          </w:p>
        </w:tc>
        <w:tc>
          <w:tcPr>
            <w:tcW w:w="790" w:type="dxa"/>
            <w:shd w:val="clear" w:color="auto" w:fill="auto"/>
          </w:tcPr>
          <w:p w14:paraId="1E0EFE77" w14:textId="77777777" w:rsidR="00450AE0" w:rsidRPr="006D2F6B" w:rsidRDefault="00450AE0" w:rsidP="00450AE0"/>
        </w:tc>
        <w:tc>
          <w:tcPr>
            <w:tcW w:w="790" w:type="dxa"/>
            <w:shd w:val="clear" w:color="auto" w:fill="auto"/>
          </w:tcPr>
          <w:p w14:paraId="4044E962" w14:textId="77777777" w:rsidR="00450AE0" w:rsidRPr="006D2F6B" w:rsidRDefault="00450AE0" w:rsidP="00450AE0"/>
        </w:tc>
        <w:tc>
          <w:tcPr>
            <w:tcW w:w="791" w:type="dxa"/>
            <w:shd w:val="clear" w:color="auto" w:fill="auto"/>
          </w:tcPr>
          <w:p w14:paraId="2EBA1963" w14:textId="77777777" w:rsidR="00450AE0" w:rsidRPr="006D2F6B" w:rsidRDefault="00450AE0" w:rsidP="00450AE0"/>
        </w:tc>
      </w:tr>
      <w:tr w:rsidR="00450AE0" w14:paraId="281FFBFB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0E9EEE2B" w14:textId="77777777" w:rsidR="00450AE0" w:rsidRDefault="00450AE0" w:rsidP="00450AE0">
            <w:pPr>
              <w:pStyle w:val="PlainText"/>
            </w:pPr>
            <w:r>
              <w:t xml:space="preserve">Trend analysis – </w:t>
            </w:r>
          </w:p>
          <w:p w14:paraId="028813D6" w14:textId="77777777" w:rsidR="00450AE0" w:rsidRDefault="00450AE0" w:rsidP="00450AE0">
            <w:pPr>
              <w:pStyle w:val="PlainText"/>
            </w:pPr>
            <w:r w:rsidRPr="00450A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Behavioural engagement</w:t>
            </w:r>
            <w:r w:rsidRPr="004A49B2">
              <w:t xml:space="preserve"> </w:t>
            </w:r>
          </w:p>
          <w:p w14:paraId="3F4B6476" w14:textId="2870981B" w:rsidR="00450AE0" w:rsidRDefault="00450AE0" w:rsidP="00450AE0">
            <w:pPr>
              <w:pStyle w:val="PlainText"/>
            </w:pPr>
            <w:r>
              <w:t>(% strongly agree and agree)</w:t>
            </w:r>
          </w:p>
        </w:tc>
        <w:tc>
          <w:tcPr>
            <w:tcW w:w="790" w:type="dxa"/>
            <w:shd w:val="clear" w:color="auto" w:fill="auto"/>
          </w:tcPr>
          <w:p w14:paraId="4A59D7B0" w14:textId="03FACD81" w:rsidR="00450AE0" w:rsidRPr="002611BF" w:rsidRDefault="002611BF" w:rsidP="00B65833">
            <w:pPr>
              <w:jc w:val="center"/>
              <w:rPr>
                <w:color w:val="D09E00"/>
              </w:rPr>
            </w:pPr>
            <w:r w:rsidRPr="002611BF">
              <w:rPr>
                <w:color w:val="D09E00"/>
              </w:rPr>
              <w:t>74%</w:t>
            </w:r>
          </w:p>
        </w:tc>
        <w:tc>
          <w:tcPr>
            <w:tcW w:w="790" w:type="dxa"/>
            <w:shd w:val="clear" w:color="auto" w:fill="auto"/>
          </w:tcPr>
          <w:p w14:paraId="73B44616" w14:textId="52CBBB9D" w:rsidR="00450AE0" w:rsidRPr="002611BF" w:rsidRDefault="002611BF" w:rsidP="00B65833">
            <w:pPr>
              <w:jc w:val="center"/>
              <w:rPr>
                <w:color w:val="D09E00"/>
              </w:rPr>
            </w:pPr>
            <w:r w:rsidRPr="002611BF">
              <w:rPr>
                <w:color w:val="D09E00"/>
              </w:rPr>
              <w:t>77%</w:t>
            </w:r>
          </w:p>
        </w:tc>
        <w:tc>
          <w:tcPr>
            <w:tcW w:w="790" w:type="dxa"/>
            <w:shd w:val="clear" w:color="auto" w:fill="auto"/>
          </w:tcPr>
          <w:p w14:paraId="65F1C150" w14:textId="06DF80CB" w:rsidR="00450AE0" w:rsidRPr="002611BF" w:rsidRDefault="002611BF" w:rsidP="00B65833">
            <w:pPr>
              <w:jc w:val="center"/>
              <w:rPr>
                <w:color w:val="D09E00"/>
              </w:rPr>
            </w:pPr>
            <w:r w:rsidRPr="002611BF">
              <w:rPr>
                <w:color w:val="D09E00"/>
              </w:rPr>
              <w:t>76%</w:t>
            </w:r>
          </w:p>
        </w:tc>
        <w:tc>
          <w:tcPr>
            <w:tcW w:w="790" w:type="dxa"/>
            <w:shd w:val="clear" w:color="auto" w:fill="auto"/>
          </w:tcPr>
          <w:p w14:paraId="0691F5B4" w14:textId="77777777" w:rsidR="00450AE0" w:rsidRPr="006D2F6B" w:rsidRDefault="00450AE0" w:rsidP="00450AE0"/>
        </w:tc>
        <w:tc>
          <w:tcPr>
            <w:tcW w:w="790" w:type="dxa"/>
            <w:shd w:val="clear" w:color="auto" w:fill="auto"/>
          </w:tcPr>
          <w:p w14:paraId="288BB37D" w14:textId="77777777" w:rsidR="00450AE0" w:rsidRPr="006D2F6B" w:rsidRDefault="00450AE0" w:rsidP="00450AE0"/>
        </w:tc>
        <w:tc>
          <w:tcPr>
            <w:tcW w:w="791" w:type="dxa"/>
            <w:shd w:val="clear" w:color="auto" w:fill="auto"/>
          </w:tcPr>
          <w:p w14:paraId="127185A0" w14:textId="77777777" w:rsidR="00450AE0" w:rsidRPr="006D2F6B" w:rsidRDefault="00450AE0" w:rsidP="00450AE0"/>
        </w:tc>
      </w:tr>
      <w:tr w:rsidR="002611BF" w14:paraId="04CC69CF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389CA0F0" w14:textId="77DC7F00" w:rsidR="002611BF" w:rsidRDefault="002611BF" w:rsidP="002611BF">
            <w:pPr>
              <w:pStyle w:val="PlainText"/>
            </w:pPr>
            <w:r>
              <w:t xml:space="preserve">Trend analysis – </w:t>
            </w:r>
            <w:r>
              <w:br/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Emotional </w:t>
            </w:r>
            <w:r w:rsidRPr="00450A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engagement</w:t>
            </w:r>
            <w:r w:rsidRPr="004A49B2">
              <w:t xml:space="preserve"> </w:t>
            </w:r>
          </w:p>
          <w:p w14:paraId="08F69571" w14:textId="6BD6E257" w:rsidR="002611BF" w:rsidRDefault="002611BF" w:rsidP="002611BF">
            <w:pPr>
              <w:pStyle w:val="PlainText"/>
            </w:pPr>
            <w:r w:rsidRPr="004A49B2">
              <w:t>(Average Response)</w:t>
            </w:r>
            <w:r>
              <w:t xml:space="preserve"> </w:t>
            </w:r>
          </w:p>
        </w:tc>
        <w:tc>
          <w:tcPr>
            <w:tcW w:w="790" w:type="dxa"/>
            <w:shd w:val="clear" w:color="auto" w:fill="auto"/>
          </w:tcPr>
          <w:p w14:paraId="76CFC47F" w14:textId="3F34D6B6" w:rsidR="002611BF" w:rsidRPr="002611BF" w:rsidRDefault="002611BF" w:rsidP="00B65833">
            <w:pPr>
              <w:jc w:val="center"/>
              <w:rPr>
                <w:color w:val="D09E00"/>
              </w:rPr>
            </w:pPr>
            <w:r w:rsidRPr="002611BF">
              <w:rPr>
                <w:color w:val="D09E00"/>
              </w:rPr>
              <w:t>3.</w:t>
            </w:r>
            <w:r>
              <w:rPr>
                <w:color w:val="D09E00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14:paraId="1BB24209" w14:textId="4B615D0E" w:rsidR="002611BF" w:rsidRPr="002611BF" w:rsidRDefault="002611BF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3.4</w:t>
            </w:r>
          </w:p>
        </w:tc>
        <w:tc>
          <w:tcPr>
            <w:tcW w:w="790" w:type="dxa"/>
            <w:shd w:val="clear" w:color="auto" w:fill="auto"/>
          </w:tcPr>
          <w:p w14:paraId="209C1D87" w14:textId="1095D2EB" w:rsidR="002611BF" w:rsidRPr="002611BF" w:rsidRDefault="002611BF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3.4</w:t>
            </w:r>
          </w:p>
        </w:tc>
        <w:tc>
          <w:tcPr>
            <w:tcW w:w="790" w:type="dxa"/>
            <w:shd w:val="clear" w:color="auto" w:fill="auto"/>
          </w:tcPr>
          <w:p w14:paraId="202577BF" w14:textId="77777777" w:rsidR="002611BF" w:rsidRPr="006D2F6B" w:rsidRDefault="002611BF" w:rsidP="002611BF"/>
        </w:tc>
        <w:tc>
          <w:tcPr>
            <w:tcW w:w="790" w:type="dxa"/>
            <w:shd w:val="clear" w:color="auto" w:fill="auto"/>
          </w:tcPr>
          <w:p w14:paraId="586F9A99" w14:textId="77777777" w:rsidR="002611BF" w:rsidRPr="006D2F6B" w:rsidRDefault="002611BF" w:rsidP="002611BF"/>
        </w:tc>
        <w:tc>
          <w:tcPr>
            <w:tcW w:w="791" w:type="dxa"/>
            <w:shd w:val="clear" w:color="auto" w:fill="auto"/>
          </w:tcPr>
          <w:p w14:paraId="4C8AD2F9" w14:textId="77777777" w:rsidR="002611BF" w:rsidRPr="006D2F6B" w:rsidRDefault="002611BF" w:rsidP="002611BF"/>
        </w:tc>
      </w:tr>
      <w:tr w:rsidR="002611BF" w14:paraId="509C1BD8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3B90D5DF" w14:textId="77777777" w:rsidR="002611BF" w:rsidRDefault="002611BF" w:rsidP="002611BF">
            <w:pPr>
              <w:pStyle w:val="PlainText"/>
            </w:pPr>
            <w:r>
              <w:t xml:space="preserve">Trend analysis – </w:t>
            </w:r>
          </w:p>
          <w:p w14:paraId="3E69A33B" w14:textId="4E5E3417" w:rsidR="002611BF" w:rsidRDefault="002611BF" w:rsidP="002611BF">
            <w:pPr>
              <w:pStyle w:val="PlainText"/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Emotional</w:t>
            </w:r>
            <w:r w:rsidRPr="00450AE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engagement</w:t>
            </w:r>
            <w:r w:rsidRPr="004A49B2">
              <w:t xml:space="preserve"> </w:t>
            </w:r>
          </w:p>
          <w:p w14:paraId="20EB3075" w14:textId="75A7D264" w:rsidR="002611BF" w:rsidRDefault="002611BF" w:rsidP="002611BF">
            <w:pPr>
              <w:pStyle w:val="PlainText"/>
            </w:pPr>
            <w:r>
              <w:t>(% strongly agree and agree)</w:t>
            </w:r>
          </w:p>
        </w:tc>
        <w:tc>
          <w:tcPr>
            <w:tcW w:w="790" w:type="dxa"/>
            <w:shd w:val="clear" w:color="auto" w:fill="auto"/>
          </w:tcPr>
          <w:p w14:paraId="79AECB5F" w14:textId="6B0DF732" w:rsidR="002611BF" w:rsidRPr="002611BF" w:rsidRDefault="002611BF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5</w:t>
            </w:r>
            <w:r w:rsidRPr="002611BF">
              <w:rPr>
                <w:color w:val="D09E00"/>
              </w:rPr>
              <w:t>4%</w:t>
            </w:r>
          </w:p>
        </w:tc>
        <w:tc>
          <w:tcPr>
            <w:tcW w:w="790" w:type="dxa"/>
            <w:shd w:val="clear" w:color="auto" w:fill="auto"/>
          </w:tcPr>
          <w:p w14:paraId="41BCF7AB" w14:textId="76896B23" w:rsidR="002611BF" w:rsidRPr="002611BF" w:rsidRDefault="002611BF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50</w:t>
            </w:r>
            <w:r w:rsidRPr="002611BF">
              <w:rPr>
                <w:color w:val="D09E0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09763437" w14:textId="5A5F88E1" w:rsidR="002611BF" w:rsidRPr="002611BF" w:rsidRDefault="002611BF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48</w:t>
            </w:r>
            <w:r w:rsidRPr="002611BF">
              <w:rPr>
                <w:color w:val="D09E0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16BDD456" w14:textId="77777777" w:rsidR="002611BF" w:rsidRPr="006D2F6B" w:rsidRDefault="002611BF" w:rsidP="002611BF"/>
        </w:tc>
        <w:tc>
          <w:tcPr>
            <w:tcW w:w="790" w:type="dxa"/>
            <w:shd w:val="clear" w:color="auto" w:fill="auto"/>
          </w:tcPr>
          <w:p w14:paraId="0B879D1F" w14:textId="77777777" w:rsidR="002611BF" w:rsidRPr="006D2F6B" w:rsidRDefault="002611BF" w:rsidP="002611BF"/>
        </w:tc>
        <w:tc>
          <w:tcPr>
            <w:tcW w:w="791" w:type="dxa"/>
            <w:shd w:val="clear" w:color="auto" w:fill="auto"/>
          </w:tcPr>
          <w:p w14:paraId="6CA35260" w14:textId="77777777" w:rsidR="002611BF" w:rsidRPr="006D2F6B" w:rsidRDefault="002611BF" w:rsidP="002611BF"/>
        </w:tc>
      </w:tr>
      <w:tr w:rsidR="00761CEF" w14:paraId="2F55759D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06C3870C" w14:textId="55438965" w:rsidR="00761CEF" w:rsidRDefault="00761CEF" w:rsidP="001E52EC">
            <w:pPr>
              <w:pStyle w:val="PlainText"/>
            </w:pPr>
            <w:r>
              <w:t xml:space="preserve">Trend analysis – </w:t>
            </w:r>
            <w:r>
              <w:br/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Anxiety</w:t>
            </w:r>
            <w:r w:rsidRPr="004A49B2">
              <w:t xml:space="preserve"> </w:t>
            </w:r>
          </w:p>
          <w:p w14:paraId="117F1425" w14:textId="1620957A" w:rsidR="00761CEF" w:rsidRDefault="00761CEF" w:rsidP="00761CEF">
            <w:pPr>
              <w:pStyle w:val="PlainText"/>
            </w:pPr>
            <w:r w:rsidRPr="004A49B2">
              <w:t>(Average Response)</w:t>
            </w:r>
            <w:r>
              <w:t xml:space="preserve"> </w:t>
            </w:r>
          </w:p>
        </w:tc>
        <w:tc>
          <w:tcPr>
            <w:tcW w:w="790" w:type="dxa"/>
            <w:shd w:val="clear" w:color="auto" w:fill="auto"/>
          </w:tcPr>
          <w:p w14:paraId="53347D4C" w14:textId="3B6147A5" w:rsidR="00761CEF" w:rsidRDefault="00955121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2.0</w:t>
            </w:r>
          </w:p>
        </w:tc>
        <w:tc>
          <w:tcPr>
            <w:tcW w:w="790" w:type="dxa"/>
            <w:shd w:val="clear" w:color="auto" w:fill="auto"/>
          </w:tcPr>
          <w:p w14:paraId="1FB7ACBF" w14:textId="557F3523" w:rsidR="00761CEF" w:rsidRDefault="00955121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2.0</w:t>
            </w:r>
          </w:p>
        </w:tc>
        <w:tc>
          <w:tcPr>
            <w:tcW w:w="790" w:type="dxa"/>
            <w:shd w:val="clear" w:color="auto" w:fill="auto"/>
          </w:tcPr>
          <w:p w14:paraId="646AD095" w14:textId="508A6F7C" w:rsidR="00761CEF" w:rsidRDefault="00955121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2.1</w:t>
            </w:r>
          </w:p>
        </w:tc>
        <w:tc>
          <w:tcPr>
            <w:tcW w:w="790" w:type="dxa"/>
            <w:shd w:val="clear" w:color="auto" w:fill="auto"/>
          </w:tcPr>
          <w:p w14:paraId="70D0E2FB" w14:textId="77777777" w:rsidR="00761CEF" w:rsidRPr="006D2F6B" w:rsidRDefault="00761CEF" w:rsidP="00761CEF"/>
        </w:tc>
        <w:tc>
          <w:tcPr>
            <w:tcW w:w="790" w:type="dxa"/>
            <w:shd w:val="clear" w:color="auto" w:fill="auto"/>
          </w:tcPr>
          <w:p w14:paraId="18A0A4E2" w14:textId="77777777" w:rsidR="00761CEF" w:rsidRPr="006D2F6B" w:rsidRDefault="00761CEF" w:rsidP="00761CEF"/>
        </w:tc>
        <w:tc>
          <w:tcPr>
            <w:tcW w:w="791" w:type="dxa"/>
            <w:shd w:val="clear" w:color="auto" w:fill="auto"/>
          </w:tcPr>
          <w:p w14:paraId="65E22294" w14:textId="77777777" w:rsidR="00761CEF" w:rsidRPr="006D2F6B" w:rsidRDefault="00761CEF" w:rsidP="00761CEF"/>
        </w:tc>
      </w:tr>
      <w:tr w:rsidR="00761CEF" w14:paraId="308ACCD8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57E13A15" w14:textId="77777777" w:rsidR="00761CEF" w:rsidRDefault="00761CEF" w:rsidP="00761CEF">
            <w:pPr>
              <w:pStyle w:val="PlainText"/>
            </w:pPr>
            <w:r>
              <w:t xml:space="preserve">Trend analysis – </w:t>
            </w:r>
          </w:p>
          <w:p w14:paraId="767E19A2" w14:textId="3B796621" w:rsidR="00761CEF" w:rsidRDefault="00761CEF" w:rsidP="00761CEF">
            <w:pPr>
              <w:pStyle w:val="PlainText"/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Anxiety </w:t>
            </w:r>
          </w:p>
          <w:p w14:paraId="72086796" w14:textId="6865191E" w:rsidR="00761CEF" w:rsidRDefault="00761CEF" w:rsidP="00761CEF">
            <w:pPr>
              <w:pStyle w:val="PlainText"/>
            </w:pPr>
            <w:r>
              <w:t xml:space="preserve">(% </w:t>
            </w:r>
            <w:r w:rsidR="00955121">
              <w:t xml:space="preserve">not </w:t>
            </w:r>
            <w:r w:rsidR="0071294E">
              <w:t>t</w:t>
            </w:r>
            <w:r w:rsidR="00955121">
              <w:t>rue or hardly true</w:t>
            </w:r>
            <w:r>
              <w:t>)</w:t>
            </w:r>
          </w:p>
        </w:tc>
        <w:tc>
          <w:tcPr>
            <w:tcW w:w="790" w:type="dxa"/>
            <w:shd w:val="clear" w:color="auto" w:fill="auto"/>
          </w:tcPr>
          <w:p w14:paraId="477ADE20" w14:textId="11C1417F" w:rsidR="00761CEF" w:rsidRPr="002611BF" w:rsidRDefault="00955121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70</w:t>
            </w:r>
            <w:r w:rsidR="00761CEF" w:rsidRPr="002611BF">
              <w:rPr>
                <w:color w:val="D09E0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4FA85C8C" w14:textId="124CFE57" w:rsidR="00761CEF" w:rsidRDefault="00955121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63</w:t>
            </w:r>
            <w:r w:rsidR="00761CEF" w:rsidRPr="002611BF">
              <w:rPr>
                <w:color w:val="D09E0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08F3486B" w14:textId="358BFF37" w:rsidR="00761CEF" w:rsidRDefault="00955121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61</w:t>
            </w:r>
            <w:r w:rsidR="00761CEF" w:rsidRPr="002611BF">
              <w:rPr>
                <w:color w:val="D09E0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782DF760" w14:textId="77777777" w:rsidR="00761CEF" w:rsidRPr="006D2F6B" w:rsidRDefault="00761CEF" w:rsidP="00761CEF"/>
        </w:tc>
        <w:tc>
          <w:tcPr>
            <w:tcW w:w="790" w:type="dxa"/>
            <w:shd w:val="clear" w:color="auto" w:fill="auto"/>
          </w:tcPr>
          <w:p w14:paraId="16781B28" w14:textId="77777777" w:rsidR="00761CEF" w:rsidRPr="006D2F6B" w:rsidRDefault="00761CEF" w:rsidP="00761CEF"/>
        </w:tc>
        <w:tc>
          <w:tcPr>
            <w:tcW w:w="791" w:type="dxa"/>
            <w:shd w:val="clear" w:color="auto" w:fill="auto"/>
          </w:tcPr>
          <w:p w14:paraId="18B69BFC" w14:textId="77777777" w:rsidR="00761CEF" w:rsidRPr="006D2F6B" w:rsidRDefault="00761CEF" w:rsidP="00761CEF"/>
        </w:tc>
      </w:tr>
      <w:tr w:rsidR="00B65833" w14:paraId="6F3A86BB" w14:textId="77777777" w:rsidTr="00B65833">
        <w:trPr>
          <w:jc w:val="center"/>
        </w:trPr>
        <w:tc>
          <w:tcPr>
            <w:tcW w:w="4297" w:type="dxa"/>
            <w:shd w:val="clear" w:color="auto" w:fill="auto"/>
          </w:tcPr>
          <w:p w14:paraId="07FFC0A8" w14:textId="09749A48" w:rsidR="00B65833" w:rsidRDefault="00B65833" w:rsidP="00B65833">
            <w:pPr>
              <w:pStyle w:val="PlainText"/>
            </w:pPr>
            <w:r>
              <w:t xml:space="preserve">Trend analysis – </w:t>
            </w:r>
            <w:r>
              <w:br/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Resilience </w:t>
            </w:r>
            <w:r w:rsidRPr="004A49B2">
              <w:t xml:space="preserve"> </w:t>
            </w:r>
          </w:p>
          <w:p w14:paraId="369A216B" w14:textId="798E9544" w:rsidR="00B65833" w:rsidRDefault="00B65833" w:rsidP="00B65833">
            <w:pPr>
              <w:pStyle w:val="PlainText"/>
            </w:pPr>
            <w:r w:rsidRPr="004A49B2">
              <w:t>(Average Response)</w:t>
            </w:r>
            <w:r>
              <w:t xml:space="preserve"> 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5200E27B" w14:textId="40FD69ED" w:rsidR="00B65833" w:rsidRDefault="00B65833" w:rsidP="00B65833">
            <w:pPr>
              <w:jc w:val="center"/>
              <w:rPr>
                <w:color w:val="D09E00"/>
              </w:rPr>
            </w:pPr>
          </w:p>
        </w:tc>
        <w:tc>
          <w:tcPr>
            <w:tcW w:w="790" w:type="dxa"/>
            <w:shd w:val="clear" w:color="auto" w:fill="auto"/>
          </w:tcPr>
          <w:p w14:paraId="06FD7602" w14:textId="6E013F02" w:rsidR="00B65833" w:rsidRDefault="00B65833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3.3</w:t>
            </w:r>
          </w:p>
        </w:tc>
        <w:tc>
          <w:tcPr>
            <w:tcW w:w="790" w:type="dxa"/>
            <w:shd w:val="clear" w:color="auto" w:fill="auto"/>
          </w:tcPr>
          <w:p w14:paraId="44A4DEBA" w14:textId="30F90F98" w:rsidR="00B65833" w:rsidRDefault="00B65833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3.3</w:t>
            </w:r>
          </w:p>
        </w:tc>
        <w:tc>
          <w:tcPr>
            <w:tcW w:w="790" w:type="dxa"/>
            <w:shd w:val="clear" w:color="auto" w:fill="auto"/>
          </w:tcPr>
          <w:p w14:paraId="040161A9" w14:textId="77777777" w:rsidR="00B65833" w:rsidRPr="006D2F6B" w:rsidRDefault="00B65833" w:rsidP="00B65833"/>
        </w:tc>
        <w:tc>
          <w:tcPr>
            <w:tcW w:w="790" w:type="dxa"/>
            <w:shd w:val="clear" w:color="auto" w:fill="auto"/>
          </w:tcPr>
          <w:p w14:paraId="440C4CF0" w14:textId="77777777" w:rsidR="00B65833" w:rsidRPr="006D2F6B" w:rsidRDefault="00B65833" w:rsidP="00B65833"/>
        </w:tc>
        <w:tc>
          <w:tcPr>
            <w:tcW w:w="791" w:type="dxa"/>
            <w:shd w:val="clear" w:color="auto" w:fill="auto"/>
          </w:tcPr>
          <w:p w14:paraId="26F06409" w14:textId="77777777" w:rsidR="00B65833" w:rsidRPr="006D2F6B" w:rsidRDefault="00B65833" w:rsidP="00B65833"/>
        </w:tc>
      </w:tr>
      <w:tr w:rsidR="00B65833" w14:paraId="17E31A55" w14:textId="77777777" w:rsidTr="00B65833">
        <w:trPr>
          <w:jc w:val="center"/>
        </w:trPr>
        <w:tc>
          <w:tcPr>
            <w:tcW w:w="4297" w:type="dxa"/>
            <w:shd w:val="clear" w:color="auto" w:fill="auto"/>
          </w:tcPr>
          <w:p w14:paraId="5F5E555A" w14:textId="77777777" w:rsidR="00B65833" w:rsidRDefault="00B65833" w:rsidP="00B65833">
            <w:pPr>
              <w:pStyle w:val="PlainText"/>
            </w:pPr>
            <w:r>
              <w:t xml:space="preserve">Trend analysis – </w:t>
            </w:r>
          </w:p>
          <w:p w14:paraId="40FD3B48" w14:textId="5B8AD1C3" w:rsidR="00B65833" w:rsidRDefault="00B65833" w:rsidP="00B65833">
            <w:pPr>
              <w:pStyle w:val="PlainText"/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Resilience </w:t>
            </w:r>
          </w:p>
          <w:p w14:paraId="21D9A033" w14:textId="48916A34" w:rsidR="00B65833" w:rsidRDefault="00B65833" w:rsidP="00B65833">
            <w:pPr>
              <w:pStyle w:val="PlainText"/>
            </w:pPr>
            <w:r>
              <w:t>(% strong)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34E39BE5" w14:textId="54D5706E" w:rsidR="00B65833" w:rsidRDefault="00B65833" w:rsidP="00B65833">
            <w:pPr>
              <w:jc w:val="center"/>
              <w:rPr>
                <w:color w:val="D09E00"/>
              </w:rPr>
            </w:pPr>
          </w:p>
        </w:tc>
        <w:tc>
          <w:tcPr>
            <w:tcW w:w="790" w:type="dxa"/>
            <w:shd w:val="clear" w:color="auto" w:fill="auto"/>
          </w:tcPr>
          <w:p w14:paraId="1AE07217" w14:textId="64FA82D2" w:rsidR="00B65833" w:rsidRDefault="00B65833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42</w:t>
            </w:r>
            <w:r w:rsidRPr="002611BF">
              <w:rPr>
                <w:color w:val="D09E0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2F85A44A" w14:textId="4C57023B" w:rsidR="00B65833" w:rsidRDefault="00B65833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41</w:t>
            </w:r>
            <w:r w:rsidRPr="002611BF">
              <w:rPr>
                <w:color w:val="D09E0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34FC6CBF" w14:textId="77777777" w:rsidR="00B65833" w:rsidRPr="006D2F6B" w:rsidRDefault="00B65833" w:rsidP="00B65833"/>
        </w:tc>
        <w:tc>
          <w:tcPr>
            <w:tcW w:w="790" w:type="dxa"/>
            <w:shd w:val="clear" w:color="auto" w:fill="auto"/>
          </w:tcPr>
          <w:p w14:paraId="52E4A843" w14:textId="77777777" w:rsidR="00B65833" w:rsidRPr="006D2F6B" w:rsidRDefault="00B65833" w:rsidP="00B65833"/>
        </w:tc>
        <w:tc>
          <w:tcPr>
            <w:tcW w:w="791" w:type="dxa"/>
            <w:shd w:val="clear" w:color="auto" w:fill="auto"/>
          </w:tcPr>
          <w:p w14:paraId="2917FA1E" w14:textId="77777777" w:rsidR="00B65833" w:rsidRPr="006D2F6B" w:rsidRDefault="00B65833" w:rsidP="00B65833"/>
        </w:tc>
      </w:tr>
      <w:tr w:rsidR="00B65833" w14:paraId="31334A94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18010D61" w14:textId="77777777" w:rsidR="00B65833" w:rsidRDefault="00B65833" w:rsidP="00B65833">
            <w:pPr>
              <w:pStyle w:val="PlainText"/>
            </w:pPr>
          </w:p>
        </w:tc>
        <w:tc>
          <w:tcPr>
            <w:tcW w:w="790" w:type="dxa"/>
            <w:shd w:val="clear" w:color="auto" w:fill="auto"/>
          </w:tcPr>
          <w:p w14:paraId="7B6AFF27" w14:textId="77777777" w:rsidR="00B65833" w:rsidRDefault="00B65833" w:rsidP="00B65833">
            <w:pPr>
              <w:jc w:val="center"/>
              <w:rPr>
                <w:color w:val="D09E00"/>
              </w:rPr>
            </w:pPr>
          </w:p>
        </w:tc>
        <w:tc>
          <w:tcPr>
            <w:tcW w:w="790" w:type="dxa"/>
            <w:shd w:val="clear" w:color="auto" w:fill="auto"/>
          </w:tcPr>
          <w:p w14:paraId="52CB6EDB" w14:textId="77777777" w:rsidR="00B65833" w:rsidRDefault="00B65833" w:rsidP="00B65833">
            <w:pPr>
              <w:jc w:val="center"/>
              <w:rPr>
                <w:color w:val="D09E00"/>
              </w:rPr>
            </w:pPr>
          </w:p>
        </w:tc>
        <w:tc>
          <w:tcPr>
            <w:tcW w:w="790" w:type="dxa"/>
            <w:shd w:val="clear" w:color="auto" w:fill="auto"/>
          </w:tcPr>
          <w:p w14:paraId="6168B2C7" w14:textId="77777777" w:rsidR="00B65833" w:rsidRDefault="00B65833" w:rsidP="00B65833">
            <w:pPr>
              <w:jc w:val="center"/>
              <w:rPr>
                <w:color w:val="D09E00"/>
              </w:rPr>
            </w:pPr>
          </w:p>
        </w:tc>
        <w:tc>
          <w:tcPr>
            <w:tcW w:w="790" w:type="dxa"/>
            <w:shd w:val="clear" w:color="auto" w:fill="auto"/>
          </w:tcPr>
          <w:p w14:paraId="089F79BA" w14:textId="77777777" w:rsidR="00B65833" w:rsidRPr="006D2F6B" w:rsidRDefault="00B65833" w:rsidP="00B65833"/>
        </w:tc>
        <w:tc>
          <w:tcPr>
            <w:tcW w:w="790" w:type="dxa"/>
            <w:shd w:val="clear" w:color="auto" w:fill="auto"/>
          </w:tcPr>
          <w:p w14:paraId="690D8A97" w14:textId="77777777" w:rsidR="00B65833" w:rsidRPr="006D2F6B" w:rsidRDefault="00B65833" w:rsidP="00B65833"/>
        </w:tc>
        <w:tc>
          <w:tcPr>
            <w:tcW w:w="791" w:type="dxa"/>
            <w:shd w:val="clear" w:color="auto" w:fill="auto"/>
          </w:tcPr>
          <w:p w14:paraId="478AC1A2" w14:textId="77777777" w:rsidR="00B65833" w:rsidRPr="006D2F6B" w:rsidRDefault="00B65833" w:rsidP="00B65833"/>
        </w:tc>
      </w:tr>
    </w:tbl>
    <w:p w14:paraId="04F6AA33" w14:textId="77777777" w:rsidR="00EB70CE" w:rsidRDefault="00EB70CE" w:rsidP="00EB70CE">
      <w:pPr>
        <w:pStyle w:val="BodyText"/>
      </w:pPr>
    </w:p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24B98C6E" w14:textId="6D5ABAF1" w:rsidR="007453EE" w:rsidRDefault="007453EE" w:rsidP="00482E67">
            <w:pPr>
              <w:pStyle w:val="PlainText"/>
              <w:rPr>
                <w:b/>
              </w:rPr>
            </w:pPr>
            <w:r w:rsidRPr="00DC0E80">
              <w:rPr>
                <w:b/>
              </w:rPr>
              <w:t>Student Wellbeing measures</w:t>
            </w:r>
          </w:p>
          <w:p w14:paraId="34078C8D" w14:textId="77777777" w:rsidR="00250E92" w:rsidRDefault="00DC0E80" w:rsidP="00482E67">
            <w:pPr>
              <w:pStyle w:val="PlainText"/>
            </w:pPr>
            <w:r w:rsidRPr="00DC0E80">
              <w:t xml:space="preserve">Stakeholder perception data </w:t>
            </w:r>
            <w:proofErr w:type="gramStart"/>
            <w:r w:rsidRPr="00DC0E80">
              <w:t>on the whole</w:t>
            </w:r>
            <w:proofErr w:type="gramEnd"/>
            <w:r w:rsidRPr="00DC0E80">
              <w:t xml:space="preserve"> indicates that students</w:t>
            </w:r>
            <w:r>
              <w:t xml:space="preserve"> feel safe at the school and </w:t>
            </w:r>
            <w:r w:rsidR="00250E92">
              <w:t>identify</w:t>
            </w:r>
            <w:r>
              <w:t xml:space="preserve"> </w:t>
            </w:r>
            <w:r w:rsidR="00250E92">
              <w:t xml:space="preserve">with the school at higher levels than similar schools. Student and staff relations are perceived positively overall and at levels above similar schools. </w:t>
            </w:r>
          </w:p>
          <w:p w14:paraId="07C0E589" w14:textId="0D46BDE6" w:rsidR="008B2AE7" w:rsidRDefault="00250E92" w:rsidP="00482E67">
            <w:pPr>
              <w:pStyle w:val="PlainText"/>
            </w:pPr>
            <w:r>
              <w:t xml:space="preserve">Reported anxiety levels have increased with 61% of students reporting </w:t>
            </w:r>
            <w:r w:rsidRPr="008B2AE7">
              <w:rPr>
                <w:i/>
              </w:rPr>
              <w:t>not true</w:t>
            </w:r>
            <w:r>
              <w:t xml:space="preserve"> or </w:t>
            </w:r>
            <w:r w:rsidRPr="008B2AE7">
              <w:rPr>
                <w:i/>
              </w:rPr>
              <w:t>hardly true</w:t>
            </w:r>
            <w:r>
              <w:t xml:space="preserve"> when asked how frequently</w:t>
            </w:r>
            <w:r w:rsidR="00316D35">
              <w:t xml:space="preserve"> each statement relating to anxiety applied to them, </w:t>
            </w:r>
            <w:r w:rsidR="001C0BE6">
              <w:t>down</w:t>
            </w:r>
            <w:r w:rsidR="00316D35">
              <w:t xml:space="preserve"> from 70% in 2017. The metric for anxiety has changed since the targets were set, meaning the target will need to be </w:t>
            </w:r>
            <w:r w:rsidR="008B2AE7">
              <w:t>adjusted</w:t>
            </w:r>
            <w:r w:rsidR="00316D35">
              <w:t xml:space="preserve"> to reflect this.</w:t>
            </w:r>
          </w:p>
          <w:p w14:paraId="0E326954" w14:textId="674C35F7" w:rsidR="008B2AE7" w:rsidRDefault="008B2AE7" w:rsidP="008B2AE7">
            <w:pPr>
              <w:pStyle w:val="PlainText"/>
            </w:pPr>
            <w:r>
              <w:t xml:space="preserve">The percentage of students reporting </w:t>
            </w:r>
            <w:r w:rsidRPr="008B2AE7">
              <w:rPr>
                <w:i/>
              </w:rPr>
              <w:t>I can talk to my teachers about my concerns</w:t>
            </w:r>
            <w:r>
              <w:t xml:space="preserve"> was at 54.2% in 2019, a decrease from the baseline of 58.3% in 2017 and a negative trend away from the 2022 target of 80%.  </w:t>
            </w:r>
          </w:p>
          <w:p w14:paraId="4CC29873" w14:textId="3D6FDEBE" w:rsidR="00DC0E80" w:rsidRPr="00DC0E80" w:rsidRDefault="00316D35" w:rsidP="00482E67">
            <w:pPr>
              <w:pStyle w:val="PlainText"/>
            </w:pPr>
            <w:r>
              <w:t xml:space="preserve">    </w:t>
            </w:r>
            <w:r w:rsidR="00250E92">
              <w:t xml:space="preserve"> </w:t>
            </w:r>
          </w:p>
          <w:p w14:paraId="17DDC188" w14:textId="76C18D08" w:rsidR="00482E67" w:rsidRDefault="00482E67" w:rsidP="00482E67">
            <w:pPr>
              <w:pStyle w:val="PlainText"/>
            </w:pPr>
          </w:p>
        </w:tc>
      </w:tr>
    </w:tbl>
    <w:p w14:paraId="76F0B85E" w14:textId="77777777" w:rsidR="00F30BBF" w:rsidRPr="00F30BBF" w:rsidRDefault="00F30BBF" w:rsidP="00F30BBF"/>
    <w:p w14:paraId="7A877F34" w14:textId="7484123E" w:rsidR="005611F4" w:rsidRPr="005611F4" w:rsidRDefault="00937D6F" w:rsidP="00F30BBF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761CEF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08C23A9E" w14:textId="5730B800" w:rsidR="00F30BBF" w:rsidRPr="00F30BBF" w:rsidRDefault="00F30BBF" w:rsidP="00F30B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Introduced </w:t>
            </w:r>
            <w:r w:rsidRPr="00F30BBF">
              <w:rPr>
                <w:b/>
              </w:rPr>
              <w:t xml:space="preserve">Continuum of Education Support Program (Track) </w:t>
            </w:r>
          </w:p>
          <w:p w14:paraId="26FA3FCB" w14:textId="4B659035" w:rsidR="00CA26FB" w:rsidRDefault="00C5759B" w:rsidP="00CA26FB">
            <w:pPr>
              <w:pStyle w:val="ListBullet"/>
            </w:pPr>
            <w:r>
              <w:t xml:space="preserve">Small group model incorporating integrated learning and student voice </w:t>
            </w:r>
          </w:p>
          <w:p w14:paraId="125A11CE" w14:textId="54B45845" w:rsidR="00C5759B" w:rsidRDefault="00C5759B" w:rsidP="00CA26FB">
            <w:pPr>
              <w:pStyle w:val="ListBullet"/>
            </w:pPr>
            <w:r>
              <w:t>Resources allocated, curriculum being developed</w:t>
            </w:r>
          </w:p>
          <w:p w14:paraId="696E21EA" w14:textId="77777777" w:rsidR="00CA26FB" w:rsidRDefault="00CA26FB" w:rsidP="00CA26F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4117FFAD" w14:textId="6F225CB6" w:rsidR="00CA26FB" w:rsidRPr="00B24AE7" w:rsidRDefault="002B5E09" w:rsidP="00CA26FB">
            <w:pPr>
              <w:pStyle w:val="BodyText"/>
              <w:rPr>
                <w:b/>
              </w:rPr>
            </w:pPr>
            <w:r w:rsidRPr="00B24AE7">
              <w:rPr>
                <w:b/>
              </w:rPr>
              <w:t xml:space="preserve">Continued to develop </w:t>
            </w:r>
            <w:r w:rsidR="00B24AE7" w:rsidRPr="00B24AE7">
              <w:rPr>
                <w:b/>
              </w:rPr>
              <w:t xml:space="preserve">mechanism for student voice using Student Executive Group structure </w:t>
            </w:r>
          </w:p>
          <w:p w14:paraId="7EF4BDF8" w14:textId="7798DB11" w:rsidR="00937D6F" w:rsidRDefault="00C5759B" w:rsidP="00CA26FB">
            <w:pPr>
              <w:pStyle w:val="ListBullet"/>
            </w:pPr>
            <w:r>
              <w:t xml:space="preserve">All students in the school had opportunity for input through Tutor Group </w:t>
            </w:r>
            <w:proofErr w:type="gramStart"/>
            <w:r>
              <w:t>in to</w:t>
            </w:r>
            <w:proofErr w:type="gramEnd"/>
            <w:r>
              <w:t xml:space="preserve"> Student Executive Group on issues including mobile phones in schools, school values, teaching and learning. </w:t>
            </w:r>
          </w:p>
          <w:p w14:paraId="50ABEC02" w14:textId="77777777" w:rsidR="00AD2A4F" w:rsidRDefault="00AD2A4F" w:rsidP="00AD2A4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1D3EE342" w14:textId="106F0008" w:rsidR="00B24AE7" w:rsidRPr="00B24AE7" w:rsidRDefault="0071294E" w:rsidP="00B24AE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Developed </w:t>
            </w:r>
            <w:r w:rsidR="00B24AE7">
              <w:rPr>
                <w:b/>
              </w:rPr>
              <w:t xml:space="preserve">revised mobile phone policy </w:t>
            </w:r>
          </w:p>
          <w:p w14:paraId="10A12216" w14:textId="3E191336" w:rsidR="00B24AE7" w:rsidRDefault="001C0BE6" w:rsidP="00B24AE7">
            <w:pPr>
              <w:pStyle w:val="ListBullet"/>
            </w:pPr>
            <w:r>
              <w:t>Conducted consultation with students, parents and staff</w:t>
            </w:r>
          </w:p>
          <w:p w14:paraId="6302D828" w14:textId="4257B8BC" w:rsidR="00C5759B" w:rsidRDefault="00C5759B" w:rsidP="00B24AE7">
            <w:pPr>
              <w:pStyle w:val="ListBullet"/>
            </w:pPr>
            <w:r>
              <w:t xml:space="preserve">Strengthened policy and procedures around mobile phones </w:t>
            </w:r>
            <w:proofErr w:type="spellStart"/>
            <w:r>
              <w:t>n</w:t>
            </w:r>
            <w:proofErr w:type="spellEnd"/>
            <w:r>
              <w:t xml:space="preserve"> classrooms </w:t>
            </w:r>
          </w:p>
          <w:p w14:paraId="3490E94F" w14:textId="77777777" w:rsidR="00B24AE7" w:rsidRDefault="00B24AE7" w:rsidP="00F30BBF">
            <w:pPr>
              <w:pStyle w:val="BodyText"/>
              <w:rPr>
                <w:b/>
              </w:rPr>
            </w:pPr>
          </w:p>
          <w:p w14:paraId="0E6A1942" w14:textId="10A567EF" w:rsidR="00F30BBF" w:rsidRPr="00CA26FB" w:rsidRDefault="00F30BBF" w:rsidP="00F30BBF">
            <w:pPr>
              <w:pStyle w:val="BodyText"/>
              <w:rPr>
                <w:b/>
              </w:rPr>
            </w:pPr>
            <w:r w:rsidRPr="00B24AE7">
              <w:rPr>
                <w:b/>
              </w:rPr>
              <w:t>Pastoral Care Program</w:t>
            </w:r>
            <w:r>
              <w:t xml:space="preserve"> </w:t>
            </w:r>
          </w:p>
          <w:p w14:paraId="11570CAB" w14:textId="77777777" w:rsidR="00CE720C" w:rsidRDefault="00CE720C" w:rsidP="00B24AE7">
            <w:pPr>
              <w:pStyle w:val="ListBullet"/>
            </w:pPr>
            <w:r>
              <w:t>Refinement of Pastoral Care Hour of Wellbeing (</w:t>
            </w:r>
            <w:r w:rsidR="00AD2A4F">
              <w:t>PCHOW</w:t>
            </w:r>
            <w:r>
              <w:t>)</w:t>
            </w:r>
          </w:p>
          <w:p w14:paraId="0C25E178" w14:textId="7B6D570D" w:rsidR="00AD2A4F" w:rsidRDefault="00CE720C" w:rsidP="00B24AE7">
            <w:pPr>
              <w:pStyle w:val="ListBullet"/>
            </w:pPr>
            <w:r>
              <w:t xml:space="preserve">Provided opportunities for student voice through Pastoral Care </w:t>
            </w:r>
            <w:r w:rsidR="00AD2A4F">
              <w:t xml:space="preserve"> </w:t>
            </w:r>
          </w:p>
          <w:p w14:paraId="6185B1AB" w14:textId="77777777" w:rsidR="00AD2A4F" w:rsidRDefault="00AD2A4F" w:rsidP="00AD2A4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28B13FC2" w14:textId="6272C9B7" w:rsidR="00AD2A4F" w:rsidRPr="00B24AE7" w:rsidRDefault="00B24AE7" w:rsidP="00AD2A4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 xml:space="preserve">Continued development of the </w:t>
            </w:r>
            <w:r w:rsidR="00AD2A4F" w:rsidRPr="00B24AE7">
              <w:rPr>
                <w:b/>
              </w:rPr>
              <w:t xml:space="preserve">House </w:t>
            </w:r>
            <w:r w:rsidRPr="00B24AE7">
              <w:rPr>
                <w:b/>
              </w:rPr>
              <w:t>s</w:t>
            </w:r>
            <w:r w:rsidR="00AD2A4F" w:rsidRPr="00B24AE7">
              <w:rPr>
                <w:b/>
              </w:rPr>
              <w:t xml:space="preserve">ystem </w:t>
            </w:r>
          </w:p>
          <w:p w14:paraId="354B99D9" w14:textId="2FC3F994" w:rsidR="00B24AE7" w:rsidRPr="001C0BE6" w:rsidRDefault="00C5759B" w:rsidP="00B24AE7">
            <w:pPr>
              <w:pStyle w:val="ListBullet"/>
            </w:pPr>
            <w:r>
              <w:t xml:space="preserve">Introduced new events </w:t>
            </w:r>
            <w:r w:rsidR="00CE720C">
              <w:t>and</w:t>
            </w:r>
            <w:r w:rsidR="00B24AE7" w:rsidRPr="00B24AE7">
              <w:t xml:space="preserve"> way</w:t>
            </w:r>
            <w:r w:rsidR="00CE720C">
              <w:t>s</w:t>
            </w:r>
            <w:r w:rsidR="00B24AE7" w:rsidRPr="00B24AE7">
              <w:t xml:space="preserve"> to encourage community involvement and school connection </w:t>
            </w:r>
            <w:r w:rsidR="00B24AE7" w:rsidRPr="00B24AE7">
              <w:rPr>
                <w:b/>
              </w:rPr>
              <w:t xml:space="preserve"> </w:t>
            </w:r>
          </w:p>
          <w:p w14:paraId="3C5B1F71" w14:textId="77777777" w:rsidR="001C0BE6" w:rsidRDefault="001C0BE6" w:rsidP="001C0BE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  <w:p w14:paraId="26067C2B" w14:textId="05BD4B73" w:rsidR="001C0BE6" w:rsidRDefault="001C0BE6" w:rsidP="001C0BE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Reviewed and redeveloped Student Services processes </w:t>
            </w:r>
          </w:p>
          <w:p w14:paraId="5F29C8BD" w14:textId="531001FE" w:rsidR="00AD2A4F" w:rsidRDefault="001C0BE6" w:rsidP="00C5759B">
            <w:pPr>
              <w:pStyle w:val="ListBullet"/>
            </w:pPr>
            <w:r>
              <w:t>Referral and triage processes</w:t>
            </w:r>
          </w:p>
          <w:p w14:paraId="3084D3E5" w14:textId="77777777" w:rsidR="001C0BE6" w:rsidRDefault="001C0BE6" w:rsidP="00CE720C">
            <w:pPr>
              <w:pStyle w:val="ListBullet"/>
            </w:pPr>
            <w:r>
              <w:t>Integration with SAS wellbeing module</w:t>
            </w:r>
          </w:p>
          <w:p w14:paraId="0F6FBC6B" w14:textId="77777777" w:rsidR="00487DF4" w:rsidRDefault="00487DF4" w:rsidP="00487DF4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73187636" w14:textId="77777777" w:rsidR="00487DF4" w:rsidRDefault="00487DF4" w:rsidP="00487DF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487DF4">
              <w:rPr>
                <w:b/>
              </w:rPr>
              <w:t>Initiated affiliated schools research partnership</w:t>
            </w:r>
          </w:p>
          <w:p w14:paraId="09A695A5" w14:textId="2605EA17" w:rsidR="00487DF4" w:rsidRDefault="00487DF4" w:rsidP="00487DF4">
            <w:pPr>
              <w:pStyle w:val="ListBullet"/>
            </w:pPr>
            <w:r>
              <w:t>Partnership with University of Canberra to commence in 2020</w:t>
            </w:r>
          </w:p>
          <w:p w14:paraId="4F19C6D9" w14:textId="0EE7F115" w:rsidR="00487DF4" w:rsidRPr="00487DF4" w:rsidRDefault="00487DF4" w:rsidP="00487DF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14:paraId="16392F0B" w14:textId="77777777" w:rsidR="00937D6F" w:rsidRDefault="00937D6F" w:rsidP="00937D6F">
      <w:pPr>
        <w:pStyle w:val="BodyText"/>
      </w:pPr>
    </w:p>
    <w:p w14:paraId="50DBDD88" w14:textId="62929F39" w:rsidR="005611F4" w:rsidRPr="005611F4" w:rsidRDefault="00937D6F" w:rsidP="00871AB9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761CEF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7D73E75C" w14:textId="3356238F" w:rsidR="001E52EC" w:rsidRDefault="00A16F56" w:rsidP="00A16F56">
            <w:pPr>
              <w:pStyle w:val="ListBullet"/>
            </w:pPr>
            <w:r>
              <w:t xml:space="preserve">Review </w:t>
            </w:r>
            <w:r w:rsidR="001E52EC">
              <w:t>data metrics</w:t>
            </w:r>
            <w:r>
              <w:t xml:space="preserve"> for the improvement priority of </w:t>
            </w:r>
            <w:r w:rsidRPr="00A16F56">
              <w:rPr>
                <w:i/>
              </w:rPr>
              <w:t>Equipping students to be successful members of our community</w:t>
            </w:r>
            <w:r>
              <w:rPr>
                <w:i/>
              </w:rPr>
              <w:t xml:space="preserve">, </w:t>
            </w:r>
            <w:r w:rsidRPr="00A16F56">
              <w:t>including measures for community involvement</w:t>
            </w:r>
            <w:r>
              <w:t>, self-reported a</w:t>
            </w:r>
            <w:r w:rsidR="001E52EC">
              <w:t>nxiety</w:t>
            </w:r>
            <w:r w:rsidR="0083653A">
              <w:t>, with a view of setting new targets and measures</w:t>
            </w:r>
          </w:p>
          <w:p w14:paraId="4D0D0527" w14:textId="0AF6B389" w:rsidR="001E52EC" w:rsidRDefault="00A16F56" w:rsidP="0083653A">
            <w:pPr>
              <w:pStyle w:val="ListBullet"/>
            </w:pPr>
            <w:r>
              <w:t xml:space="preserve">Review </w:t>
            </w:r>
            <w:r w:rsidR="001E52EC">
              <w:t>Canteen</w:t>
            </w:r>
            <w:r>
              <w:t xml:space="preserve"> target</w:t>
            </w:r>
            <w:r w:rsidR="00487DF4">
              <w:t>,</w:t>
            </w:r>
            <w:r w:rsidR="001E52EC">
              <w:t xml:space="preserve"> </w:t>
            </w:r>
            <w:r>
              <w:t xml:space="preserve">as it is operational rather than </w:t>
            </w:r>
            <w:r w:rsidR="001E52EC">
              <w:t>link</w:t>
            </w:r>
            <w:r w:rsidR="00487DF4">
              <w:t>ed</w:t>
            </w:r>
            <w:r w:rsidR="001E52EC">
              <w:t xml:space="preserve"> to</w:t>
            </w:r>
            <w:r>
              <w:t xml:space="preserve"> the</w:t>
            </w:r>
            <w:r w:rsidR="001E52EC">
              <w:t xml:space="preserve"> improvement strategy </w:t>
            </w:r>
          </w:p>
        </w:tc>
      </w:tr>
    </w:tbl>
    <w:p w14:paraId="0FD44264" w14:textId="77777777" w:rsidR="00937D6F" w:rsidRDefault="00937D6F" w:rsidP="00937D6F">
      <w:pPr>
        <w:pStyle w:val="BodyText"/>
      </w:pPr>
    </w:p>
    <w:p w14:paraId="5D03B15F" w14:textId="19326727" w:rsidR="00EB70CE" w:rsidRDefault="00EB70CE" w:rsidP="00EB70CE">
      <w:pPr>
        <w:rPr>
          <w:b/>
        </w:rPr>
      </w:pPr>
    </w:p>
    <w:sectPr w:rsidR="00EB70CE" w:rsidSect="00C77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88A0C" w14:textId="77777777" w:rsidR="00787CCC" w:rsidRDefault="00787CCC" w:rsidP="00CA0BAD">
      <w:pPr>
        <w:spacing w:after="0" w:line="240" w:lineRule="auto"/>
      </w:pPr>
      <w:r>
        <w:separator/>
      </w:r>
    </w:p>
  </w:endnote>
  <w:endnote w:type="continuationSeparator" w:id="0">
    <w:p w14:paraId="344785D5" w14:textId="77777777" w:rsidR="00787CCC" w:rsidRDefault="00787CCC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089A" w14:textId="77777777" w:rsidR="00C5759B" w:rsidRDefault="00C57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6F7AFFBF" w:rsidR="00C5759B" w:rsidRPr="00BF488D" w:rsidRDefault="00C5759B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saved: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60DB3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Monday, 24 February 2020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5759B" w:rsidRPr="008679D5" w:rsidRDefault="00C5759B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Analysis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2" w:name="_Hlk527701860"/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2"/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Pr="00D5105D">
          <w:rPr>
            <w:b/>
            <w:sz w:val="18"/>
            <w:szCs w:val="18"/>
          </w:rPr>
          <w:t xml:space="preserve"> </w:t>
        </w:r>
        <w:r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E148A" w14:textId="77777777" w:rsidR="00C5759B" w:rsidRDefault="00C57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76514" w14:textId="77777777" w:rsidR="00787CCC" w:rsidRDefault="00787CCC" w:rsidP="00CA0BAD">
      <w:pPr>
        <w:spacing w:after="0" w:line="240" w:lineRule="auto"/>
      </w:pPr>
      <w:r>
        <w:separator/>
      </w:r>
    </w:p>
  </w:footnote>
  <w:footnote w:type="continuationSeparator" w:id="0">
    <w:p w14:paraId="3D144623" w14:textId="77777777" w:rsidR="00787CCC" w:rsidRDefault="00787CCC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7157" w14:textId="77777777" w:rsidR="00C5759B" w:rsidRDefault="00C57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128F" w14:textId="5C9F5A7F" w:rsidR="00C5759B" w:rsidRDefault="00C5759B" w:rsidP="00377F0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334A" w14:textId="77777777" w:rsidR="00C5759B" w:rsidRDefault="00C5759B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525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913E1"/>
    <w:multiLevelType w:val="hybridMultilevel"/>
    <w:tmpl w:val="BB7E7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7EF3B84"/>
    <w:multiLevelType w:val="multilevel"/>
    <w:tmpl w:val="05D05AE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153BD"/>
    <w:rsid w:val="0002463E"/>
    <w:rsid w:val="00031B79"/>
    <w:rsid w:val="00056A92"/>
    <w:rsid w:val="00057DAD"/>
    <w:rsid w:val="00080E52"/>
    <w:rsid w:val="00096CD3"/>
    <w:rsid w:val="000A6307"/>
    <w:rsid w:val="000B45D8"/>
    <w:rsid w:val="000D0100"/>
    <w:rsid w:val="000F6995"/>
    <w:rsid w:val="000F6DA9"/>
    <w:rsid w:val="000F7E7C"/>
    <w:rsid w:val="00104D09"/>
    <w:rsid w:val="00107AE2"/>
    <w:rsid w:val="00115AA9"/>
    <w:rsid w:val="00132917"/>
    <w:rsid w:val="00135B1C"/>
    <w:rsid w:val="00157085"/>
    <w:rsid w:val="00161E50"/>
    <w:rsid w:val="00163579"/>
    <w:rsid w:val="00183DE5"/>
    <w:rsid w:val="001978E2"/>
    <w:rsid w:val="001B26EA"/>
    <w:rsid w:val="001B2E33"/>
    <w:rsid w:val="001C0BE6"/>
    <w:rsid w:val="001E0CB8"/>
    <w:rsid w:val="001E52EC"/>
    <w:rsid w:val="00205B6D"/>
    <w:rsid w:val="002145F7"/>
    <w:rsid w:val="0024781C"/>
    <w:rsid w:val="00250E92"/>
    <w:rsid w:val="002524C0"/>
    <w:rsid w:val="00260DB3"/>
    <w:rsid w:val="002611BF"/>
    <w:rsid w:val="00266E77"/>
    <w:rsid w:val="00271528"/>
    <w:rsid w:val="00275859"/>
    <w:rsid w:val="00282E47"/>
    <w:rsid w:val="00287834"/>
    <w:rsid w:val="002A1218"/>
    <w:rsid w:val="002B5E09"/>
    <w:rsid w:val="002C3DA2"/>
    <w:rsid w:val="002D21D2"/>
    <w:rsid w:val="002D238E"/>
    <w:rsid w:val="002F2C6F"/>
    <w:rsid w:val="002F4184"/>
    <w:rsid w:val="00300F72"/>
    <w:rsid w:val="00302949"/>
    <w:rsid w:val="00304B4B"/>
    <w:rsid w:val="00314348"/>
    <w:rsid w:val="00316D35"/>
    <w:rsid w:val="00334BBF"/>
    <w:rsid w:val="00342B3F"/>
    <w:rsid w:val="00365890"/>
    <w:rsid w:val="00365A1C"/>
    <w:rsid w:val="00373DC0"/>
    <w:rsid w:val="00377F0F"/>
    <w:rsid w:val="00382309"/>
    <w:rsid w:val="003A344E"/>
    <w:rsid w:val="003B5E3D"/>
    <w:rsid w:val="003C2864"/>
    <w:rsid w:val="003C69DC"/>
    <w:rsid w:val="003D3E1F"/>
    <w:rsid w:val="003D6DBA"/>
    <w:rsid w:val="003E1EFB"/>
    <w:rsid w:val="004071B9"/>
    <w:rsid w:val="00435AB7"/>
    <w:rsid w:val="00435C6B"/>
    <w:rsid w:val="00436626"/>
    <w:rsid w:val="00450AE0"/>
    <w:rsid w:val="00461D07"/>
    <w:rsid w:val="00481BD2"/>
    <w:rsid w:val="00482E67"/>
    <w:rsid w:val="00487DF4"/>
    <w:rsid w:val="00492440"/>
    <w:rsid w:val="004B384F"/>
    <w:rsid w:val="004C2350"/>
    <w:rsid w:val="004C32E2"/>
    <w:rsid w:val="004C748A"/>
    <w:rsid w:val="004D00F4"/>
    <w:rsid w:val="004D5E45"/>
    <w:rsid w:val="00514546"/>
    <w:rsid w:val="00520A86"/>
    <w:rsid w:val="00557F65"/>
    <w:rsid w:val="005611F4"/>
    <w:rsid w:val="0057672E"/>
    <w:rsid w:val="00580F50"/>
    <w:rsid w:val="0058339C"/>
    <w:rsid w:val="0059350F"/>
    <w:rsid w:val="005A4749"/>
    <w:rsid w:val="005C7432"/>
    <w:rsid w:val="005E76E4"/>
    <w:rsid w:val="005F3B55"/>
    <w:rsid w:val="00610A38"/>
    <w:rsid w:val="00626211"/>
    <w:rsid w:val="00631663"/>
    <w:rsid w:val="0066643F"/>
    <w:rsid w:val="00674E1D"/>
    <w:rsid w:val="00677316"/>
    <w:rsid w:val="006830C3"/>
    <w:rsid w:val="006A31D6"/>
    <w:rsid w:val="006A5062"/>
    <w:rsid w:val="006B598B"/>
    <w:rsid w:val="006D2F6B"/>
    <w:rsid w:val="00703A82"/>
    <w:rsid w:val="0071294E"/>
    <w:rsid w:val="00730A3C"/>
    <w:rsid w:val="007347A7"/>
    <w:rsid w:val="007375B4"/>
    <w:rsid w:val="007453EE"/>
    <w:rsid w:val="00752390"/>
    <w:rsid w:val="00754293"/>
    <w:rsid w:val="00761CEF"/>
    <w:rsid w:val="00764217"/>
    <w:rsid w:val="007769F3"/>
    <w:rsid w:val="00787CCC"/>
    <w:rsid w:val="007A550A"/>
    <w:rsid w:val="007B0189"/>
    <w:rsid w:val="007D407C"/>
    <w:rsid w:val="007E6372"/>
    <w:rsid w:val="008300DD"/>
    <w:rsid w:val="0083653A"/>
    <w:rsid w:val="00837137"/>
    <w:rsid w:val="00846E51"/>
    <w:rsid w:val="00853AFD"/>
    <w:rsid w:val="00860A3A"/>
    <w:rsid w:val="00864919"/>
    <w:rsid w:val="008679D5"/>
    <w:rsid w:val="00871AB9"/>
    <w:rsid w:val="008928BF"/>
    <w:rsid w:val="00896B58"/>
    <w:rsid w:val="008A01DA"/>
    <w:rsid w:val="008B2AE7"/>
    <w:rsid w:val="008E3A7C"/>
    <w:rsid w:val="0090310B"/>
    <w:rsid w:val="00906C4E"/>
    <w:rsid w:val="00915ADE"/>
    <w:rsid w:val="0093040B"/>
    <w:rsid w:val="00932E67"/>
    <w:rsid w:val="00937D6F"/>
    <w:rsid w:val="0095326F"/>
    <w:rsid w:val="00955121"/>
    <w:rsid w:val="00983291"/>
    <w:rsid w:val="00997CD0"/>
    <w:rsid w:val="009A55A5"/>
    <w:rsid w:val="009B454E"/>
    <w:rsid w:val="009B7107"/>
    <w:rsid w:val="009D67B7"/>
    <w:rsid w:val="009E2D26"/>
    <w:rsid w:val="009F1BC4"/>
    <w:rsid w:val="00A00874"/>
    <w:rsid w:val="00A02646"/>
    <w:rsid w:val="00A112C4"/>
    <w:rsid w:val="00A1525D"/>
    <w:rsid w:val="00A16F56"/>
    <w:rsid w:val="00A36644"/>
    <w:rsid w:val="00A7528B"/>
    <w:rsid w:val="00A967A3"/>
    <w:rsid w:val="00AB3505"/>
    <w:rsid w:val="00AB597A"/>
    <w:rsid w:val="00AD2A4F"/>
    <w:rsid w:val="00AD7D38"/>
    <w:rsid w:val="00AE1CAD"/>
    <w:rsid w:val="00AE2FBD"/>
    <w:rsid w:val="00AE3C70"/>
    <w:rsid w:val="00B06296"/>
    <w:rsid w:val="00B10319"/>
    <w:rsid w:val="00B24AE7"/>
    <w:rsid w:val="00B36AF4"/>
    <w:rsid w:val="00B41802"/>
    <w:rsid w:val="00B454D5"/>
    <w:rsid w:val="00B53B59"/>
    <w:rsid w:val="00B65833"/>
    <w:rsid w:val="00B734D8"/>
    <w:rsid w:val="00B87959"/>
    <w:rsid w:val="00BA00E5"/>
    <w:rsid w:val="00BD4AC3"/>
    <w:rsid w:val="00C0648C"/>
    <w:rsid w:val="00C06492"/>
    <w:rsid w:val="00C33BE7"/>
    <w:rsid w:val="00C36B48"/>
    <w:rsid w:val="00C5759B"/>
    <w:rsid w:val="00C63CC4"/>
    <w:rsid w:val="00C77B0A"/>
    <w:rsid w:val="00C81D5D"/>
    <w:rsid w:val="00C84CAC"/>
    <w:rsid w:val="00C91C8E"/>
    <w:rsid w:val="00CA0BAD"/>
    <w:rsid w:val="00CA26FB"/>
    <w:rsid w:val="00CE720C"/>
    <w:rsid w:val="00CF3F40"/>
    <w:rsid w:val="00D0154D"/>
    <w:rsid w:val="00D03B0C"/>
    <w:rsid w:val="00D06910"/>
    <w:rsid w:val="00D21886"/>
    <w:rsid w:val="00D56F59"/>
    <w:rsid w:val="00D66148"/>
    <w:rsid w:val="00D731BD"/>
    <w:rsid w:val="00D959AD"/>
    <w:rsid w:val="00DA09ED"/>
    <w:rsid w:val="00DA4466"/>
    <w:rsid w:val="00DA4480"/>
    <w:rsid w:val="00DB037A"/>
    <w:rsid w:val="00DC0E80"/>
    <w:rsid w:val="00DE3C32"/>
    <w:rsid w:val="00DE43E6"/>
    <w:rsid w:val="00DE75EB"/>
    <w:rsid w:val="00DF0245"/>
    <w:rsid w:val="00DF15A8"/>
    <w:rsid w:val="00DF695B"/>
    <w:rsid w:val="00E061B8"/>
    <w:rsid w:val="00E14A54"/>
    <w:rsid w:val="00E26CA2"/>
    <w:rsid w:val="00E30578"/>
    <w:rsid w:val="00E434FA"/>
    <w:rsid w:val="00E61D1D"/>
    <w:rsid w:val="00E7509A"/>
    <w:rsid w:val="00E957E4"/>
    <w:rsid w:val="00EA1B8A"/>
    <w:rsid w:val="00EB70CE"/>
    <w:rsid w:val="00EC2EA7"/>
    <w:rsid w:val="00EF2574"/>
    <w:rsid w:val="00F05C79"/>
    <w:rsid w:val="00F105C7"/>
    <w:rsid w:val="00F30BBF"/>
    <w:rsid w:val="00F536D7"/>
    <w:rsid w:val="00F731C4"/>
    <w:rsid w:val="00F87A19"/>
    <w:rsid w:val="00FA6811"/>
    <w:rsid w:val="00FA6A61"/>
    <w:rsid w:val="00FB31F0"/>
    <w:rsid w:val="00FE1945"/>
    <w:rsid w:val="00FE365C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customStyle="1" w:styleId="NumberedList">
    <w:name w:val="Numbered List"/>
    <w:basedOn w:val="Normal"/>
    <w:qFormat/>
    <w:rsid w:val="00A7528B"/>
    <w:pPr>
      <w:numPr>
        <w:numId w:val="17"/>
      </w:numPr>
      <w:ind w:left="357" w:hanging="357"/>
    </w:pPr>
  </w:style>
  <w:style w:type="paragraph" w:styleId="NoSpacing">
    <w:name w:val="No Spacing"/>
    <w:uiPriority w:val="1"/>
    <w:qFormat/>
    <w:rsid w:val="00BD4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635B15"/>
    <w:rsid w:val="008B6DE0"/>
    <w:rsid w:val="008F4B21"/>
    <w:rsid w:val="00B050C0"/>
    <w:rsid w:val="00E5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3E6A-3D5C-4B76-8EEF-997D7850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2094</Words>
  <Characters>11937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Randall, Geoff</cp:lastModifiedBy>
  <cp:revision>2</cp:revision>
  <cp:lastPrinted>2020-01-23T01:50:00Z</cp:lastPrinted>
  <dcterms:created xsi:type="dcterms:W3CDTF">2020-02-24T01:56:00Z</dcterms:created>
  <dcterms:modified xsi:type="dcterms:W3CDTF">2020-02-24T01:56:00Z</dcterms:modified>
</cp:coreProperties>
</file>