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760" w:right="0" w:firstLine="0"/>
        <w:jc w:val="left"/>
        <w:rPr>
          <w:rFonts w:ascii="Arial"/>
          <w:sz w:val="48"/>
        </w:rPr>
      </w:pPr>
      <w:r>
        <w:rPr>
          <w:rFonts w:ascii="Arial"/>
          <w:color w:val="1F4E79"/>
          <w:sz w:val="48"/>
        </w:rPr>
        <w:t>Calwell Primary School</w:t>
      </w:r>
    </w:p>
    <w:p>
      <w:pPr>
        <w:pStyle w:val="BodyText"/>
        <w:spacing w:before="205"/>
        <w:ind w:left="760"/>
        <w:rPr>
          <w:rFonts w:ascii="Arial"/>
        </w:rPr>
      </w:pPr>
      <w:r>
        <w:rPr/>
        <w:pict>
          <v:shape style="position:absolute;margin-left:70.584pt;margin-top:25.967844pt;width:454.3pt;height:.1pt;mso-position-horizontal-relative:page;mso-position-vertical-relative:paragraph;z-index:-251658240;mso-wrap-distance-left:0;mso-wrap-distance-right:0" coordorigin="1412,519" coordsize="9086,0" path="m1412,519l10497,519e" filled="false" stroked="true" strokeweight=".48pt" strokecolor="#000000">
            <v:path arrowok="t"/>
            <v:stroke dashstyle="solid"/>
            <w10:wrap type="topAndBottom"/>
          </v:shape>
        </w:pict>
      </w:r>
      <w:r>
        <w:rPr>
          <w:rFonts w:ascii="Arial"/>
        </w:rPr>
        <w:t>Network: Tuggeranong</w:t>
      </w:r>
    </w:p>
    <w:p>
      <w:pPr>
        <w:spacing w:before="211"/>
        <w:ind w:left="760" w:right="0" w:firstLine="0"/>
        <w:jc w:val="left"/>
        <w:rPr>
          <w:rFonts w:ascii="Arial"/>
          <w:sz w:val="48"/>
        </w:rPr>
      </w:pPr>
      <w:r>
        <w:rPr>
          <w:rFonts w:ascii="Arial"/>
          <w:sz w:val="48"/>
        </w:rPr>
        <w:t>Impact Report 2020</w:t>
      </w:r>
    </w:p>
    <w:p>
      <w:pPr>
        <w:pStyle w:val="Heading1"/>
        <w:spacing w:before="359"/>
      </w:pPr>
      <w:r>
        <w:rPr>
          <w:color w:val="1F4E79"/>
        </w:rPr>
        <w:t>The purpose of this document</w:t>
      </w:r>
    </w:p>
    <w:p>
      <w:pPr>
        <w:pStyle w:val="BodyText"/>
        <w:spacing w:before="240"/>
        <w:ind w:left="760" w:right="906"/>
      </w:pPr>
      <w:r>
        <w:rPr/>
        <w:t>This document flows directly from our Action Plan for 2020 which translated our school priorities into actions for the current year of our five-year improvement cycle. These actions were responsive to identified challenges, changes or risks to delivery of improvement for student</w:t>
      </w:r>
      <w:r>
        <w:rPr>
          <w:spacing w:val="-14"/>
        </w:rPr>
        <w:t> </w:t>
      </w:r>
      <w:r>
        <w:rPr/>
        <w:t>learning.</w:t>
      </w:r>
    </w:p>
    <w:p>
      <w:pPr>
        <w:pStyle w:val="BodyText"/>
        <w:ind w:left="0"/>
      </w:pPr>
    </w:p>
    <w:p>
      <w:pPr>
        <w:pStyle w:val="BodyText"/>
        <w:spacing w:before="6"/>
        <w:ind w:left="0"/>
        <w:rPr>
          <w:sz w:val="19"/>
        </w:rPr>
      </w:pPr>
    </w:p>
    <w:p>
      <w:pPr>
        <w:pStyle w:val="Heading1"/>
      </w:pPr>
      <w:r>
        <w:rPr>
          <w:color w:val="1F4E79"/>
        </w:rPr>
        <w:t>Our school’s contribution to whole-of-system Strategic</w:t>
      </w:r>
      <w:r>
        <w:rPr>
          <w:color w:val="1F4E79"/>
          <w:spacing w:val="-25"/>
        </w:rPr>
        <w:t> </w:t>
      </w:r>
      <w:r>
        <w:rPr>
          <w:color w:val="1F4E79"/>
        </w:rPr>
        <w:t>Indicators</w:t>
      </w:r>
    </w:p>
    <w:p>
      <w:pPr>
        <w:pStyle w:val="Heading3"/>
        <w:spacing w:before="242"/>
      </w:pPr>
      <w:r>
        <w:rPr>
          <w:color w:val="1F4E79"/>
        </w:rPr>
        <w:t>Education Directorate Strategic Indicator 2018-2021</w:t>
      </w:r>
    </w:p>
    <w:p>
      <w:pPr>
        <w:spacing w:before="142"/>
        <w:ind w:left="760" w:right="0" w:firstLine="0"/>
        <w:jc w:val="left"/>
        <w:rPr>
          <w:b/>
          <w:i/>
          <w:sz w:val="22"/>
        </w:rPr>
      </w:pPr>
      <w:r>
        <w:rPr>
          <w:b/>
          <w:i/>
          <w:sz w:val="22"/>
        </w:rPr>
        <w:t>To promote greater equity in learning outcomes in and across ACT public schools</w:t>
      </w:r>
    </w:p>
    <w:p>
      <w:pPr>
        <w:pStyle w:val="BodyText"/>
        <w:spacing w:before="118"/>
        <w:ind w:left="760" w:right="1326"/>
      </w:pPr>
      <w:r>
        <w:rPr/>
        <w:t>In 2020 our school supported this Strategic Indicator through – Priority 1 &amp; 2 (see reporting for detail):</w:t>
      </w:r>
    </w:p>
    <w:p>
      <w:pPr>
        <w:pStyle w:val="ListParagraph"/>
        <w:numPr>
          <w:ilvl w:val="0"/>
          <w:numId w:val="1"/>
        </w:numPr>
        <w:tabs>
          <w:tab w:pos="1480" w:val="left" w:leader="none"/>
          <w:tab w:pos="1481" w:val="left" w:leader="none"/>
        </w:tabs>
        <w:spacing w:line="240" w:lineRule="auto" w:before="121" w:after="0"/>
        <w:ind w:left="1480" w:right="0" w:hanging="438"/>
        <w:jc w:val="left"/>
        <w:rPr>
          <w:sz w:val="22"/>
        </w:rPr>
      </w:pPr>
      <w:r>
        <w:rPr>
          <w:sz w:val="22"/>
        </w:rPr>
        <w:t>Building teacher capacity to differentiate to meet individual student</w:t>
      </w:r>
      <w:r>
        <w:rPr>
          <w:spacing w:val="-8"/>
          <w:sz w:val="22"/>
        </w:rPr>
        <w:t> </w:t>
      </w:r>
      <w:r>
        <w:rPr>
          <w:sz w:val="22"/>
        </w:rPr>
        <w:t>needs</w:t>
      </w:r>
    </w:p>
    <w:p>
      <w:pPr>
        <w:pStyle w:val="ListParagraph"/>
        <w:numPr>
          <w:ilvl w:val="0"/>
          <w:numId w:val="1"/>
        </w:numPr>
        <w:tabs>
          <w:tab w:pos="1480" w:val="left" w:leader="none"/>
          <w:tab w:pos="1481" w:val="left" w:leader="none"/>
        </w:tabs>
        <w:spacing w:line="240" w:lineRule="auto" w:before="22" w:after="0"/>
        <w:ind w:left="1480" w:right="0" w:hanging="438"/>
        <w:jc w:val="left"/>
        <w:rPr>
          <w:sz w:val="22"/>
        </w:rPr>
      </w:pPr>
      <w:r>
        <w:rPr>
          <w:sz w:val="22"/>
        </w:rPr>
        <w:t>Targeted school resources strategically to meet student needs Preschool to Year</w:t>
      </w:r>
      <w:r>
        <w:rPr>
          <w:spacing w:val="-12"/>
          <w:sz w:val="22"/>
        </w:rPr>
        <w:t> </w:t>
      </w:r>
      <w:r>
        <w:rPr>
          <w:sz w:val="22"/>
        </w:rPr>
        <w:t>6</w:t>
      </w:r>
    </w:p>
    <w:p>
      <w:pPr>
        <w:pStyle w:val="ListParagraph"/>
        <w:numPr>
          <w:ilvl w:val="0"/>
          <w:numId w:val="1"/>
        </w:numPr>
        <w:tabs>
          <w:tab w:pos="1480" w:val="left" w:leader="none"/>
          <w:tab w:pos="1481" w:val="left" w:leader="none"/>
        </w:tabs>
        <w:spacing w:line="240" w:lineRule="auto" w:before="21" w:after="0"/>
        <w:ind w:left="1480" w:right="0" w:hanging="438"/>
        <w:jc w:val="left"/>
        <w:rPr>
          <w:sz w:val="22"/>
        </w:rPr>
      </w:pPr>
      <w:r>
        <w:rPr>
          <w:sz w:val="22"/>
        </w:rPr>
        <w:t>Commenced the implementation of individual student goals</w:t>
      </w:r>
      <w:r>
        <w:rPr>
          <w:spacing w:val="-10"/>
          <w:sz w:val="22"/>
        </w:rPr>
        <w:t> </w:t>
      </w:r>
      <w:r>
        <w:rPr>
          <w:sz w:val="22"/>
        </w:rPr>
        <w:t>K-2</w:t>
      </w:r>
    </w:p>
    <w:p>
      <w:pPr>
        <w:pStyle w:val="ListParagraph"/>
        <w:numPr>
          <w:ilvl w:val="0"/>
          <w:numId w:val="1"/>
        </w:numPr>
        <w:tabs>
          <w:tab w:pos="1480" w:val="left" w:leader="none"/>
          <w:tab w:pos="1481" w:val="left" w:leader="none"/>
        </w:tabs>
        <w:spacing w:line="240" w:lineRule="auto" w:before="22" w:after="0"/>
        <w:ind w:left="1480" w:right="0" w:hanging="438"/>
        <w:jc w:val="left"/>
        <w:rPr>
          <w:sz w:val="22"/>
        </w:rPr>
      </w:pPr>
      <w:r>
        <w:rPr>
          <w:sz w:val="22"/>
        </w:rPr>
        <w:t>Continued the implementation of PBL – Phase 2</w:t>
      </w:r>
      <w:r>
        <w:rPr>
          <w:spacing w:val="-11"/>
          <w:sz w:val="22"/>
        </w:rPr>
        <w:t> </w:t>
      </w:r>
      <w:r>
        <w:rPr>
          <w:sz w:val="22"/>
        </w:rPr>
        <w:t>commenced</w:t>
      </w:r>
    </w:p>
    <w:p>
      <w:pPr>
        <w:pStyle w:val="ListParagraph"/>
        <w:numPr>
          <w:ilvl w:val="0"/>
          <w:numId w:val="1"/>
        </w:numPr>
        <w:tabs>
          <w:tab w:pos="1468" w:val="left" w:leader="none"/>
          <w:tab w:pos="1469" w:val="left" w:leader="none"/>
        </w:tabs>
        <w:spacing w:line="259" w:lineRule="auto" w:before="20" w:after="0"/>
        <w:ind w:left="1468" w:right="1621" w:hanging="425"/>
        <w:jc w:val="left"/>
        <w:rPr>
          <w:sz w:val="22"/>
        </w:rPr>
      </w:pPr>
      <w:r>
        <w:rPr>
          <w:sz w:val="22"/>
        </w:rPr>
        <w:t>Social Emotional Learning Program P-6 supported student well-being and social skill development</w:t>
      </w:r>
    </w:p>
    <w:p>
      <w:pPr>
        <w:pStyle w:val="ListParagraph"/>
        <w:numPr>
          <w:ilvl w:val="0"/>
          <w:numId w:val="1"/>
        </w:numPr>
        <w:tabs>
          <w:tab w:pos="1480" w:val="left" w:leader="none"/>
          <w:tab w:pos="1481" w:val="left" w:leader="none"/>
        </w:tabs>
        <w:spacing w:line="259" w:lineRule="auto" w:before="1" w:after="0"/>
        <w:ind w:left="1480" w:right="995" w:hanging="437"/>
        <w:jc w:val="left"/>
        <w:rPr>
          <w:sz w:val="22"/>
        </w:rPr>
      </w:pPr>
      <w:r>
        <w:rPr>
          <w:sz w:val="22"/>
        </w:rPr>
        <w:t>Student Support Team identified and monitored students requiring additional support and extension</w:t>
      </w:r>
    </w:p>
    <w:p>
      <w:pPr>
        <w:pStyle w:val="BodyText"/>
        <w:ind w:left="0"/>
      </w:pPr>
    </w:p>
    <w:p>
      <w:pPr>
        <w:pStyle w:val="BodyText"/>
        <w:spacing w:before="12"/>
        <w:ind w:left="0"/>
      </w:pPr>
    </w:p>
    <w:p>
      <w:pPr>
        <w:pStyle w:val="Heading3"/>
      </w:pPr>
      <w:r>
        <w:rPr>
          <w:color w:val="1F4E79"/>
        </w:rPr>
        <w:t>Education Directorate Strategic Indicator 2018-2021</w:t>
      </w:r>
    </w:p>
    <w:p>
      <w:pPr>
        <w:spacing w:before="140"/>
        <w:ind w:left="760" w:right="0" w:firstLine="0"/>
        <w:jc w:val="left"/>
        <w:rPr>
          <w:b/>
          <w:i/>
          <w:sz w:val="22"/>
        </w:rPr>
      </w:pPr>
      <w:r>
        <w:rPr>
          <w:b/>
          <w:i/>
          <w:sz w:val="22"/>
        </w:rPr>
        <w:t>To facilitate high quality teaching in ACT public schools and strengthen educational outcomes.</w:t>
      </w:r>
    </w:p>
    <w:p>
      <w:pPr>
        <w:pStyle w:val="BodyText"/>
        <w:spacing w:before="121"/>
        <w:ind w:left="760"/>
      </w:pPr>
      <w:r>
        <w:rPr/>
        <w:t>In 2020 our school supported this Strategic Indicator through – Priority 1 (see reporting for detail):</w:t>
      </w:r>
    </w:p>
    <w:p>
      <w:pPr>
        <w:pStyle w:val="ListParagraph"/>
        <w:numPr>
          <w:ilvl w:val="0"/>
          <w:numId w:val="1"/>
        </w:numPr>
        <w:tabs>
          <w:tab w:pos="1480" w:val="left" w:leader="none"/>
          <w:tab w:pos="1481" w:val="left" w:leader="none"/>
        </w:tabs>
        <w:spacing w:line="240" w:lineRule="auto" w:before="120" w:after="0"/>
        <w:ind w:left="1480" w:right="0" w:hanging="438"/>
        <w:jc w:val="left"/>
        <w:rPr>
          <w:sz w:val="22"/>
        </w:rPr>
      </w:pPr>
      <w:r>
        <w:rPr>
          <w:sz w:val="22"/>
        </w:rPr>
        <w:t>Built teacher knowledge and pedagogical practice in reading, spelling and</w:t>
      </w:r>
      <w:r>
        <w:rPr>
          <w:spacing w:val="-7"/>
          <w:sz w:val="22"/>
        </w:rPr>
        <w:t> </w:t>
      </w:r>
      <w:r>
        <w:rPr>
          <w:sz w:val="22"/>
        </w:rPr>
        <w:t>Mathematics</w:t>
      </w:r>
    </w:p>
    <w:p>
      <w:pPr>
        <w:pStyle w:val="ListParagraph"/>
        <w:numPr>
          <w:ilvl w:val="0"/>
          <w:numId w:val="1"/>
        </w:numPr>
        <w:tabs>
          <w:tab w:pos="1480" w:val="left" w:leader="none"/>
          <w:tab w:pos="1481" w:val="left" w:leader="none"/>
        </w:tabs>
        <w:spacing w:line="240" w:lineRule="auto" w:before="22" w:after="0"/>
        <w:ind w:left="1480" w:right="0" w:hanging="438"/>
        <w:jc w:val="left"/>
        <w:rPr>
          <w:sz w:val="22"/>
        </w:rPr>
      </w:pPr>
      <w:r>
        <w:rPr>
          <w:sz w:val="22"/>
        </w:rPr>
        <w:t>Continued to focus on and support consistency of literacy teaching practices across</w:t>
      </w:r>
      <w:r>
        <w:rPr>
          <w:spacing w:val="-11"/>
          <w:sz w:val="22"/>
        </w:rPr>
        <w:t> </w:t>
      </w:r>
      <w:r>
        <w:rPr>
          <w:sz w:val="22"/>
        </w:rPr>
        <w:t>P-2</w:t>
      </w:r>
    </w:p>
    <w:p>
      <w:pPr>
        <w:pStyle w:val="ListParagraph"/>
        <w:numPr>
          <w:ilvl w:val="0"/>
          <w:numId w:val="1"/>
        </w:numPr>
        <w:tabs>
          <w:tab w:pos="1468" w:val="left" w:leader="none"/>
          <w:tab w:pos="1469" w:val="left" w:leader="none"/>
        </w:tabs>
        <w:spacing w:line="259" w:lineRule="auto" w:before="19" w:after="0"/>
        <w:ind w:left="1468" w:right="1177" w:hanging="425"/>
        <w:jc w:val="left"/>
        <w:rPr>
          <w:sz w:val="22"/>
        </w:rPr>
      </w:pPr>
      <w:r>
        <w:rPr>
          <w:sz w:val="22"/>
        </w:rPr>
        <w:t>Through the PLC structure, continued to build teacher capacity in data analysis to inform planning and target teaching to strengthen outcomes for all</w:t>
      </w:r>
      <w:r>
        <w:rPr>
          <w:spacing w:val="-9"/>
          <w:sz w:val="22"/>
        </w:rPr>
        <w:t> </w:t>
      </w:r>
      <w:r>
        <w:rPr>
          <w:sz w:val="22"/>
        </w:rPr>
        <w:t>students</w:t>
      </w:r>
    </w:p>
    <w:p>
      <w:pPr>
        <w:pStyle w:val="ListParagraph"/>
        <w:numPr>
          <w:ilvl w:val="0"/>
          <w:numId w:val="1"/>
        </w:numPr>
        <w:tabs>
          <w:tab w:pos="1468" w:val="left" w:leader="none"/>
          <w:tab w:pos="1469" w:val="left" w:leader="none"/>
        </w:tabs>
        <w:spacing w:line="240" w:lineRule="auto" w:before="1" w:after="0"/>
        <w:ind w:left="1468" w:right="0" w:hanging="426"/>
        <w:jc w:val="left"/>
        <w:rPr>
          <w:sz w:val="22"/>
        </w:rPr>
      </w:pPr>
      <w:r>
        <w:rPr>
          <w:sz w:val="22"/>
        </w:rPr>
        <w:t>Introduced Learning</w:t>
      </w:r>
      <w:r>
        <w:rPr>
          <w:spacing w:val="-3"/>
          <w:sz w:val="22"/>
        </w:rPr>
        <w:t> </w:t>
      </w:r>
      <w:r>
        <w:rPr>
          <w:sz w:val="22"/>
        </w:rPr>
        <w:t>Assets</w:t>
      </w:r>
    </w:p>
    <w:p>
      <w:pPr>
        <w:pStyle w:val="ListParagraph"/>
        <w:numPr>
          <w:ilvl w:val="0"/>
          <w:numId w:val="1"/>
        </w:numPr>
        <w:tabs>
          <w:tab w:pos="1468" w:val="left" w:leader="none"/>
          <w:tab w:pos="1469" w:val="left" w:leader="none"/>
        </w:tabs>
        <w:spacing w:line="240" w:lineRule="auto" w:before="22" w:after="0"/>
        <w:ind w:left="1468" w:right="0" w:hanging="426"/>
        <w:jc w:val="left"/>
        <w:rPr>
          <w:sz w:val="22"/>
        </w:rPr>
      </w:pPr>
      <w:r>
        <w:rPr>
          <w:sz w:val="22"/>
        </w:rPr>
        <w:t>Established a framework to deliver the curriculum through remote</w:t>
      </w:r>
      <w:r>
        <w:rPr>
          <w:spacing w:val="-16"/>
          <w:sz w:val="22"/>
        </w:rPr>
        <w:t> </w:t>
      </w:r>
      <w:r>
        <w:rPr>
          <w:sz w:val="22"/>
        </w:rPr>
        <w:t>learning</w:t>
      </w:r>
    </w:p>
    <w:p>
      <w:pPr>
        <w:pStyle w:val="BodyText"/>
        <w:ind w:left="0"/>
        <w:rPr>
          <w:sz w:val="24"/>
        </w:rPr>
      </w:pPr>
    </w:p>
    <w:p>
      <w:pPr>
        <w:pStyle w:val="BodyText"/>
        <w:spacing w:before="9"/>
        <w:ind w:left="0"/>
      </w:pPr>
    </w:p>
    <w:p>
      <w:pPr>
        <w:pStyle w:val="Heading3"/>
      </w:pPr>
      <w:r>
        <w:rPr>
          <w:color w:val="1F4E79"/>
        </w:rPr>
        <w:t>Education Directorate Strategic Indicator 2018-2021</w:t>
      </w:r>
    </w:p>
    <w:p>
      <w:pPr>
        <w:spacing w:before="140"/>
        <w:ind w:left="760" w:right="0" w:firstLine="0"/>
        <w:jc w:val="left"/>
        <w:rPr>
          <w:b/>
          <w:i/>
          <w:sz w:val="22"/>
        </w:rPr>
      </w:pPr>
      <w:r>
        <w:rPr>
          <w:b/>
          <w:i/>
          <w:sz w:val="22"/>
        </w:rPr>
        <w:t>To centre teaching and learning around students as individuals</w:t>
      </w:r>
    </w:p>
    <w:p>
      <w:pPr>
        <w:pStyle w:val="BodyText"/>
        <w:spacing w:before="121"/>
        <w:ind w:left="760"/>
      </w:pPr>
      <w:r>
        <w:rPr/>
        <w:t>In 2020 our school supported this Strategic Indicator through – Priority 1 (see reporting for detail):</w:t>
      </w:r>
    </w:p>
    <w:p>
      <w:pPr>
        <w:pStyle w:val="ListParagraph"/>
        <w:numPr>
          <w:ilvl w:val="0"/>
          <w:numId w:val="1"/>
        </w:numPr>
        <w:tabs>
          <w:tab w:pos="1468" w:val="left" w:leader="none"/>
          <w:tab w:pos="1469" w:val="left" w:leader="none"/>
        </w:tabs>
        <w:spacing w:line="240" w:lineRule="auto" w:before="120" w:after="0"/>
        <w:ind w:left="1468" w:right="0" w:hanging="426"/>
        <w:jc w:val="left"/>
        <w:rPr>
          <w:sz w:val="22"/>
        </w:rPr>
      </w:pPr>
      <w:r>
        <w:rPr>
          <w:sz w:val="22"/>
        </w:rPr>
        <w:t>Increased data evidence enhanced Class Profile discussions and</w:t>
      </w:r>
      <w:r>
        <w:rPr>
          <w:spacing w:val="-10"/>
          <w:sz w:val="22"/>
        </w:rPr>
        <w:t> </w:t>
      </w:r>
      <w:r>
        <w:rPr>
          <w:sz w:val="22"/>
        </w:rPr>
        <w:t>documentation</w:t>
      </w:r>
    </w:p>
    <w:p>
      <w:pPr>
        <w:spacing w:after="0" w:line="240" w:lineRule="auto"/>
        <w:jc w:val="left"/>
        <w:rPr>
          <w:sz w:val="22"/>
        </w:rPr>
        <w:sectPr>
          <w:footerReference w:type="default" r:id="rId5"/>
          <w:type w:val="continuous"/>
          <w:pgSz w:w="11910" w:h="16840"/>
          <w:pgMar w:footer="1046" w:top="1360" w:bottom="1240" w:left="680" w:right="660"/>
          <w:pgNumType w:start="1"/>
        </w:sectPr>
      </w:pPr>
    </w:p>
    <w:p>
      <w:pPr>
        <w:pStyle w:val="ListParagraph"/>
        <w:numPr>
          <w:ilvl w:val="0"/>
          <w:numId w:val="1"/>
        </w:numPr>
        <w:tabs>
          <w:tab w:pos="1468" w:val="left" w:leader="none"/>
          <w:tab w:pos="1469" w:val="left" w:leader="none"/>
        </w:tabs>
        <w:spacing w:line="240" w:lineRule="auto" w:before="61" w:after="0"/>
        <w:ind w:left="1468" w:right="0" w:hanging="426"/>
        <w:jc w:val="left"/>
        <w:rPr>
          <w:sz w:val="22"/>
        </w:rPr>
      </w:pPr>
      <w:r>
        <w:rPr>
          <w:sz w:val="22"/>
        </w:rPr>
        <w:t>Continued to implement learning intentions, success criteria and formative</w:t>
      </w:r>
      <w:r>
        <w:rPr>
          <w:spacing w:val="-8"/>
          <w:sz w:val="22"/>
        </w:rPr>
        <w:t> </w:t>
      </w:r>
      <w:r>
        <w:rPr>
          <w:sz w:val="22"/>
        </w:rPr>
        <w:t>assessment</w:t>
      </w:r>
    </w:p>
    <w:p>
      <w:pPr>
        <w:pStyle w:val="BodyText"/>
        <w:ind w:left="0"/>
        <w:rPr>
          <w:sz w:val="24"/>
        </w:rPr>
      </w:pPr>
    </w:p>
    <w:p>
      <w:pPr>
        <w:pStyle w:val="Heading1"/>
        <w:spacing w:before="177"/>
      </w:pPr>
      <w:r>
        <w:rPr>
          <w:color w:val="1F4E79"/>
        </w:rPr>
        <w:t>Reporting against our priorities</w:t>
      </w:r>
    </w:p>
    <w:p>
      <w:pPr>
        <w:pStyle w:val="Heading2"/>
        <w:tabs>
          <w:tab w:pos="2037" w:val="left" w:leader="none"/>
        </w:tabs>
        <w:spacing w:before="241"/>
        <w:ind w:firstLine="0"/>
      </w:pPr>
      <w:r>
        <w:rPr>
          <w:b w:val="0"/>
          <w:color w:val="1F4E79"/>
        </w:rPr>
        <w:t>Priority</w:t>
      </w:r>
      <w:r>
        <w:rPr>
          <w:b w:val="0"/>
          <w:color w:val="1F4E79"/>
          <w:spacing w:val="-2"/>
        </w:rPr>
        <w:t> </w:t>
      </w:r>
      <w:r>
        <w:rPr>
          <w:b w:val="0"/>
          <w:color w:val="1F4E79"/>
        </w:rPr>
        <w:t>1:</w:t>
        <w:tab/>
      </w:r>
      <w:r>
        <w:rPr>
          <w:color w:val="44536A"/>
        </w:rPr>
        <w:t>Stu</w:t>
      </w:r>
      <w:r>
        <w:rPr>
          <w:color w:val="1F4E79"/>
        </w:rPr>
        <w:t>dents will be engaged, challenged and learn</w:t>
      </w:r>
      <w:r>
        <w:rPr>
          <w:color w:val="1F4E79"/>
          <w:spacing w:val="-2"/>
        </w:rPr>
        <w:t> </w:t>
      </w:r>
      <w:r>
        <w:rPr>
          <w:color w:val="1F4E79"/>
        </w:rPr>
        <w:t>successfully.</w:t>
      </w:r>
    </w:p>
    <w:p>
      <w:pPr>
        <w:pStyle w:val="BodyText"/>
        <w:spacing w:before="9"/>
        <w:ind w:left="0"/>
        <w:rPr>
          <w:rFonts w:ascii="Arial"/>
          <w:b/>
        </w:rPr>
      </w:pPr>
    </w:p>
    <w:p>
      <w:pPr>
        <w:pStyle w:val="BodyText"/>
        <w:ind w:left="760"/>
        <w:rPr>
          <w:rFonts w:ascii="Arial"/>
        </w:rPr>
      </w:pPr>
      <w:r>
        <w:rPr>
          <w:rFonts w:ascii="Arial"/>
          <w:color w:val="1F4D78"/>
        </w:rPr>
        <w:t>Targets or measures</w:t>
      </w:r>
    </w:p>
    <w:p>
      <w:pPr>
        <w:pStyle w:val="BodyText"/>
        <w:spacing w:before="120"/>
        <w:ind w:left="760"/>
      </w:pPr>
      <w:r>
        <w:rPr/>
        <w:t>By the end of 2023 we will achieve:</w:t>
      </w:r>
    </w:p>
    <w:p>
      <w:pPr>
        <w:pStyle w:val="ListParagraph"/>
        <w:numPr>
          <w:ilvl w:val="0"/>
          <w:numId w:val="2"/>
        </w:numPr>
        <w:tabs>
          <w:tab w:pos="1480" w:val="left" w:leader="none"/>
          <w:tab w:pos="1481" w:val="left" w:leader="none"/>
        </w:tabs>
        <w:spacing w:line="279" w:lineRule="exact" w:before="1" w:after="0"/>
        <w:ind w:left="1480" w:right="0" w:hanging="361"/>
        <w:jc w:val="left"/>
        <w:rPr>
          <w:sz w:val="22"/>
        </w:rPr>
      </w:pPr>
      <w:r>
        <w:rPr>
          <w:sz w:val="22"/>
        </w:rPr>
        <w:t>85% or greater of students (K-2) achieve PM reading</w:t>
      </w:r>
      <w:r>
        <w:rPr>
          <w:spacing w:val="-10"/>
          <w:sz w:val="22"/>
        </w:rPr>
        <w:t> </w:t>
      </w:r>
      <w:r>
        <w:rPr>
          <w:sz w:val="22"/>
        </w:rPr>
        <w:t>benchmark</w:t>
      </w:r>
    </w:p>
    <w:p>
      <w:pPr>
        <w:pStyle w:val="ListParagraph"/>
        <w:numPr>
          <w:ilvl w:val="0"/>
          <w:numId w:val="2"/>
        </w:numPr>
        <w:tabs>
          <w:tab w:pos="1480" w:val="left" w:leader="none"/>
          <w:tab w:pos="1481" w:val="left" w:leader="none"/>
        </w:tabs>
        <w:spacing w:line="240" w:lineRule="auto" w:before="0" w:after="0"/>
        <w:ind w:left="1480" w:right="1255" w:hanging="360"/>
        <w:jc w:val="left"/>
        <w:rPr>
          <w:sz w:val="22"/>
        </w:rPr>
      </w:pPr>
      <w:r>
        <w:rPr>
          <w:sz w:val="22"/>
        </w:rPr>
        <w:t>The percentage of students showing similar or greater growth in PIPS than the two year average 2017/18 will remain at or above the starting</w:t>
      </w:r>
      <w:r>
        <w:rPr>
          <w:spacing w:val="-14"/>
          <w:sz w:val="22"/>
        </w:rPr>
        <w:t> </w:t>
      </w:r>
      <w:r>
        <w:rPr>
          <w:sz w:val="22"/>
        </w:rPr>
        <w:t>points.</w:t>
      </w:r>
    </w:p>
    <w:p>
      <w:pPr>
        <w:pStyle w:val="ListParagraph"/>
        <w:numPr>
          <w:ilvl w:val="0"/>
          <w:numId w:val="2"/>
        </w:numPr>
        <w:tabs>
          <w:tab w:pos="1480" w:val="left" w:leader="none"/>
          <w:tab w:pos="1481" w:val="left" w:leader="none"/>
        </w:tabs>
        <w:spacing w:line="240" w:lineRule="auto" w:before="0" w:after="0"/>
        <w:ind w:left="1480" w:right="884" w:hanging="360"/>
        <w:jc w:val="left"/>
        <w:rPr>
          <w:sz w:val="22"/>
        </w:rPr>
      </w:pPr>
      <w:r>
        <w:rPr>
          <w:sz w:val="22"/>
        </w:rPr>
        <w:t>60% of students in Years 3 and 5 achieve an expected scaled growth score that matches or exceeds ACER scaled projections in PAT testing (Comprehension, Spelling and</w:t>
      </w:r>
      <w:r>
        <w:rPr>
          <w:spacing w:val="-20"/>
          <w:sz w:val="22"/>
        </w:rPr>
        <w:t> </w:t>
      </w:r>
      <w:r>
        <w:rPr>
          <w:sz w:val="22"/>
        </w:rPr>
        <w:t>Mathematics)</w:t>
      </w:r>
    </w:p>
    <w:p>
      <w:pPr>
        <w:pStyle w:val="ListParagraph"/>
        <w:numPr>
          <w:ilvl w:val="0"/>
          <w:numId w:val="2"/>
        </w:numPr>
        <w:tabs>
          <w:tab w:pos="1480" w:val="left" w:leader="none"/>
          <w:tab w:pos="1481" w:val="left" w:leader="none"/>
        </w:tabs>
        <w:spacing w:line="240" w:lineRule="auto" w:before="1" w:after="0"/>
        <w:ind w:left="1480" w:right="1015" w:hanging="360"/>
        <w:jc w:val="left"/>
        <w:rPr>
          <w:sz w:val="22"/>
        </w:rPr>
      </w:pPr>
      <w:r>
        <w:rPr>
          <w:sz w:val="22"/>
        </w:rPr>
        <w:t>% of students in the top two proficiency bands in Reading, Writing and Numeracy is within 5% points of similar</w:t>
      </w:r>
      <w:r>
        <w:rPr>
          <w:spacing w:val="-5"/>
          <w:sz w:val="22"/>
        </w:rPr>
        <w:t> </w:t>
      </w:r>
      <w:r>
        <w:rPr>
          <w:sz w:val="22"/>
        </w:rPr>
        <w:t>schools</w:t>
      </w:r>
    </w:p>
    <w:p>
      <w:pPr>
        <w:pStyle w:val="ListParagraph"/>
        <w:numPr>
          <w:ilvl w:val="0"/>
          <w:numId w:val="2"/>
        </w:numPr>
        <w:tabs>
          <w:tab w:pos="1480" w:val="left" w:leader="none"/>
          <w:tab w:pos="1481" w:val="left" w:leader="none"/>
        </w:tabs>
        <w:spacing w:line="240" w:lineRule="auto" w:before="0" w:after="0"/>
        <w:ind w:left="1480" w:right="1538" w:hanging="360"/>
        <w:jc w:val="left"/>
        <w:rPr>
          <w:sz w:val="22"/>
        </w:rPr>
      </w:pPr>
      <w:r>
        <w:rPr>
          <w:sz w:val="22"/>
        </w:rPr>
        <w:t>Decrease the percentage of students in the lower two bands in Reading, Writing and Numeracy by 5% points or</w:t>
      </w:r>
      <w:r>
        <w:rPr>
          <w:spacing w:val="-6"/>
          <w:sz w:val="22"/>
        </w:rPr>
        <w:t> </w:t>
      </w:r>
      <w:r>
        <w:rPr>
          <w:sz w:val="22"/>
        </w:rPr>
        <w:t>greater</w:t>
      </w:r>
    </w:p>
    <w:p>
      <w:pPr>
        <w:pStyle w:val="ListParagraph"/>
        <w:numPr>
          <w:ilvl w:val="0"/>
          <w:numId w:val="2"/>
        </w:numPr>
        <w:tabs>
          <w:tab w:pos="1480" w:val="left" w:leader="none"/>
          <w:tab w:pos="1481" w:val="left" w:leader="none"/>
        </w:tabs>
        <w:spacing w:line="240" w:lineRule="auto" w:before="0" w:after="0"/>
        <w:ind w:left="1480" w:right="0" w:hanging="361"/>
        <w:jc w:val="left"/>
        <w:rPr>
          <w:sz w:val="22"/>
        </w:rPr>
      </w:pPr>
      <w:r>
        <w:rPr>
          <w:sz w:val="22"/>
        </w:rPr>
        <w:t>Increase the percentage of ‘in-school matched’ students achieving expected growth</w:t>
      </w:r>
      <w:r>
        <w:rPr>
          <w:spacing w:val="-18"/>
          <w:sz w:val="22"/>
        </w:rPr>
        <w:t> </w:t>
      </w:r>
      <w:r>
        <w:rPr>
          <w:sz w:val="22"/>
        </w:rPr>
        <w:t>or</w:t>
      </w:r>
    </w:p>
    <w:p>
      <w:pPr>
        <w:pStyle w:val="BodyText"/>
      </w:pPr>
      <w:r>
        <w:rPr/>
        <w:t>greater in NAPLAN Reading, Writing and Numeracy</w:t>
      </w:r>
    </w:p>
    <w:p>
      <w:pPr>
        <w:pStyle w:val="BodyText"/>
        <w:ind w:left="0"/>
      </w:pPr>
    </w:p>
    <w:p>
      <w:pPr>
        <w:pStyle w:val="BodyText"/>
        <w:spacing w:before="8"/>
        <w:ind w:left="0"/>
        <w:rPr>
          <w:sz w:val="19"/>
        </w:rPr>
      </w:pPr>
    </w:p>
    <w:p>
      <w:pPr>
        <w:pStyle w:val="BodyText"/>
        <w:ind w:left="760"/>
      </w:pPr>
      <w:r>
        <w:rPr/>
        <w:t>In 2020 we implemented this priority through the following strategies.</w:t>
      </w:r>
    </w:p>
    <w:p>
      <w:pPr>
        <w:pStyle w:val="ListParagraph"/>
        <w:numPr>
          <w:ilvl w:val="0"/>
          <w:numId w:val="2"/>
        </w:numPr>
        <w:tabs>
          <w:tab w:pos="1468" w:val="left" w:leader="none"/>
          <w:tab w:pos="1469" w:val="left" w:leader="none"/>
        </w:tabs>
        <w:spacing w:line="240" w:lineRule="auto" w:before="121" w:after="0"/>
        <w:ind w:left="1468" w:right="0" w:hanging="426"/>
        <w:jc w:val="left"/>
        <w:rPr>
          <w:sz w:val="22"/>
        </w:rPr>
      </w:pPr>
      <w:r>
        <w:rPr>
          <w:sz w:val="22"/>
        </w:rPr>
        <w:t>Embed effective pedagogical practice across the</w:t>
      </w:r>
      <w:r>
        <w:rPr>
          <w:spacing w:val="-6"/>
          <w:sz w:val="22"/>
        </w:rPr>
        <w:t> </w:t>
      </w:r>
      <w:r>
        <w:rPr>
          <w:sz w:val="22"/>
        </w:rPr>
        <w:t>school</w:t>
      </w:r>
    </w:p>
    <w:p>
      <w:pPr>
        <w:pStyle w:val="ListParagraph"/>
        <w:numPr>
          <w:ilvl w:val="0"/>
          <w:numId w:val="2"/>
        </w:numPr>
        <w:tabs>
          <w:tab w:pos="1468" w:val="left" w:leader="none"/>
          <w:tab w:pos="1469" w:val="left" w:leader="none"/>
        </w:tabs>
        <w:spacing w:line="240" w:lineRule="auto" w:before="39" w:after="0"/>
        <w:ind w:left="1468" w:right="0" w:hanging="426"/>
        <w:jc w:val="left"/>
        <w:rPr>
          <w:sz w:val="22"/>
        </w:rPr>
      </w:pPr>
      <w:r>
        <w:rPr>
          <w:sz w:val="22"/>
        </w:rPr>
        <w:t>Use multiple sources of data to monitor student</w:t>
      </w:r>
      <w:r>
        <w:rPr>
          <w:spacing w:val="-6"/>
          <w:sz w:val="22"/>
        </w:rPr>
        <w:t> </w:t>
      </w:r>
      <w:r>
        <w:rPr>
          <w:sz w:val="22"/>
        </w:rPr>
        <w:t>growth</w:t>
      </w:r>
    </w:p>
    <w:p>
      <w:pPr>
        <w:pStyle w:val="ListParagraph"/>
        <w:numPr>
          <w:ilvl w:val="0"/>
          <w:numId w:val="2"/>
        </w:numPr>
        <w:tabs>
          <w:tab w:pos="1468" w:val="left" w:leader="none"/>
          <w:tab w:pos="1469" w:val="left" w:leader="none"/>
        </w:tabs>
        <w:spacing w:line="240" w:lineRule="auto" w:before="41" w:after="0"/>
        <w:ind w:left="1468" w:right="0" w:hanging="426"/>
        <w:jc w:val="left"/>
        <w:rPr>
          <w:sz w:val="22"/>
        </w:rPr>
      </w:pPr>
      <w:r>
        <w:rPr>
          <w:sz w:val="22"/>
        </w:rPr>
        <w:t>Embed Formative Assessment</w:t>
      </w:r>
    </w:p>
    <w:p>
      <w:pPr>
        <w:pStyle w:val="ListParagraph"/>
        <w:numPr>
          <w:ilvl w:val="1"/>
          <w:numId w:val="2"/>
        </w:numPr>
        <w:tabs>
          <w:tab w:pos="2279" w:val="left" w:leader="none"/>
          <w:tab w:pos="2280" w:val="left" w:leader="none"/>
        </w:tabs>
        <w:spacing w:line="240" w:lineRule="auto" w:before="39" w:after="0"/>
        <w:ind w:left="2279" w:right="0" w:hanging="526"/>
        <w:jc w:val="left"/>
        <w:rPr>
          <w:sz w:val="22"/>
        </w:rPr>
      </w:pPr>
      <w:r>
        <w:rPr>
          <w:sz w:val="22"/>
        </w:rPr>
        <w:t>Differentiate teaching and learning to meet individual student</w:t>
      </w:r>
      <w:r>
        <w:rPr>
          <w:spacing w:val="-11"/>
          <w:sz w:val="22"/>
        </w:rPr>
        <w:t> </w:t>
      </w:r>
      <w:r>
        <w:rPr>
          <w:sz w:val="22"/>
        </w:rPr>
        <w:t>need</w:t>
      </w:r>
    </w:p>
    <w:p>
      <w:pPr>
        <w:pStyle w:val="ListParagraph"/>
        <w:numPr>
          <w:ilvl w:val="1"/>
          <w:numId w:val="2"/>
        </w:numPr>
        <w:tabs>
          <w:tab w:pos="2279" w:val="left" w:leader="none"/>
          <w:tab w:pos="2280" w:val="left" w:leader="none"/>
        </w:tabs>
        <w:spacing w:line="240" w:lineRule="auto" w:before="34" w:after="0"/>
        <w:ind w:left="2279" w:right="0" w:hanging="526"/>
        <w:jc w:val="left"/>
        <w:rPr>
          <w:sz w:val="22"/>
        </w:rPr>
      </w:pPr>
      <w:r>
        <w:rPr>
          <w:sz w:val="22"/>
        </w:rPr>
        <w:t>Develop Individual student goals to support teaching, learning and student</w:t>
      </w:r>
      <w:r>
        <w:rPr>
          <w:spacing w:val="-15"/>
          <w:sz w:val="22"/>
        </w:rPr>
        <w:t> </w:t>
      </w:r>
      <w:r>
        <w:rPr>
          <w:sz w:val="22"/>
        </w:rPr>
        <w:t>agency</w:t>
      </w:r>
    </w:p>
    <w:p>
      <w:pPr>
        <w:pStyle w:val="ListParagraph"/>
        <w:numPr>
          <w:ilvl w:val="1"/>
          <w:numId w:val="2"/>
        </w:numPr>
        <w:tabs>
          <w:tab w:pos="2279" w:val="left" w:leader="none"/>
          <w:tab w:pos="2280" w:val="left" w:leader="none"/>
        </w:tabs>
        <w:spacing w:line="240" w:lineRule="auto" w:before="34" w:after="0"/>
        <w:ind w:left="2279" w:right="0" w:hanging="526"/>
        <w:jc w:val="left"/>
        <w:rPr>
          <w:sz w:val="22"/>
        </w:rPr>
      </w:pPr>
      <w:r>
        <w:rPr>
          <w:sz w:val="22"/>
        </w:rPr>
        <w:t>Develop a culture of</w:t>
      </w:r>
      <w:r>
        <w:rPr>
          <w:spacing w:val="-6"/>
          <w:sz w:val="22"/>
        </w:rPr>
        <w:t> </w:t>
      </w:r>
      <w:r>
        <w:rPr>
          <w:sz w:val="22"/>
        </w:rPr>
        <w:t>feedback</w:t>
      </w:r>
    </w:p>
    <w:p>
      <w:pPr>
        <w:pStyle w:val="ListParagraph"/>
        <w:numPr>
          <w:ilvl w:val="0"/>
          <w:numId w:val="2"/>
        </w:numPr>
        <w:tabs>
          <w:tab w:pos="1468" w:val="left" w:leader="none"/>
          <w:tab w:pos="1469" w:val="left" w:leader="none"/>
        </w:tabs>
        <w:spacing w:line="240" w:lineRule="auto" w:before="32" w:after="0"/>
        <w:ind w:left="1468" w:right="0" w:hanging="426"/>
        <w:jc w:val="left"/>
        <w:rPr>
          <w:sz w:val="22"/>
        </w:rPr>
      </w:pPr>
      <w:r>
        <w:rPr>
          <w:sz w:val="22"/>
        </w:rPr>
        <w:t>Deliver an innovative and relevant</w:t>
      </w:r>
      <w:r>
        <w:rPr>
          <w:spacing w:val="-2"/>
          <w:sz w:val="22"/>
        </w:rPr>
        <w:t> </w:t>
      </w:r>
      <w:r>
        <w:rPr>
          <w:sz w:val="22"/>
        </w:rPr>
        <w:t>curriculum</w:t>
      </w:r>
    </w:p>
    <w:p>
      <w:pPr>
        <w:pStyle w:val="BodyText"/>
        <w:spacing w:before="2"/>
        <w:ind w:left="0"/>
        <w:rPr>
          <w:sz w:val="35"/>
        </w:rPr>
      </w:pPr>
    </w:p>
    <w:p>
      <w:pPr>
        <w:spacing w:before="1"/>
        <w:ind w:left="760" w:right="1363" w:firstLine="0"/>
        <w:jc w:val="left"/>
        <w:rPr>
          <w:i/>
          <w:sz w:val="22"/>
        </w:rPr>
      </w:pPr>
      <w:r>
        <w:rPr>
          <w:i/>
          <w:sz w:val="22"/>
        </w:rPr>
        <w:t>Below is our progress towards our five-year targets with an emphasis on the accumulation and </w:t>
      </w:r>
      <w:r>
        <w:rPr>
          <w:i/>
          <w:sz w:val="22"/>
        </w:rPr>
        <w:t>analysis of evidence over the term of our plan.</w:t>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8"/>
        <w:ind w:left="0"/>
        <w:rPr>
          <w:i/>
          <w:sz w:val="26"/>
        </w:rPr>
      </w:pPr>
    </w:p>
    <w:p>
      <w:pPr>
        <w:spacing w:before="57"/>
        <w:ind w:left="760" w:right="0" w:firstLine="0"/>
        <w:jc w:val="left"/>
        <w:rPr>
          <w:rFonts w:ascii="Calibri Light"/>
          <w:b w:val="0"/>
          <w:i/>
          <w:sz w:val="22"/>
        </w:rPr>
      </w:pPr>
      <w:r>
        <w:rPr>
          <w:rFonts w:ascii="Calibri Light"/>
          <w:b w:val="0"/>
          <w:i/>
          <w:color w:val="1F4E79"/>
          <w:sz w:val="22"/>
        </w:rPr>
        <w:t>Learning Data </w:t>
      </w:r>
    </w:p>
    <w:p>
      <w:pPr>
        <w:spacing w:after="0"/>
        <w:jc w:val="left"/>
        <w:rPr>
          <w:rFonts w:ascii="Calibri Light"/>
          <w:sz w:val="22"/>
        </w:rPr>
        <w:sectPr>
          <w:pgSz w:w="11910" w:h="16840"/>
          <w:pgMar w:header="0" w:footer="1046" w:top="1360" w:bottom="1320" w:left="680" w:right="660"/>
        </w:sect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8"/>
        <w:gridCol w:w="1237"/>
        <w:gridCol w:w="1205"/>
        <w:gridCol w:w="1275"/>
        <w:gridCol w:w="1243"/>
      </w:tblGrid>
      <w:tr>
        <w:trPr>
          <w:trHeight w:val="919" w:hRule="atLeast"/>
        </w:trPr>
        <w:tc>
          <w:tcPr>
            <w:tcW w:w="5108" w:type="dxa"/>
            <w:shd w:val="clear" w:color="auto" w:fill="D9D9D9"/>
          </w:tcPr>
          <w:p>
            <w:pPr>
              <w:pStyle w:val="TableParagraph"/>
              <w:ind w:left="57"/>
              <w:rPr>
                <w:b/>
                <w:sz w:val="22"/>
              </w:rPr>
            </w:pPr>
            <w:r>
              <w:rPr>
                <w:b/>
                <w:sz w:val="22"/>
              </w:rPr>
              <w:t>Targets or Measures</w:t>
            </w:r>
          </w:p>
        </w:tc>
        <w:tc>
          <w:tcPr>
            <w:tcW w:w="2442" w:type="dxa"/>
            <w:gridSpan w:val="2"/>
            <w:shd w:val="clear" w:color="auto" w:fill="D9D9D9"/>
          </w:tcPr>
          <w:p>
            <w:pPr>
              <w:pStyle w:val="TableParagraph"/>
              <w:ind w:left="960" w:right="984"/>
              <w:jc w:val="center"/>
              <w:rPr>
                <w:b/>
                <w:sz w:val="22"/>
              </w:rPr>
            </w:pPr>
            <w:r>
              <w:rPr>
                <w:b/>
                <w:sz w:val="22"/>
              </w:rPr>
              <w:t>Base</w:t>
            </w:r>
          </w:p>
        </w:tc>
        <w:tc>
          <w:tcPr>
            <w:tcW w:w="1275" w:type="dxa"/>
            <w:shd w:val="clear" w:color="auto" w:fill="D9D9D9"/>
          </w:tcPr>
          <w:p>
            <w:pPr>
              <w:pStyle w:val="TableParagraph"/>
              <w:ind w:left="313"/>
              <w:rPr>
                <w:b/>
                <w:sz w:val="22"/>
              </w:rPr>
            </w:pPr>
            <w:r>
              <w:rPr>
                <w:b/>
                <w:sz w:val="22"/>
              </w:rPr>
              <w:t>Year 1</w:t>
            </w:r>
          </w:p>
          <w:p>
            <w:pPr>
              <w:pStyle w:val="TableParagraph"/>
              <w:spacing w:before="1"/>
              <w:ind w:left="378"/>
              <w:rPr>
                <w:b/>
                <w:sz w:val="22"/>
              </w:rPr>
            </w:pPr>
            <w:r>
              <w:rPr>
                <w:b/>
                <w:sz w:val="22"/>
              </w:rPr>
              <w:t>2019</w:t>
            </w:r>
          </w:p>
        </w:tc>
        <w:tc>
          <w:tcPr>
            <w:tcW w:w="1243" w:type="dxa"/>
            <w:shd w:val="clear" w:color="auto" w:fill="D9D9D9"/>
          </w:tcPr>
          <w:p>
            <w:pPr>
              <w:pStyle w:val="TableParagraph"/>
              <w:ind w:left="315"/>
              <w:rPr>
                <w:b/>
                <w:sz w:val="22"/>
              </w:rPr>
            </w:pPr>
            <w:r>
              <w:rPr>
                <w:b/>
                <w:sz w:val="22"/>
              </w:rPr>
              <w:t>Year 2</w:t>
            </w:r>
          </w:p>
          <w:p>
            <w:pPr>
              <w:pStyle w:val="TableParagraph"/>
              <w:spacing w:before="1"/>
              <w:ind w:left="380"/>
              <w:rPr>
                <w:b/>
                <w:sz w:val="22"/>
              </w:rPr>
            </w:pPr>
            <w:r>
              <w:rPr>
                <w:b/>
                <w:sz w:val="22"/>
              </w:rPr>
              <w:t>2020</w:t>
            </w:r>
          </w:p>
        </w:tc>
      </w:tr>
      <w:tr>
        <w:trPr>
          <w:trHeight w:val="652" w:hRule="atLeast"/>
        </w:trPr>
        <w:tc>
          <w:tcPr>
            <w:tcW w:w="5108" w:type="dxa"/>
          </w:tcPr>
          <w:p>
            <w:pPr>
              <w:pStyle w:val="TableParagraph"/>
              <w:ind w:left="57" w:right="348"/>
              <w:rPr>
                <w:sz w:val="22"/>
              </w:rPr>
            </w:pPr>
            <w:r>
              <w:rPr>
                <w:sz w:val="22"/>
              </w:rPr>
              <w:t>85% or greater of students (K-2) achieve PM reading benchmark (October 2019)</w:t>
            </w:r>
          </w:p>
        </w:tc>
        <w:tc>
          <w:tcPr>
            <w:tcW w:w="2442" w:type="dxa"/>
            <w:gridSpan w:val="2"/>
          </w:tcPr>
          <w:p>
            <w:pPr>
              <w:pStyle w:val="TableParagraph"/>
              <w:ind w:left="968" w:right="926"/>
              <w:jc w:val="center"/>
              <w:rPr>
                <w:sz w:val="22"/>
              </w:rPr>
            </w:pPr>
            <w:r>
              <w:rPr>
                <w:sz w:val="22"/>
              </w:rPr>
              <w:t>85%</w:t>
            </w:r>
          </w:p>
        </w:tc>
        <w:tc>
          <w:tcPr>
            <w:tcW w:w="1275" w:type="dxa"/>
            <w:shd w:val="clear" w:color="auto" w:fill="C5DFB3"/>
          </w:tcPr>
          <w:p>
            <w:pPr>
              <w:pStyle w:val="TableParagraph"/>
              <w:ind w:left="361" w:right="316"/>
              <w:jc w:val="center"/>
              <w:rPr>
                <w:sz w:val="22"/>
              </w:rPr>
            </w:pPr>
            <w:r>
              <w:rPr>
                <w:sz w:val="22"/>
              </w:rPr>
              <w:t>92%</w:t>
            </w:r>
          </w:p>
        </w:tc>
        <w:tc>
          <w:tcPr>
            <w:tcW w:w="1243" w:type="dxa"/>
            <w:shd w:val="clear" w:color="auto" w:fill="C5DFB3"/>
          </w:tcPr>
          <w:p>
            <w:pPr>
              <w:pStyle w:val="TableParagraph"/>
              <w:ind w:left="327" w:right="317"/>
              <w:jc w:val="center"/>
              <w:rPr>
                <w:sz w:val="22"/>
              </w:rPr>
            </w:pPr>
            <w:r>
              <w:rPr>
                <w:sz w:val="22"/>
              </w:rPr>
              <w:t>95%</w:t>
            </w:r>
          </w:p>
        </w:tc>
      </w:tr>
      <w:tr>
        <w:trPr>
          <w:trHeight w:val="782" w:hRule="atLeast"/>
        </w:trPr>
        <w:tc>
          <w:tcPr>
            <w:tcW w:w="5108" w:type="dxa"/>
            <w:vMerge w:val="restart"/>
          </w:tcPr>
          <w:p>
            <w:pPr>
              <w:pStyle w:val="TableParagraph"/>
              <w:ind w:left="57" w:right="162"/>
              <w:jc w:val="both"/>
              <w:rPr>
                <w:sz w:val="22"/>
              </w:rPr>
            </w:pPr>
            <w:r>
              <w:rPr>
                <w:sz w:val="22"/>
              </w:rPr>
              <w:t>The percentage of students showing similar or greater growth in PIPS than the two-year average 2017/18 will remain at or above the starting points</w:t>
            </w:r>
          </w:p>
          <w:p>
            <w:pPr>
              <w:pStyle w:val="TableParagraph"/>
              <w:spacing w:before="11"/>
              <w:rPr>
                <w:rFonts w:ascii="Calibri Light"/>
                <w:b w:val="0"/>
                <w:i/>
                <w:sz w:val="21"/>
              </w:rPr>
            </w:pPr>
          </w:p>
          <w:p>
            <w:pPr>
              <w:pStyle w:val="TableParagraph"/>
              <w:spacing w:before="0"/>
              <w:ind w:left="57" w:right="333"/>
              <w:rPr>
                <w:i/>
                <w:sz w:val="22"/>
              </w:rPr>
            </w:pPr>
            <w:r>
              <w:rPr>
                <w:i/>
                <w:sz w:val="22"/>
              </w:rPr>
              <w:t>*From 2020 target were adjusted to reflect BASE see </w:t>
            </w:r>
            <w:r>
              <w:rPr>
                <w:i/>
                <w:sz w:val="22"/>
              </w:rPr>
              <w:t>table below</w:t>
            </w:r>
          </w:p>
        </w:tc>
        <w:tc>
          <w:tcPr>
            <w:tcW w:w="1237" w:type="dxa"/>
            <w:tcBorders>
              <w:right w:val="nil"/>
            </w:tcBorders>
          </w:tcPr>
          <w:p>
            <w:pPr>
              <w:pStyle w:val="TableParagraph"/>
              <w:ind w:left="254"/>
              <w:rPr>
                <w:sz w:val="22"/>
              </w:rPr>
            </w:pPr>
            <w:r>
              <w:rPr>
                <w:sz w:val="22"/>
              </w:rPr>
              <w:t>Reading</w:t>
            </w:r>
          </w:p>
        </w:tc>
        <w:tc>
          <w:tcPr>
            <w:tcW w:w="1205" w:type="dxa"/>
            <w:tcBorders>
              <w:left w:val="nil"/>
            </w:tcBorders>
          </w:tcPr>
          <w:p>
            <w:pPr>
              <w:pStyle w:val="TableParagraph"/>
              <w:ind w:right="383"/>
              <w:jc w:val="right"/>
              <w:rPr>
                <w:sz w:val="22"/>
              </w:rPr>
            </w:pPr>
            <w:r>
              <w:rPr>
                <w:sz w:val="22"/>
              </w:rPr>
              <w:t>82%</w:t>
            </w:r>
          </w:p>
        </w:tc>
        <w:tc>
          <w:tcPr>
            <w:tcW w:w="1275" w:type="dxa"/>
            <w:shd w:val="clear" w:color="auto" w:fill="C5DFB3"/>
          </w:tcPr>
          <w:p>
            <w:pPr>
              <w:pStyle w:val="TableParagraph"/>
              <w:ind w:left="361" w:right="316"/>
              <w:jc w:val="center"/>
              <w:rPr>
                <w:sz w:val="22"/>
              </w:rPr>
            </w:pPr>
            <w:r>
              <w:rPr>
                <w:sz w:val="22"/>
              </w:rPr>
              <w:t>98%</w:t>
            </w:r>
          </w:p>
        </w:tc>
        <w:tc>
          <w:tcPr>
            <w:tcW w:w="1243" w:type="dxa"/>
          </w:tcPr>
          <w:p>
            <w:pPr>
              <w:pStyle w:val="TableParagraph"/>
              <w:ind w:left="326" w:right="318"/>
              <w:jc w:val="center"/>
              <w:rPr>
                <w:sz w:val="22"/>
              </w:rPr>
            </w:pPr>
            <w:r>
              <w:rPr>
                <w:sz w:val="22"/>
              </w:rPr>
              <w:t>NA</w:t>
            </w:r>
          </w:p>
        </w:tc>
      </w:tr>
      <w:tr>
        <w:trPr>
          <w:trHeight w:val="933" w:hRule="atLeast"/>
        </w:trPr>
        <w:tc>
          <w:tcPr>
            <w:tcW w:w="5108" w:type="dxa"/>
            <w:vMerge/>
            <w:tcBorders>
              <w:top w:val="nil"/>
            </w:tcBorders>
          </w:tcPr>
          <w:p>
            <w:pPr>
              <w:rPr>
                <w:sz w:val="2"/>
                <w:szCs w:val="2"/>
              </w:rPr>
            </w:pPr>
          </w:p>
        </w:tc>
        <w:tc>
          <w:tcPr>
            <w:tcW w:w="1237" w:type="dxa"/>
            <w:tcBorders>
              <w:right w:val="nil"/>
            </w:tcBorders>
          </w:tcPr>
          <w:p>
            <w:pPr>
              <w:pStyle w:val="TableParagraph"/>
              <w:ind w:left="273"/>
              <w:rPr>
                <w:sz w:val="22"/>
              </w:rPr>
            </w:pPr>
            <w:r>
              <w:rPr>
                <w:sz w:val="22"/>
              </w:rPr>
              <w:t>Number</w:t>
            </w:r>
          </w:p>
        </w:tc>
        <w:tc>
          <w:tcPr>
            <w:tcW w:w="1205" w:type="dxa"/>
            <w:tcBorders>
              <w:left w:val="nil"/>
            </w:tcBorders>
          </w:tcPr>
          <w:p>
            <w:pPr>
              <w:pStyle w:val="TableParagraph"/>
              <w:ind w:right="383"/>
              <w:jc w:val="right"/>
              <w:rPr>
                <w:sz w:val="22"/>
              </w:rPr>
            </w:pPr>
            <w:r>
              <w:rPr>
                <w:sz w:val="22"/>
              </w:rPr>
              <w:t>81%</w:t>
            </w:r>
          </w:p>
        </w:tc>
        <w:tc>
          <w:tcPr>
            <w:tcW w:w="1275" w:type="dxa"/>
            <w:shd w:val="clear" w:color="auto" w:fill="C5DFB3"/>
          </w:tcPr>
          <w:p>
            <w:pPr>
              <w:pStyle w:val="TableParagraph"/>
              <w:ind w:left="361" w:right="314"/>
              <w:jc w:val="center"/>
              <w:rPr>
                <w:sz w:val="22"/>
              </w:rPr>
            </w:pPr>
            <w:r>
              <w:rPr>
                <w:sz w:val="22"/>
              </w:rPr>
              <w:t>100%</w:t>
            </w:r>
          </w:p>
        </w:tc>
        <w:tc>
          <w:tcPr>
            <w:tcW w:w="1243" w:type="dxa"/>
          </w:tcPr>
          <w:p>
            <w:pPr>
              <w:pStyle w:val="TableParagraph"/>
              <w:ind w:left="326" w:right="318"/>
              <w:jc w:val="center"/>
              <w:rPr>
                <w:sz w:val="22"/>
              </w:rPr>
            </w:pPr>
            <w:r>
              <w:rPr>
                <w:sz w:val="22"/>
              </w:rPr>
              <w:t>NA</w:t>
            </w:r>
          </w:p>
        </w:tc>
      </w:tr>
      <w:tr>
        <w:trPr>
          <w:trHeight w:val="649" w:hRule="atLeast"/>
        </w:trPr>
        <w:tc>
          <w:tcPr>
            <w:tcW w:w="5108" w:type="dxa"/>
            <w:vMerge w:val="restart"/>
          </w:tcPr>
          <w:p>
            <w:pPr>
              <w:pStyle w:val="TableParagraph"/>
              <w:ind w:left="57" w:right="259"/>
              <w:rPr>
                <w:sz w:val="22"/>
              </w:rPr>
            </w:pPr>
            <w:r>
              <w:rPr>
                <w:sz w:val="22"/>
              </w:rPr>
              <w:t>60% of students in </w:t>
            </w:r>
            <w:r>
              <w:rPr>
                <w:b/>
                <w:sz w:val="22"/>
              </w:rPr>
              <w:t>Year 3 </w:t>
            </w:r>
            <w:r>
              <w:rPr>
                <w:sz w:val="22"/>
              </w:rPr>
              <w:t>achieve an expected scaled growth score that matches or exceeds ACER scaled projections in PAT testing (Comprehension, Spelling and Mathematics)</w:t>
            </w:r>
          </w:p>
        </w:tc>
        <w:tc>
          <w:tcPr>
            <w:tcW w:w="1237" w:type="dxa"/>
          </w:tcPr>
          <w:p>
            <w:pPr>
              <w:pStyle w:val="TableParagraph"/>
              <w:ind w:right="48"/>
              <w:jc w:val="right"/>
              <w:rPr>
                <w:sz w:val="22"/>
              </w:rPr>
            </w:pPr>
            <w:r>
              <w:rPr>
                <w:sz w:val="22"/>
              </w:rPr>
              <w:t>Comp</w:t>
            </w:r>
          </w:p>
        </w:tc>
        <w:tc>
          <w:tcPr>
            <w:tcW w:w="1205" w:type="dxa"/>
          </w:tcPr>
          <w:p>
            <w:pPr>
              <w:pStyle w:val="TableParagraph"/>
              <w:ind w:right="440"/>
              <w:jc w:val="right"/>
              <w:rPr>
                <w:sz w:val="22"/>
              </w:rPr>
            </w:pPr>
            <w:r>
              <w:rPr>
                <w:sz w:val="22"/>
              </w:rPr>
              <w:t>NA</w:t>
            </w:r>
          </w:p>
        </w:tc>
        <w:tc>
          <w:tcPr>
            <w:tcW w:w="1275" w:type="dxa"/>
            <w:shd w:val="clear" w:color="auto" w:fill="C5DFB3"/>
          </w:tcPr>
          <w:p>
            <w:pPr>
              <w:pStyle w:val="TableParagraph"/>
              <w:ind w:left="361" w:right="316"/>
              <w:jc w:val="center"/>
              <w:rPr>
                <w:sz w:val="22"/>
              </w:rPr>
            </w:pPr>
            <w:r>
              <w:rPr>
                <w:sz w:val="22"/>
              </w:rPr>
              <w:t>88.2%</w:t>
            </w:r>
          </w:p>
        </w:tc>
        <w:tc>
          <w:tcPr>
            <w:tcW w:w="1243" w:type="dxa"/>
            <w:shd w:val="clear" w:color="auto" w:fill="C5DFB3"/>
          </w:tcPr>
          <w:p>
            <w:pPr>
              <w:pStyle w:val="TableParagraph"/>
              <w:ind w:left="327" w:right="318"/>
              <w:jc w:val="center"/>
              <w:rPr>
                <w:sz w:val="22"/>
              </w:rPr>
            </w:pPr>
            <w:r>
              <w:rPr>
                <w:sz w:val="22"/>
              </w:rPr>
              <w:t>83.9%</w:t>
            </w:r>
          </w:p>
        </w:tc>
      </w:tr>
      <w:tr>
        <w:trPr>
          <w:trHeight w:val="652" w:hRule="atLeast"/>
        </w:trPr>
        <w:tc>
          <w:tcPr>
            <w:tcW w:w="5108" w:type="dxa"/>
            <w:vMerge/>
            <w:tcBorders>
              <w:top w:val="nil"/>
            </w:tcBorders>
          </w:tcPr>
          <w:p>
            <w:pPr>
              <w:rPr>
                <w:sz w:val="2"/>
                <w:szCs w:val="2"/>
              </w:rPr>
            </w:pPr>
          </w:p>
        </w:tc>
        <w:tc>
          <w:tcPr>
            <w:tcW w:w="1237" w:type="dxa"/>
          </w:tcPr>
          <w:p>
            <w:pPr>
              <w:pStyle w:val="TableParagraph"/>
              <w:spacing w:before="57"/>
              <w:ind w:right="144"/>
              <w:jc w:val="right"/>
              <w:rPr>
                <w:sz w:val="22"/>
              </w:rPr>
            </w:pPr>
            <w:r>
              <w:rPr>
                <w:sz w:val="22"/>
              </w:rPr>
              <w:t>Spell</w:t>
            </w:r>
          </w:p>
        </w:tc>
        <w:tc>
          <w:tcPr>
            <w:tcW w:w="1205" w:type="dxa"/>
          </w:tcPr>
          <w:p>
            <w:pPr>
              <w:pStyle w:val="TableParagraph"/>
              <w:spacing w:before="57"/>
              <w:ind w:right="440"/>
              <w:jc w:val="right"/>
              <w:rPr>
                <w:sz w:val="22"/>
              </w:rPr>
            </w:pPr>
            <w:r>
              <w:rPr>
                <w:sz w:val="22"/>
              </w:rPr>
              <w:t>NA</w:t>
            </w:r>
          </w:p>
        </w:tc>
        <w:tc>
          <w:tcPr>
            <w:tcW w:w="1275" w:type="dxa"/>
            <w:shd w:val="clear" w:color="auto" w:fill="C5DFB3"/>
          </w:tcPr>
          <w:p>
            <w:pPr>
              <w:pStyle w:val="TableParagraph"/>
              <w:spacing w:before="57"/>
              <w:ind w:left="361" w:right="316"/>
              <w:jc w:val="center"/>
              <w:rPr>
                <w:sz w:val="22"/>
              </w:rPr>
            </w:pPr>
            <w:r>
              <w:rPr>
                <w:sz w:val="22"/>
              </w:rPr>
              <w:t>88.2%</w:t>
            </w:r>
          </w:p>
        </w:tc>
        <w:tc>
          <w:tcPr>
            <w:tcW w:w="1243" w:type="dxa"/>
            <w:shd w:val="clear" w:color="auto" w:fill="C5DFB3"/>
          </w:tcPr>
          <w:p>
            <w:pPr>
              <w:pStyle w:val="TableParagraph"/>
              <w:spacing w:before="57"/>
              <w:ind w:left="327" w:right="318"/>
              <w:jc w:val="center"/>
              <w:rPr>
                <w:sz w:val="22"/>
              </w:rPr>
            </w:pPr>
            <w:r>
              <w:rPr>
                <w:sz w:val="22"/>
              </w:rPr>
              <w:t>96.8%</w:t>
            </w:r>
          </w:p>
        </w:tc>
      </w:tr>
      <w:tr>
        <w:trPr>
          <w:trHeight w:val="563" w:hRule="atLeast"/>
        </w:trPr>
        <w:tc>
          <w:tcPr>
            <w:tcW w:w="5108" w:type="dxa"/>
            <w:vMerge/>
            <w:tcBorders>
              <w:top w:val="nil"/>
            </w:tcBorders>
          </w:tcPr>
          <w:p>
            <w:pPr>
              <w:rPr>
                <w:sz w:val="2"/>
                <w:szCs w:val="2"/>
              </w:rPr>
            </w:pPr>
          </w:p>
        </w:tc>
        <w:tc>
          <w:tcPr>
            <w:tcW w:w="1237" w:type="dxa"/>
          </w:tcPr>
          <w:p>
            <w:pPr>
              <w:pStyle w:val="TableParagraph"/>
              <w:ind w:right="104"/>
              <w:jc w:val="right"/>
              <w:rPr>
                <w:sz w:val="22"/>
              </w:rPr>
            </w:pPr>
            <w:r>
              <w:rPr>
                <w:sz w:val="22"/>
              </w:rPr>
              <w:t>Maths</w:t>
            </w:r>
          </w:p>
        </w:tc>
        <w:tc>
          <w:tcPr>
            <w:tcW w:w="1205" w:type="dxa"/>
          </w:tcPr>
          <w:p>
            <w:pPr>
              <w:pStyle w:val="TableParagraph"/>
              <w:ind w:right="440"/>
              <w:jc w:val="right"/>
              <w:rPr>
                <w:sz w:val="22"/>
              </w:rPr>
            </w:pPr>
            <w:r>
              <w:rPr>
                <w:sz w:val="22"/>
              </w:rPr>
              <w:t>NA</w:t>
            </w:r>
          </w:p>
        </w:tc>
        <w:tc>
          <w:tcPr>
            <w:tcW w:w="1275" w:type="dxa"/>
            <w:shd w:val="clear" w:color="auto" w:fill="C5DFB3"/>
          </w:tcPr>
          <w:p>
            <w:pPr>
              <w:pStyle w:val="TableParagraph"/>
              <w:ind w:left="361" w:right="316"/>
              <w:jc w:val="center"/>
              <w:rPr>
                <w:sz w:val="22"/>
              </w:rPr>
            </w:pPr>
            <w:r>
              <w:rPr>
                <w:sz w:val="22"/>
              </w:rPr>
              <w:t>91.2%</w:t>
            </w:r>
          </w:p>
        </w:tc>
        <w:tc>
          <w:tcPr>
            <w:tcW w:w="1243" w:type="dxa"/>
            <w:shd w:val="clear" w:color="auto" w:fill="C5DFB3"/>
          </w:tcPr>
          <w:p>
            <w:pPr>
              <w:pStyle w:val="TableParagraph"/>
              <w:ind w:left="325" w:right="318"/>
              <w:jc w:val="center"/>
              <w:rPr>
                <w:sz w:val="22"/>
              </w:rPr>
            </w:pPr>
            <w:r>
              <w:rPr>
                <w:sz w:val="22"/>
              </w:rPr>
              <w:t>100%</w:t>
            </w:r>
          </w:p>
        </w:tc>
      </w:tr>
      <w:tr>
        <w:trPr>
          <w:trHeight w:val="650" w:hRule="atLeast"/>
        </w:trPr>
        <w:tc>
          <w:tcPr>
            <w:tcW w:w="5108" w:type="dxa"/>
            <w:vMerge w:val="restart"/>
          </w:tcPr>
          <w:p>
            <w:pPr>
              <w:pStyle w:val="TableParagraph"/>
              <w:ind w:left="57" w:right="259"/>
              <w:rPr>
                <w:sz w:val="22"/>
              </w:rPr>
            </w:pPr>
            <w:r>
              <w:rPr>
                <w:sz w:val="22"/>
              </w:rPr>
              <w:t>60% of students in </w:t>
            </w:r>
            <w:r>
              <w:rPr>
                <w:b/>
                <w:sz w:val="22"/>
              </w:rPr>
              <w:t>Year 5 </w:t>
            </w:r>
            <w:r>
              <w:rPr>
                <w:sz w:val="22"/>
              </w:rPr>
              <w:t>achieve an expected scaled growth score that matches or exceeds ACER scaled projections in PAT testing (Comprehension, Spelling and Mathematics)</w:t>
            </w:r>
          </w:p>
        </w:tc>
        <w:tc>
          <w:tcPr>
            <w:tcW w:w="1237" w:type="dxa"/>
          </w:tcPr>
          <w:p>
            <w:pPr>
              <w:pStyle w:val="TableParagraph"/>
              <w:ind w:left="352"/>
              <w:rPr>
                <w:sz w:val="22"/>
              </w:rPr>
            </w:pPr>
            <w:r>
              <w:rPr>
                <w:sz w:val="22"/>
              </w:rPr>
              <w:t>Comp</w:t>
            </w:r>
          </w:p>
        </w:tc>
        <w:tc>
          <w:tcPr>
            <w:tcW w:w="1205" w:type="dxa"/>
          </w:tcPr>
          <w:p>
            <w:pPr>
              <w:pStyle w:val="TableParagraph"/>
              <w:ind w:right="440"/>
              <w:jc w:val="right"/>
              <w:rPr>
                <w:sz w:val="22"/>
              </w:rPr>
            </w:pPr>
            <w:r>
              <w:rPr>
                <w:sz w:val="22"/>
              </w:rPr>
              <w:t>NA</w:t>
            </w:r>
          </w:p>
        </w:tc>
        <w:tc>
          <w:tcPr>
            <w:tcW w:w="1275" w:type="dxa"/>
            <w:shd w:val="clear" w:color="auto" w:fill="C5DFB3"/>
          </w:tcPr>
          <w:p>
            <w:pPr>
              <w:pStyle w:val="TableParagraph"/>
              <w:ind w:left="361" w:right="316"/>
              <w:jc w:val="center"/>
              <w:rPr>
                <w:sz w:val="22"/>
              </w:rPr>
            </w:pPr>
            <w:r>
              <w:rPr>
                <w:sz w:val="22"/>
              </w:rPr>
              <w:t>82.9%</w:t>
            </w:r>
          </w:p>
        </w:tc>
        <w:tc>
          <w:tcPr>
            <w:tcW w:w="1243" w:type="dxa"/>
            <w:shd w:val="clear" w:color="auto" w:fill="C5DFB3"/>
          </w:tcPr>
          <w:p>
            <w:pPr>
              <w:pStyle w:val="TableParagraph"/>
              <w:ind w:left="327" w:right="318"/>
              <w:jc w:val="center"/>
              <w:rPr>
                <w:sz w:val="22"/>
              </w:rPr>
            </w:pPr>
            <w:r>
              <w:rPr>
                <w:sz w:val="22"/>
              </w:rPr>
              <w:t>82.9%</w:t>
            </w:r>
          </w:p>
        </w:tc>
      </w:tr>
      <w:tr>
        <w:trPr>
          <w:trHeight w:val="568" w:hRule="atLeast"/>
        </w:trPr>
        <w:tc>
          <w:tcPr>
            <w:tcW w:w="5108" w:type="dxa"/>
            <w:vMerge/>
            <w:tcBorders>
              <w:top w:val="nil"/>
            </w:tcBorders>
          </w:tcPr>
          <w:p>
            <w:pPr>
              <w:rPr>
                <w:sz w:val="2"/>
                <w:szCs w:val="2"/>
              </w:rPr>
            </w:pPr>
          </w:p>
        </w:tc>
        <w:tc>
          <w:tcPr>
            <w:tcW w:w="1237" w:type="dxa"/>
          </w:tcPr>
          <w:p>
            <w:pPr>
              <w:pStyle w:val="TableParagraph"/>
              <w:ind w:left="400"/>
              <w:rPr>
                <w:sz w:val="22"/>
              </w:rPr>
            </w:pPr>
            <w:r>
              <w:rPr>
                <w:sz w:val="22"/>
              </w:rPr>
              <w:t>Spell</w:t>
            </w:r>
          </w:p>
        </w:tc>
        <w:tc>
          <w:tcPr>
            <w:tcW w:w="1205" w:type="dxa"/>
          </w:tcPr>
          <w:p>
            <w:pPr>
              <w:pStyle w:val="TableParagraph"/>
              <w:ind w:right="440"/>
              <w:jc w:val="right"/>
              <w:rPr>
                <w:sz w:val="22"/>
              </w:rPr>
            </w:pPr>
            <w:r>
              <w:rPr>
                <w:sz w:val="22"/>
              </w:rPr>
              <w:t>NA</w:t>
            </w:r>
          </w:p>
        </w:tc>
        <w:tc>
          <w:tcPr>
            <w:tcW w:w="1275" w:type="dxa"/>
            <w:shd w:val="clear" w:color="auto" w:fill="C5DFB3"/>
          </w:tcPr>
          <w:p>
            <w:pPr>
              <w:pStyle w:val="TableParagraph"/>
              <w:ind w:left="361" w:right="316"/>
              <w:jc w:val="center"/>
              <w:rPr>
                <w:sz w:val="22"/>
              </w:rPr>
            </w:pPr>
            <w:r>
              <w:rPr>
                <w:sz w:val="22"/>
              </w:rPr>
              <w:t>85.7%</w:t>
            </w:r>
          </w:p>
        </w:tc>
        <w:tc>
          <w:tcPr>
            <w:tcW w:w="1243" w:type="dxa"/>
            <w:shd w:val="clear" w:color="auto" w:fill="C5DFB3"/>
          </w:tcPr>
          <w:p>
            <w:pPr>
              <w:pStyle w:val="TableParagraph"/>
              <w:ind w:left="327" w:right="318"/>
              <w:jc w:val="center"/>
              <w:rPr>
                <w:sz w:val="22"/>
              </w:rPr>
            </w:pPr>
            <w:r>
              <w:rPr>
                <w:sz w:val="22"/>
              </w:rPr>
              <w:t>82.4%</w:t>
            </w:r>
          </w:p>
        </w:tc>
      </w:tr>
      <w:tr>
        <w:trPr>
          <w:trHeight w:val="570" w:hRule="atLeast"/>
        </w:trPr>
        <w:tc>
          <w:tcPr>
            <w:tcW w:w="5108" w:type="dxa"/>
            <w:vMerge/>
            <w:tcBorders>
              <w:top w:val="nil"/>
            </w:tcBorders>
          </w:tcPr>
          <w:p>
            <w:pPr>
              <w:rPr>
                <w:sz w:val="2"/>
                <w:szCs w:val="2"/>
              </w:rPr>
            </w:pPr>
          </w:p>
        </w:tc>
        <w:tc>
          <w:tcPr>
            <w:tcW w:w="1237" w:type="dxa"/>
          </w:tcPr>
          <w:p>
            <w:pPr>
              <w:pStyle w:val="TableParagraph"/>
              <w:ind w:left="331"/>
              <w:rPr>
                <w:sz w:val="22"/>
              </w:rPr>
            </w:pPr>
            <w:r>
              <w:rPr>
                <w:sz w:val="22"/>
              </w:rPr>
              <w:t>Maths</w:t>
            </w:r>
          </w:p>
        </w:tc>
        <w:tc>
          <w:tcPr>
            <w:tcW w:w="1205" w:type="dxa"/>
          </w:tcPr>
          <w:p>
            <w:pPr>
              <w:pStyle w:val="TableParagraph"/>
              <w:ind w:right="440"/>
              <w:jc w:val="right"/>
              <w:rPr>
                <w:sz w:val="22"/>
              </w:rPr>
            </w:pPr>
            <w:r>
              <w:rPr>
                <w:sz w:val="22"/>
              </w:rPr>
              <w:t>NA</w:t>
            </w:r>
          </w:p>
        </w:tc>
        <w:tc>
          <w:tcPr>
            <w:tcW w:w="1275" w:type="dxa"/>
            <w:shd w:val="clear" w:color="auto" w:fill="FFCCCC"/>
          </w:tcPr>
          <w:p>
            <w:pPr>
              <w:pStyle w:val="TableParagraph"/>
              <w:ind w:left="361" w:right="316"/>
              <w:jc w:val="center"/>
              <w:rPr>
                <w:sz w:val="22"/>
              </w:rPr>
            </w:pPr>
            <w:r>
              <w:rPr>
                <w:sz w:val="22"/>
              </w:rPr>
              <w:t>57.1%</w:t>
            </w:r>
          </w:p>
        </w:tc>
        <w:tc>
          <w:tcPr>
            <w:tcW w:w="1243" w:type="dxa"/>
            <w:shd w:val="clear" w:color="auto" w:fill="C5DFB3"/>
          </w:tcPr>
          <w:p>
            <w:pPr>
              <w:pStyle w:val="TableParagraph"/>
              <w:ind w:left="327" w:right="317"/>
              <w:jc w:val="center"/>
              <w:rPr>
                <w:sz w:val="22"/>
              </w:rPr>
            </w:pPr>
            <w:r>
              <w:rPr>
                <w:sz w:val="22"/>
              </w:rPr>
              <w:t>75%</w:t>
            </w:r>
          </w:p>
        </w:tc>
      </w:tr>
    </w:tbl>
    <w:p>
      <w:pPr>
        <w:pStyle w:val="BodyText"/>
        <w:spacing w:before="7"/>
        <w:ind w:left="0"/>
        <w:rPr>
          <w:rFonts w:ascii="Calibri Light"/>
          <w:b w:val="0"/>
          <w:i/>
          <w:sz w:val="21"/>
        </w:rPr>
      </w:pPr>
    </w:p>
    <w:tbl>
      <w:tblPr>
        <w:tblW w:w="0" w:type="auto"/>
        <w:jc w:val="lef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2482"/>
        <w:gridCol w:w="2482"/>
      </w:tblGrid>
      <w:tr>
        <w:trPr>
          <w:trHeight w:val="393" w:hRule="atLeast"/>
        </w:trPr>
        <w:tc>
          <w:tcPr>
            <w:tcW w:w="5103" w:type="dxa"/>
            <w:shd w:val="clear" w:color="auto" w:fill="D9D9D9"/>
          </w:tcPr>
          <w:p>
            <w:pPr>
              <w:pStyle w:val="TableParagraph"/>
              <w:ind w:left="57"/>
              <w:rPr>
                <w:b/>
                <w:sz w:val="22"/>
              </w:rPr>
            </w:pPr>
            <w:r>
              <w:rPr>
                <w:b/>
                <w:sz w:val="22"/>
              </w:rPr>
              <w:t>Targets or Measures</w:t>
            </w:r>
          </w:p>
        </w:tc>
        <w:tc>
          <w:tcPr>
            <w:tcW w:w="4964" w:type="dxa"/>
            <w:gridSpan w:val="2"/>
            <w:shd w:val="clear" w:color="auto" w:fill="D9D9D9"/>
          </w:tcPr>
          <w:p>
            <w:pPr>
              <w:pStyle w:val="TableParagraph"/>
              <w:ind w:left="1903" w:right="1888"/>
              <w:jc w:val="center"/>
              <w:rPr>
                <w:b/>
                <w:sz w:val="22"/>
              </w:rPr>
            </w:pPr>
            <w:r>
              <w:rPr>
                <w:b/>
                <w:sz w:val="22"/>
              </w:rPr>
              <w:t>Base</w:t>
            </w:r>
          </w:p>
        </w:tc>
      </w:tr>
      <w:tr>
        <w:trPr>
          <w:trHeight w:val="919" w:hRule="atLeast"/>
        </w:trPr>
        <w:tc>
          <w:tcPr>
            <w:tcW w:w="5103" w:type="dxa"/>
          </w:tcPr>
          <w:p>
            <w:pPr>
              <w:pStyle w:val="TableParagraph"/>
              <w:spacing w:before="57"/>
              <w:ind w:left="57" w:right="295"/>
              <w:rPr>
                <w:sz w:val="22"/>
              </w:rPr>
            </w:pPr>
            <w:r>
              <w:rPr>
                <w:sz w:val="22"/>
              </w:rPr>
              <w:t>Average class results in BASE will meet or exceed the National Average in the six areas of Literacy and the four areas of Mathematics</w:t>
            </w:r>
          </w:p>
        </w:tc>
        <w:tc>
          <w:tcPr>
            <w:tcW w:w="4964" w:type="dxa"/>
            <w:gridSpan w:val="2"/>
          </w:tcPr>
          <w:p>
            <w:pPr>
              <w:pStyle w:val="TableParagraph"/>
              <w:spacing w:before="57"/>
              <w:ind w:left="1903" w:right="1889"/>
              <w:jc w:val="center"/>
              <w:rPr>
                <w:sz w:val="22"/>
              </w:rPr>
            </w:pPr>
            <w:r>
              <w:rPr>
                <w:sz w:val="22"/>
              </w:rPr>
              <w:t>New in 2020</w:t>
            </w:r>
          </w:p>
        </w:tc>
      </w:tr>
      <w:tr>
        <w:trPr>
          <w:trHeight w:val="431" w:hRule="atLeast"/>
        </w:trPr>
        <w:tc>
          <w:tcPr>
            <w:tcW w:w="5103" w:type="dxa"/>
          </w:tcPr>
          <w:p>
            <w:pPr>
              <w:pStyle w:val="TableParagraph"/>
              <w:spacing w:before="0"/>
              <w:rPr>
                <w:rFonts w:ascii="Times New Roman"/>
                <w:sz w:val="20"/>
              </w:rPr>
            </w:pPr>
          </w:p>
        </w:tc>
        <w:tc>
          <w:tcPr>
            <w:tcW w:w="2482" w:type="dxa"/>
          </w:tcPr>
          <w:p>
            <w:pPr>
              <w:pStyle w:val="TableParagraph"/>
              <w:ind w:left="904" w:right="889"/>
              <w:jc w:val="center"/>
              <w:rPr>
                <w:sz w:val="22"/>
              </w:rPr>
            </w:pPr>
            <w:r>
              <w:rPr>
                <w:sz w:val="22"/>
              </w:rPr>
              <w:t>Class A</w:t>
            </w:r>
          </w:p>
        </w:tc>
        <w:tc>
          <w:tcPr>
            <w:tcW w:w="2482" w:type="dxa"/>
          </w:tcPr>
          <w:p>
            <w:pPr>
              <w:pStyle w:val="TableParagraph"/>
              <w:ind w:left="904" w:right="891"/>
              <w:jc w:val="center"/>
              <w:rPr>
                <w:sz w:val="22"/>
              </w:rPr>
            </w:pPr>
            <w:r>
              <w:rPr>
                <w:sz w:val="22"/>
              </w:rPr>
              <w:t>Class B</w:t>
            </w:r>
          </w:p>
        </w:tc>
      </w:tr>
      <w:tr>
        <w:trPr>
          <w:trHeight w:val="431" w:hRule="atLeast"/>
        </w:trPr>
        <w:tc>
          <w:tcPr>
            <w:tcW w:w="5103" w:type="dxa"/>
          </w:tcPr>
          <w:p>
            <w:pPr>
              <w:pStyle w:val="TableParagraph"/>
              <w:ind w:left="57"/>
              <w:rPr>
                <w:sz w:val="22"/>
              </w:rPr>
            </w:pPr>
            <w:r>
              <w:rPr>
                <w:sz w:val="22"/>
              </w:rPr>
              <w:t>Literacy – Concepts about print</w:t>
            </w:r>
          </w:p>
        </w:tc>
        <w:tc>
          <w:tcPr>
            <w:tcW w:w="2482" w:type="dxa"/>
            <w:shd w:val="clear" w:color="auto" w:fill="C5DFB3"/>
          </w:tcPr>
          <w:p>
            <w:pPr>
              <w:pStyle w:val="TableParagraph"/>
              <w:ind w:left="904" w:right="891"/>
              <w:jc w:val="center"/>
              <w:rPr>
                <w:sz w:val="22"/>
              </w:rPr>
            </w:pPr>
            <w:r>
              <w:rPr>
                <w:sz w:val="22"/>
              </w:rPr>
              <w:t>Exceed</w:t>
            </w:r>
          </w:p>
        </w:tc>
        <w:tc>
          <w:tcPr>
            <w:tcW w:w="2482" w:type="dxa"/>
            <w:shd w:val="clear" w:color="auto" w:fill="C5DFB3"/>
          </w:tcPr>
          <w:p>
            <w:pPr>
              <w:pStyle w:val="TableParagraph"/>
              <w:ind w:left="902" w:right="894"/>
              <w:jc w:val="center"/>
              <w:rPr>
                <w:sz w:val="22"/>
              </w:rPr>
            </w:pPr>
            <w:r>
              <w:rPr>
                <w:sz w:val="22"/>
              </w:rPr>
              <w:t>Exceed</w:t>
            </w:r>
          </w:p>
        </w:tc>
      </w:tr>
      <w:tr>
        <w:trPr>
          <w:trHeight w:val="434" w:hRule="atLeast"/>
        </w:trPr>
        <w:tc>
          <w:tcPr>
            <w:tcW w:w="5103" w:type="dxa"/>
          </w:tcPr>
          <w:p>
            <w:pPr>
              <w:pStyle w:val="TableParagraph"/>
              <w:ind w:left="57"/>
              <w:rPr>
                <w:sz w:val="22"/>
              </w:rPr>
            </w:pPr>
            <w:r>
              <w:rPr>
                <w:sz w:val="22"/>
              </w:rPr>
              <w:t>Literacy – Vocabulary</w:t>
            </w:r>
          </w:p>
        </w:tc>
        <w:tc>
          <w:tcPr>
            <w:tcW w:w="2482" w:type="dxa"/>
            <w:shd w:val="clear" w:color="auto" w:fill="C5DFB3"/>
          </w:tcPr>
          <w:p>
            <w:pPr>
              <w:pStyle w:val="TableParagraph"/>
              <w:ind w:left="904" w:right="891"/>
              <w:jc w:val="center"/>
              <w:rPr>
                <w:sz w:val="22"/>
              </w:rPr>
            </w:pPr>
            <w:r>
              <w:rPr>
                <w:sz w:val="22"/>
              </w:rPr>
              <w:t>Exceed</w:t>
            </w:r>
          </w:p>
        </w:tc>
        <w:tc>
          <w:tcPr>
            <w:tcW w:w="2482" w:type="dxa"/>
            <w:shd w:val="clear" w:color="auto" w:fill="C5DFB3"/>
          </w:tcPr>
          <w:p>
            <w:pPr>
              <w:pStyle w:val="TableParagraph"/>
              <w:ind w:left="902" w:right="894"/>
              <w:jc w:val="center"/>
              <w:rPr>
                <w:sz w:val="22"/>
              </w:rPr>
            </w:pPr>
            <w:r>
              <w:rPr>
                <w:sz w:val="22"/>
              </w:rPr>
              <w:t>Exceed</w:t>
            </w:r>
          </w:p>
        </w:tc>
      </w:tr>
      <w:tr>
        <w:trPr>
          <w:trHeight w:val="431" w:hRule="atLeast"/>
        </w:trPr>
        <w:tc>
          <w:tcPr>
            <w:tcW w:w="5103" w:type="dxa"/>
          </w:tcPr>
          <w:p>
            <w:pPr>
              <w:pStyle w:val="TableParagraph"/>
              <w:spacing w:before="54"/>
              <w:ind w:left="57"/>
              <w:rPr>
                <w:sz w:val="22"/>
              </w:rPr>
            </w:pPr>
            <w:r>
              <w:rPr>
                <w:sz w:val="22"/>
              </w:rPr>
              <w:t>Literacy – Letter Recognition</w:t>
            </w:r>
          </w:p>
        </w:tc>
        <w:tc>
          <w:tcPr>
            <w:tcW w:w="2482" w:type="dxa"/>
            <w:shd w:val="clear" w:color="auto" w:fill="C5DFB3"/>
          </w:tcPr>
          <w:p>
            <w:pPr>
              <w:pStyle w:val="TableParagraph"/>
              <w:spacing w:before="54"/>
              <w:ind w:left="904" w:right="891"/>
              <w:jc w:val="center"/>
              <w:rPr>
                <w:sz w:val="22"/>
              </w:rPr>
            </w:pPr>
            <w:r>
              <w:rPr>
                <w:sz w:val="22"/>
              </w:rPr>
              <w:t>Exceed</w:t>
            </w:r>
          </w:p>
        </w:tc>
        <w:tc>
          <w:tcPr>
            <w:tcW w:w="2482" w:type="dxa"/>
            <w:shd w:val="clear" w:color="auto" w:fill="FFCCCC"/>
          </w:tcPr>
          <w:p>
            <w:pPr>
              <w:pStyle w:val="TableParagraph"/>
              <w:spacing w:before="54"/>
              <w:ind w:left="904" w:right="892"/>
              <w:jc w:val="center"/>
              <w:rPr>
                <w:sz w:val="22"/>
              </w:rPr>
            </w:pPr>
            <w:r>
              <w:rPr>
                <w:sz w:val="22"/>
              </w:rPr>
              <w:t>Below</w:t>
            </w:r>
          </w:p>
        </w:tc>
      </w:tr>
      <w:tr>
        <w:trPr>
          <w:trHeight w:val="431" w:hRule="atLeast"/>
        </w:trPr>
        <w:tc>
          <w:tcPr>
            <w:tcW w:w="5103" w:type="dxa"/>
          </w:tcPr>
          <w:p>
            <w:pPr>
              <w:pStyle w:val="TableParagraph"/>
              <w:ind w:left="57"/>
              <w:rPr>
                <w:sz w:val="22"/>
              </w:rPr>
            </w:pPr>
            <w:r>
              <w:rPr>
                <w:sz w:val="22"/>
              </w:rPr>
              <w:t>Literacy – Repeating Words</w:t>
            </w:r>
          </w:p>
        </w:tc>
        <w:tc>
          <w:tcPr>
            <w:tcW w:w="2482" w:type="dxa"/>
            <w:shd w:val="clear" w:color="auto" w:fill="FFCCCC"/>
          </w:tcPr>
          <w:p>
            <w:pPr>
              <w:pStyle w:val="TableParagraph"/>
              <w:ind w:left="904" w:right="887"/>
              <w:jc w:val="center"/>
              <w:rPr>
                <w:sz w:val="22"/>
              </w:rPr>
            </w:pPr>
            <w:r>
              <w:rPr>
                <w:sz w:val="22"/>
              </w:rPr>
              <w:t>Below</w:t>
            </w:r>
          </w:p>
        </w:tc>
        <w:tc>
          <w:tcPr>
            <w:tcW w:w="2482" w:type="dxa"/>
            <w:shd w:val="clear" w:color="auto" w:fill="FFE499"/>
          </w:tcPr>
          <w:p>
            <w:pPr>
              <w:pStyle w:val="TableParagraph"/>
              <w:ind w:left="904" w:right="894"/>
              <w:jc w:val="center"/>
              <w:rPr>
                <w:sz w:val="22"/>
              </w:rPr>
            </w:pPr>
            <w:r>
              <w:rPr>
                <w:sz w:val="22"/>
              </w:rPr>
              <w:t>Met</w:t>
            </w:r>
          </w:p>
        </w:tc>
      </w:tr>
      <w:tr>
        <w:trPr>
          <w:trHeight w:val="431" w:hRule="atLeast"/>
        </w:trPr>
        <w:tc>
          <w:tcPr>
            <w:tcW w:w="5103" w:type="dxa"/>
          </w:tcPr>
          <w:p>
            <w:pPr>
              <w:pStyle w:val="TableParagraph"/>
              <w:ind w:left="57"/>
              <w:rPr>
                <w:sz w:val="22"/>
              </w:rPr>
            </w:pPr>
            <w:r>
              <w:rPr>
                <w:sz w:val="22"/>
              </w:rPr>
              <w:t>Literacy – Reading</w:t>
            </w:r>
          </w:p>
        </w:tc>
        <w:tc>
          <w:tcPr>
            <w:tcW w:w="2482" w:type="dxa"/>
            <w:shd w:val="clear" w:color="auto" w:fill="C5DFB3"/>
          </w:tcPr>
          <w:p>
            <w:pPr>
              <w:pStyle w:val="TableParagraph"/>
              <w:ind w:left="904" w:right="891"/>
              <w:jc w:val="center"/>
              <w:rPr>
                <w:sz w:val="22"/>
              </w:rPr>
            </w:pPr>
            <w:r>
              <w:rPr>
                <w:sz w:val="22"/>
              </w:rPr>
              <w:t>Exceed</w:t>
            </w:r>
          </w:p>
        </w:tc>
        <w:tc>
          <w:tcPr>
            <w:tcW w:w="2482" w:type="dxa"/>
            <w:shd w:val="clear" w:color="auto" w:fill="C5DFB3"/>
          </w:tcPr>
          <w:p>
            <w:pPr>
              <w:pStyle w:val="TableParagraph"/>
              <w:ind w:left="902" w:right="894"/>
              <w:jc w:val="center"/>
              <w:rPr>
                <w:sz w:val="22"/>
              </w:rPr>
            </w:pPr>
            <w:r>
              <w:rPr>
                <w:sz w:val="22"/>
              </w:rPr>
              <w:t>Exceed</w:t>
            </w:r>
          </w:p>
        </w:tc>
      </w:tr>
      <w:tr>
        <w:trPr>
          <w:trHeight w:val="431" w:hRule="atLeast"/>
        </w:trPr>
        <w:tc>
          <w:tcPr>
            <w:tcW w:w="5103" w:type="dxa"/>
          </w:tcPr>
          <w:p>
            <w:pPr>
              <w:pStyle w:val="TableParagraph"/>
              <w:ind w:left="57"/>
              <w:rPr>
                <w:sz w:val="22"/>
              </w:rPr>
            </w:pPr>
            <w:r>
              <w:rPr>
                <w:sz w:val="22"/>
              </w:rPr>
              <w:t>Literacy – Matching</w:t>
            </w:r>
          </w:p>
        </w:tc>
        <w:tc>
          <w:tcPr>
            <w:tcW w:w="2482" w:type="dxa"/>
            <w:shd w:val="clear" w:color="auto" w:fill="C5DFB3"/>
          </w:tcPr>
          <w:p>
            <w:pPr>
              <w:pStyle w:val="TableParagraph"/>
              <w:ind w:left="904" w:right="891"/>
              <w:jc w:val="center"/>
              <w:rPr>
                <w:sz w:val="22"/>
              </w:rPr>
            </w:pPr>
            <w:r>
              <w:rPr>
                <w:sz w:val="22"/>
              </w:rPr>
              <w:t>Exceed</w:t>
            </w:r>
          </w:p>
        </w:tc>
        <w:tc>
          <w:tcPr>
            <w:tcW w:w="2482" w:type="dxa"/>
            <w:shd w:val="clear" w:color="auto" w:fill="C5DFB3"/>
          </w:tcPr>
          <w:p>
            <w:pPr>
              <w:pStyle w:val="TableParagraph"/>
              <w:ind w:left="902" w:right="894"/>
              <w:jc w:val="center"/>
              <w:rPr>
                <w:sz w:val="22"/>
              </w:rPr>
            </w:pPr>
            <w:r>
              <w:rPr>
                <w:sz w:val="22"/>
              </w:rPr>
              <w:t>Exceed</w:t>
            </w:r>
          </w:p>
        </w:tc>
      </w:tr>
      <w:tr>
        <w:trPr>
          <w:trHeight w:val="432" w:hRule="atLeast"/>
        </w:trPr>
        <w:tc>
          <w:tcPr>
            <w:tcW w:w="5103" w:type="dxa"/>
          </w:tcPr>
          <w:p>
            <w:pPr>
              <w:pStyle w:val="TableParagraph"/>
              <w:spacing w:before="57"/>
              <w:ind w:left="57"/>
              <w:rPr>
                <w:sz w:val="22"/>
              </w:rPr>
            </w:pPr>
            <w:r>
              <w:rPr>
                <w:sz w:val="22"/>
              </w:rPr>
              <w:t>Mathematics – Understanding Counting</w:t>
            </w:r>
          </w:p>
        </w:tc>
        <w:tc>
          <w:tcPr>
            <w:tcW w:w="2482" w:type="dxa"/>
            <w:shd w:val="clear" w:color="auto" w:fill="C5DFB3"/>
          </w:tcPr>
          <w:p>
            <w:pPr>
              <w:pStyle w:val="TableParagraph"/>
              <w:spacing w:before="57"/>
              <w:ind w:left="904" w:right="891"/>
              <w:jc w:val="center"/>
              <w:rPr>
                <w:sz w:val="22"/>
              </w:rPr>
            </w:pPr>
            <w:r>
              <w:rPr>
                <w:sz w:val="22"/>
              </w:rPr>
              <w:t>Exceed</w:t>
            </w:r>
          </w:p>
        </w:tc>
        <w:tc>
          <w:tcPr>
            <w:tcW w:w="2482" w:type="dxa"/>
            <w:shd w:val="clear" w:color="auto" w:fill="C5DFB3"/>
          </w:tcPr>
          <w:p>
            <w:pPr>
              <w:pStyle w:val="TableParagraph"/>
              <w:spacing w:before="57"/>
              <w:ind w:left="902" w:right="894"/>
              <w:jc w:val="center"/>
              <w:rPr>
                <w:sz w:val="22"/>
              </w:rPr>
            </w:pPr>
            <w:r>
              <w:rPr>
                <w:sz w:val="22"/>
              </w:rPr>
              <w:t>Exceed</w:t>
            </w:r>
          </w:p>
        </w:tc>
      </w:tr>
      <w:tr>
        <w:trPr>
          <w:trHeight w:val="433" w:hRule="atLeast"/>
        </w:trPr>
        <w:tc>
          <w:tcPr>
            <w:tcW w:w="5103" w:type="dxa"/>
          </w:tcPr>
          <w:p>
            <w:pPr>
              <w:pStyle w:val="TableParagraph"/>
              <w:ind w:left="57"/>
              <w:rPr>
                <w:sz w:val="22"/>
              </w:rPr>
            </w:pPr>
            <w:r>
              <w:rPr>
                <w:sz w:val="22"/>
              </w:rPr>
              <w:t>Mathematics – Number Recognition</w:t>
            </w:r>
          </w:p>
        </w:tc>
        <w:tc>
          <w:tcPr>
            <w:tcW w:w="2482" w:type="dxa"/>
            <w:shd w:val="clear" w:color="auto" w:fill="C5DFB3"/>
          </w:tcPr>
          <w:p>
            <w:pPr>
              <w:pStyle w:val="TableParagraph"/>
              <w:ind w:left="904" w:right="891"/>
              <w:jc w:val="center"/>
              <w:rPr>
                <w:sz w:val="22"/>
              </w:rPr>
            </w:pPr>
            <w:r>
              <w:rPr>
                <w:sz w:val="22"/>
              </w:rPr>
              <w:t>Exceed</w:t>
            </w:r>
          </w:p>
        </w:tc>
        <w:tc>
          <w:tcPr>
            <w:tcW w:w="2482" w:type="dxa"/>
            <w:shd w:val="clear" w:color="auto" w:fill="C5DFB3"/>
          </w:tcPr>
          <w:p>
            <w:pPr>
              <w:pStyle w:val="TableParagraph"/>
              <w:ind w:left="902" w:right="894"/>
              <w:jc w:val="center"/>
              <w:rPr>
                <w:sz w:val="22"/>
              </w:rPr>
            </w:pPr>
            <w:r>
              <w:rPr>
                <w:sz w:val="22"/>
              </w:rPr>
              <w:t>Exceed</w:t>
            </w:r>
          </w:p>
        </w:tc>
      </w:tr>
      <w:tr>
        <w:trPr>
          <w:trHeight w:val="431" w:hRule="atLeast"/>
        </w:trPr>
        <w:tc>
          <w:tcPr>
            <w:tcW w:w="5103" w:type="dxa"/>
          </w:tcPr>
          <w:p>
            <w:pPr>
              <w:pStyle w:val="TableParagraph"/>
              <w:spacing w:before="54"/>
              <w:ind w:left="57"/>
              <w:rPr>
                <w:sz w:val="22"/>
              </w:rPr>
            </w:pPr>
            <w:r>
              <w:rPr>
                <w:sz w:val="22"/>
              </w:rPr>
              <w:t>Mathematics – Quantity, shape and space</w:t>
            </w:r>
          </w:p>
        </w:tc>
        <w:tc>
          <w:tcPr>
            <w:tcW w:w="2482" w:type="dxa"/>
            <w:shd w:val="clear" w:color="auto" w:fill="C5DFB3"/>
          </w:tcPr>
          <w:p>
            <w:pPr>
              <w:pStyle w:val="TableParagraph"/>
              <w:spacing w:before="54"/>
              <w:ind w:left="904" w:right="891"/>
              <w:jc w:val="center"/>
              <w:rPr>
                <w:sz w:val="22"/>
              </w:rPr>
            </w:pPr>
            <w:r>
              <w:rPr>
                <w:sz w:val="22"/>
              </w:rPr>
              <w:t>Exceed</w:t>
            </w:r>
          </w:p>
        </w:tc>
        <w:tc>
          <w:tcPr>
            <w:tcW w:w="2482" w:type="dxa"/>
            <w:shd w:val="clear" w:color="auto" w:fill="C5DFB3"/>
          </w:tcPr>
          <w:p>
            <w:pPr>
              <w:pStyle w:val="TableParagraph"/>
              <w:spacing w:before="54"/>
              <w:ind w:left="902" w:right="894"/>
              <w:jc w:val="center"/>
              <w:rPr>
                <w:sz w:val="22"/>
              </w:rPr>
            </w:pPr>
            <w:r>
              <w:rPr>
                <w:sz w:val="22"/>
              </w:rPr>
              <w:t>Exceed</w:t>
            </w:r>
          </w:p>
        </w:tc>
      </w:tr>
      <w:tr>
        <w:trPr>
          <w:trHeight w:val="431" w:hRule="atLeast"/>
        </w:trPr>
        <w:tc>
          <w:tcPr>
            <w:tcW w:w="5103" w:type="dxa"/>
          </w:tcPr>
          <w:p>
            <w:pPr>
              <w:pStyle w:val="TableParagraph"/>
              <w:ind w:left="57"/>
              <w:rPr>
                <w:sz w:val="22"/>
              </w:rPr>
            </w:pPr>
            <w:r>
              <w:rPr>
                <w:sz w:val="22"/>
              </w:rPr>
              <w:t>Mathematics – Numeracy</w:t>
            </w:r>
          </w:p>
        </w:tc>
        <w:tc>
          <w:tcPr>
            <w:tcW w:w="2482" w:type="dxa"/>
            <w:shd w:val="clear" w:color="auto" w:fill="C5DFB3"/>
          </w:tcPr>
          <w:p>
            <w:pPr>
              <w:pStyle w:val="TableParagraph"/>
              <w:ind w:left="904" w:right="891"/>
              <w:jc w:val="center"/>
              <w:rPr>
                <w:sz w:val="22"/>
              </w:rPr>
            </w:pPr>
            <w:r>
              <w:rPr>
                <w:sz w:val="22"/>
              </w:rPr>
              <w:t>Exceed</w:t>
            </w:r>
          </w:p>
        </w:tc>
        <w:tc>
          <w:tcPr>
            <w:tcW w:w="2482" w:type="dxa"/>
            <w:shd w:val="clear" w:color="auto" w:fill="C5DFB3"/>
          </w:tcPr>
          <w:p>
            <w:pPr>
              <w:pStyle w:val="TableParagraph"/>
              <w:ind w:left="902" w:right="894"/>
              <w:jc w:val="center"/>
              <w:rPr>
                <w:sz w:val="22"/>
              </w:rPr>
            </w:pPr>
            <w:r>
              <w:rPr>
                <w:sz w:val="22"/>
              </w:rPr>
              <w:t>Exceed</w:t>
            </w:r>
          </w:p>
        </w:tc>
      </w:tr>
    </w:tbl>
    <w:p>
      <w:pPr>
        <w:spacing w:after="0"/>
        <w:jc w:val="center"/>
        <w:rPr>
          <w:sz w:val="22"/>
        </w:rPr>
        <w:sectPr>
          <w:pgSz w:w="11910" w:h="16840"/>
          <w:pgMar w:header="0" w:footer="1046" w:top="1420" w:bottom="1240" w:left="680" w:right="660"/>
        </w:sectPr>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31"/>
        <w:gridCol w:w="1278"/>
        <w:gridCol w:w="992"/>
        <w:gridCol w:w="995"/>
        <w:gridCol w:w="1134"/>
      </w:tblGrid>
      <w:tr>
        <w:trPr>
          <w:trHeight w:val="383" w:hRule="atLeast"/>
        </w:trPr>
        <w:tc>
          <w:tcPr>
            <w:tcW w:w="5531" w:type="dxa"/>
            <w:shd w:val="clear" w:color="auto" w:fill="D9D9D9"/>
          </w:tcPr>
          <w:p>
            <w:pPr>
              <w:pStyle w:val="TableParagraph"/>
              <w:ind w:left="57"/>
              <w:rPr>
                <w:b/>
                <w:sz w:val="22"/>
              </w:rPr>
            </w:pPr>
            <w:r>
              <w:rPr>
                <w:b/>
                <w:sz w:val="22"/>
              </w:rPr>
              <w:t>Target or Measure</w:t>
            </w:r>
          </w:p>
        </w:tc>
        <w:tc>
          <w:tcPr>
            <w:tcW w:w="1278" w:type="dxa"/>
            <w:shd w:val="clear" w:color="auto" w:fill="D9D9D9"/>
          </w:tcPr>
          <w:p>
            <w:pPr>
              <w:pStyle w:val="TableParagraph"/>
              <w:ind w:left="54"/>
              <w:rPr>
                <w:b/>
                <w:sz w:val="22"/>
              </w:rPr>
            </w:pPr>
            <w:r>
              <w:rPr>
                <w:b/>
                <w:sz w:val="22"/>
              </w:rPr>
              <w:t>Area</w:t>
            </w:r>
          </w:p>
        </w:tc>
        <w:tc>
          <w:tcPr>
            <w:tcW w:w="992" w:type="dxa"/>
            <w:shd w:val="clear" w:color="auto" w:fill="D9D9D9"/>
          </w:tcPr>
          <w:p>
            <w:pPr>
              <w:pStyle w:val="TableParagraph"/>
              <w:ind w:left="198" w:right="194"/>
              <w:jc w:val="center"/>
              <w:rPr>
                <w:b/>
                <w:sz w:val="22"/>
              </w:rPr>
            </w:pPr>
            <w:r>
              <w:rPr>
                <w:b/>
                <w:sz w:val="22"/>
              </w:rPr>
              <w:t>Base</w:t>
            </w:r>
          </w:p>
        </w:tc>
        <w:tc>
          <w:tcPr>
            <w:tcW w:w="995" w:type="dxa"/>
            <w:shd w:val="clear" w:color="auto" w:fill="D9D9D9"/>
          </w:tcPr>
          <w:p>
            <w:pPr>
              <w:pStyle w:val="TableParagraph"/>
              <w:ind w:left="198" w:right="198"/>
              <w:jc w:val="center"/>
              <w:rPr>
                <w:b/>
                <w:sz w:val="22"/>
              </w:rPr>
            </w:pPr>
            <w:r>
              <w:rPr>
                <w:b/>
                <w:sz w:val="22"/>
              </w:rPr>
              <w:t>2019</w:t>
            </w:r>
          </w:p>
        </w:tc>
        <w:tc>
          <w:tcPr>
            <w:tcW w:w="1134" w:type="dxa"/>
            <w:shd w:val="clear" w:color="auto" w:fill="D9D9D9"/>
          </w:tcPr>
          <w:p>
            <w:pPr>
              <w:pStyle w:val="TableParagraph"/>
              <w:ind w:left="337"/>
              <w:rPr>
                <w:b/>
                <w:sz w:val="22"/>
              </w:rPr>
            </w:pPr>
            <w:r>
              <w:rPr>
                <w:b/>
                <w:sz w:val="22"/>
              </w:rPr>
              <w:t>2020</w:t>
            </w:r>
          </w:p>
        </w:tc>
      </w:tr>
      <w:tr>
        <w:trPr>
          <w:trHeight w:val="384" w:hRule="atLeast"/>
        </w:trPr>
        <w:tc>
          <w:tcPr>
            <w:tcW w:w="5531" w:type="dxa"/>
            <w:vMerge w:val="restart"/>
          </w:tcPr>
          <w:p>
            <w:pPr>
              <w:pStyle w:val="TableParagraph"/>
              <w:spacing w:before="57"/>
              <w:ind w:left="57" w:right="284"/>
              <w:jc w:val="both"/>
              <w:rPr>
                <w:sz w:val="22"/>
              </w:rPr>
            </w:pPr>
            <w:r>
              <w:rPr>
                <w:sz w:val="22"/>
              </w:rPr>
              <w:t>% of students in the top two proficiency bands in NAPLAN Reading, Writing and Numeracy is equal to similar schools (Year 3)</w:t>
            </w:r>
          </w:p>
        </w:tc>
        <w:tc>
          <w:tcPr>
            <w:tcW w:w="1278" w:type="dxa"/>
          </w:tcPr>
          <w:p>
            <w:pPr>
              <w:pStyle w:val="TableParagraph"/>
              <w:spacing w:before="57"/>
              <w:ind w:left="54"/>
              <w:rPr>
                <w:sz w:val="22"/>
              </w:rPr>
            </w:pPr>
            <w:r>
              <w:rPr>
                <w:sz w:val="22"/>
              </w:rPr>
              <w:t>Read</w:t>
            </w:r>
          </w:p>
        </w:tc>
        <w:tc>
          <w:tcPr>
            <w:tcW w:w="992" w:type="dxa"/>
          </w:tcPr>
          <w:p>
            <w:pPr>
              <w:pStyle w:val="TableParagraph"/>
              <w:spacing w:before="57"/>
              <w:ind w:left="199" w:right="194"/>
              <w:jc w:val="center"/>
              <w:rPr>
                <w:sz w:val="22"/>
              </w:rPr>
            </w:pPr>
            <w:r>
              <w:rPr>
                <w:sz w:val="22"/>
              </w:rPr>
              <w:t>-8.5</w:t>
            </w:r>
          </w:p>
        </w:tc>
        <w:tc>
          <w:tcPr>
            <w:tcW w:w="995" w:type="dxa"/>
          </w:tcPr>
          <w:p>
            <w:pPr>
              <w:pStyle w:val="TableParagraph"/>
              <w:spacing w:before="57"/>
              <w:ind w:left="198" w:right="197"/>
              <w:jc w:val="center"/>
              <w:rPr>
                <w:sz w:val="22"/>
              </w:rPr>
            </w:pPr>
            <w:r>
              <w:rPr>
                <w:sz w:val="22"/>
              </w:rPr>
              <w:t>+5.2</w:t>
            </w:r>
          </w:p>
        </w:tc>
        <w:tc>
          <w:tcPr>
            <w:tcW w:w="1134" w:type="dxa"/>
            <w:vMerge w:val="restart"/>
            <w:shd w:val="clear" w:color="auto" w:fill="D9D9D9"/>
          </w:tcPr>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9"/>
              <w:rPr>
                <w:rFonts w:ascii="Calibri Light"/>
                <w:b w:val="0"/>
                <w:i/>
                <w:sz w:val="32"/>
              </w:rPr>
            </w:pPr>
          </w:p>
          <w:p>
            <w:pPr>
              <w:pStyle w:val="TableParagraph"/>
              <w:spacing w:before="0"/>
              <w:ind w:left="265" w:right="246" w:firstLine="110"/>
              <w:rPr>
                <w:b/>
                <w:sz w:val="22"/>
              </w:rPr>
            </w:pPr>
            <w:r>
              <w:rPr>
                <w:b/>
                <w:sz w:val="22"/>
              </w:rPr>
              <w:t>N/A COVID</w:t>
            </w:r>
          </w:p>
        </w:tc>
      </w:tr>
      <w:tr>
        <w:trPr>
          <w:trHeight w:val="385" w:hRule="atLeast"/>
        </w:trPr>
        <w:tc>
          <w:tcPr>
            <w:tcW w:w="5531" w:type="dxa"/>
            <w:vMerge/>
            <w:tcBorders>
              <w:top w:val="nil"/>
            </w:tcBorders>
          </w:tcPr>
          <w:p>
            <w:pPr>
              <w:rPr>
                <w:sz w:val="2"/>
                <w:szCs w:val="2"/>
              </w:rPr>
            </w:pPr>
          </w:p>
        </w:tc>
        <w:tc>
          <w:tcPr>
            <w:tcW w:w="1278" w:type="dxa"/>
          </w:tcPr>
          <w:p>
            <w:pPr>
              <w:pStyle w:val="TableParagraph"/>
              <w:ind w:left="54"/>
              <w:rPr>
                <w:sz w:val="22"/>
              </w:rPr>
            </w:pPr>
            <w:r>
              <w:rPr>
                <w:sz w:val="22"/>
              </w:rPr>
              <w:t>Write</w:t>
            </w:r>
          </w:p>
        </w:tc>
        <w:tc>
          <w:tcPr>
            <w:tcW w:w="992" w:type="dxa"/>
          </w:tcPr>
          <w:p>
            <w:pPr>
              <w:pStyle w:val="TableParagraph"/>
              <w:ind w:left="199" w:right="194"/>
              <w:jc w:val="center"/>
              <w:rPr>
                <w:sz w:val="22"/>
              </w:rPr>
            </w:pPr>
            <w:r>
              <w:rPr>
                <w:sz w:val="22"/>
              </w:rPr>
              <w:t>-3.1</w:t>
            </w:r>
          </w:p>
        </w:tc>
        <w:tc>
          <w:tcPr>
            <w:tcW w:w="995" w:type="dxa"/>
          </w:tcPr>
          <w:p>
            <w:pPr>
              <w:pStyle w:val="TableParagraph"/>
              <w:ind w:left="197" w:right="198"/>
              <w:jc w:val="center"/>
              <w:rPr>
                <w:sz w:val="22"/>
              </w:rPr>
            </w:pPr>
            <w:r>
              <w:rPr>
                <w:sz w:val="22"/>
              </w:rPr>
              <w:t>-25.4</w:t>
            </w:r>
          </w:p>
        </w:tc>
        <w:tc>
          <w:tcPr>
            <w:tcW w:w="1134" w:type="dxa"/>
            <w:vMerge/>
            <w:tcBorders>
              <w:top w:val="nil"/>
            </w:tcBorders>
            <w:shd w:val="clear" w:color="auto" w:fill="D9D9D9"/>
          </w:tcPr>
          <w:p>
            <w:pPr>
              <w:rPr>
                <w:sz w:val="2"/>
                <w:szCs w:val="2"/>
              </w:rPr>
            </w:pPr>
          </w:p>
        </w:tc>
      </w:tr>
      <w:tr>
        <w:trPr>
          <w:trHeight w:val="383" w:hRule="atLeast"/>
        </w:trPr>
        <w:tc>
          <w:tcPr>
            <w:tcW w:w="5531" w:type="dxa"/>
            <w:vMerge/>
            <w:tcBorders>
              <w:top w:val="nil"/>
            </w:tcBorders>
          </w:tcPr>
          <w:p>
            <w:pPr>
              <w:rPr>
                <w:sz w:val="2"/>
                <w:szCs w:val="2"/>
              </w:rPr>
            </w:pPr>
          </w:p>
        </w:tc>
        <w:tc>
          <w:tcPr>
            <w:tcW w:w="1278" w:type="dxa"/>
          </w:tcPr>
          <w:p>
            <w:pPr>
              <w:pStyle w:val="TableParagraph"/>
              <w:spacing w:before="54"/>
              <w:ind w:left="54"/>
              <w:rPr>
                <w:sz w:val="22"/>
              </w:rPr>
            </w:pPr>
            <w:r>
              <w:rPr>
                <w:sz w:val="22"/>
              </w:rPr>
              <w:t>Number</w:t>
            </w:r>
          </w:p>
        </w:tc>
        <w:tc>
          <w:tcPr>
            <w:tcW w:w="992" w:type="dxa"/>
          </w:tcPr>
          <w:p>
            <w:pPr>
              <w:pStyle w:val="TableParagraph"/>
              <w:spacing w:before="54"/>
              <w:ind w:left="197" w:right="194"/>
              <w:jc w:val="center"/>
              <w:rPr>
                <w:sz w:val="22"/>
              </w:rPr>
            </w:pPr>
            <w:r>
              <w:rPr>
                <w:sz w:val="22"/>
              </w:rPr>
              <w:t>-10.1</w:t>
            </w:r>
          </w:p>
        </w:tc>
        <w:tc>
          <w:tcPr>
            <w:tcW w:w="995" w:type="dxa"/>
          </w:tcPr>
          <w:p>
            <w:pPr>
              <w:pStyle w:val="TableParagraph"/>
              <w:spacing w:before="54"/>
              <w:ind w:left="197" w:right="198"/>
              <w:jc w:val="center"/>
              <w:rPr>
                <w:sz w:val="22"/>
              </w:rPr>
            </w:pPr>
            <w:r>
              <w:rPr>
                <w:sz w:val="22"/>
              </w:rPr>
              <w:t>-18.2</w:t>
            </w:r>
          </w:p>
        </w:tc>
        <w:tc>
          <w:tcPr>
            <w:tcW w:w="1134" w:type="dxa"/>
            <w:vMerge/>
            <w:tcBorders>
              <w:top w:val="nil"/>
            </w:tcBorders>
            <w:shd w:val="clear" w:color="auto" w:fill="D9D9D9"/>
          </w:tcPr>
          <w:p>
            <w:pPr>
              <w:rPr>
                <w:sz w:val="2"/>
                <w:szCs w:val="2"/>
              </w:rPr>
            </w:pPr>
          </w:p>
        </w:tc>
      </w:tr>
      <w:tr>
        <w:trPr>
          <w:trHeight w:val="383" w:hRule="atLeast"/>
        </w:trPr>
        <w:tc>
          <w:tcPr>
            <w:tcW w:w="5531" w:type="dxa"/>
            <w:vMerge w:val="restart"/>
          </w:tcPr>
          <w:p>
            <w:pPr>
              <w:pStyle w:val="TableParagraph"/>
              <w:spacing w:before="54"/>
              <w:ind w:left="57" w:right="284"/>
              <w:jc w:val="both"/>
              <w:rPr>
                <w:sz w:val="22"/>
              </w:rPr>
            </w:pPr>
            <w:r>
              <w:rPr>
                <w:sz w:val="22"/>
              </w:rPr>
              <w:t>% of students in the top two proficiency bands in NAPLAN Reading, Writing and Numeracy is equal to similar schools (Year 5)</w:t>
            </w:r>
          </w:p>
        </w:tc>
        <w:tc>
          <w:tcPr>
            <w:tcW w:w="1278" w:type="dxa"/>
          </w:tcPr>
          <w:p>
            <w:pPr>
              <w:pStyle w:val="TableParagraph"/>
              <w:spacing w:before="54"/>
              <w:ind w:left="54"/>
              <w:rPr>
                <w:sz w:val="22"/>
              </w:rPr>
            </w:pPr>
            <w:r>
              <w:rPr>
                <w:sz w:val="22"/>
              </w:rPr>
              <w:t>Read</w:t>
            </w:r>
          </w:p>
        </w:tc>
        <w:tc>
          <w:tcPr>
            <w:tcW w:w="992" w:type="dxa"/>
          </w:tcPr>
          <w:p>
            <w:pPr>
              <w:pStyle w:val="TableParagraph"/>
              <w:spacing w:before="54"/>
              <w:ind w:left="199" w:right="194"/>
              <w:jc w:val="center"/>
              <w:rPr>
                <w:sz w:val="22"/>
              </w:rPr>
            </w:pPr>
            <w:r>
              <w:rPr>
                <w:sz w:val="22"/>
              </w:rPr>
              <w:t>-3.7</w:t>
            </w:r>
          </w:p>
        </w:tc>
        <w:tc>
          <w:tcPr>
            <w:tcW w:w="995" w:type="dxa"/>
          </w:tcPr>
          <w:p>
            <w:pPr>
              <w:pStyle w:val="TableParagraph"/>
              <w:spacing w:before="54"/>
              <w:ind w:left="198" w:right="197"/>
              <w:jc w:val="center"/>
              <w:rPr>
                <w:sz w:val="22"/>
              </w:rPr>
            </w:pPr>
            <w:r>
              <w:rPr>
                <w:sz w:val="22"/>
              </w:rPr>
              <w:t>-4.8</w:t>
            </w:r>
          </w:p>
        </w:tc>
        <w:tc>
          <w:tcPr>
            <w:tcW w:w="1134" w:type="dxa"/>
            <w:vMerge/>
            <w:tcBorders>
              <w:top w:val="nil"/>
            </w:tcBorders>
            <w:shd w:val="clear" w:color="auto" w:fill="D9D9D9"/>
          </w:tcPr>
          <w:p>
            <w:pPr>
              <w:rPr>
                <w:sz w:val="2"/>
                <w:szCs w:val="2"/>
              </w:rPr>
            </w:pPr>
          </w:p>
        </w:tc>
      </w:tr>
      <w:tr>
        <w:trPr>
          <w:trHeight w:val="383" w:hRule="atLeast"/>
        </w:trPr>
        <w:tc>
          <w:tcPr>
            <w:tcW w:w="5531" w:type="dxa"/>
            <w:vMerge/>
            <w:tcBorders>
              <w:top w:val="nil"/>
            </w:tcBorders>
          </w:tcPr>
          <w:p>
            <w:pPr>
              <w:rPr>
                <w:sz w:val="2"/>
                <w:szCs w:val="2"/>
              </w:rPr>
            </w:pPr>
          </w:p>
        </w:tc>
        <w:tc>
          <w:tcPr>
            <w:tcW w:w="1278" w:type="dxa"/>
          </w:tcPr>
          <w:p>
            <w:pPr>
              <w:pStyle w:val="TableParagraph"/>
              <w:ind w:left="54"/>
              <w:rPr>
                <w:sz w:val="22"/>
              </w:rPr>
            </w:pPr>
            <w:r>
              <w:rPr>
                <w:sz w:val="22"/>
              </w:rPr>
              <w:t>Write</w:t>
            </w:r>
          </w:p>
        </w:tc>
        <w:tc>
          <w:tcPr>
            <w:tcW w:w="992" w:type="dxa"/>
          </w:tcPr>
          <w:p>
            <w:pPr>
              <w:pStyle w:val="TableParagraph"/>
              <w:ind w:left="197" w:right="194"/>
              <w:jc w:val="center"/>
              <w:rPr>
                <w:sz w:val="22"/>
              </w:rPr>
            </w:pPr>
            <w:r>
              <w:rPr>
                <w:sz w:val="22"/>
              </w:rPr>
              <w:t>+.2</w:t>
            </w:r>
          </w:p>
        </w:tc>
        <w:tc>
          <w:tcPr>
            <w:tcW w:w="995" w:type="dxa"/>
          </w:tcPr>
          <w:p>
            <w:pPr>
              <w:pStyle w:val="TableParagraph"/>
              <w:ind w:left="198" w:right="197"/>
              <w:jc w:val="center"/>
              <w:rPr>
                <w:sz w:val="22"/>
              </w:rPr>
            </w:pPr>
            <w:r>
              <w:rPr>
                <w:sz w:val="22"/>
              </w:rPr>
              <w:t>-6.4</w:t>
            </w:r>
          </w:p>
        </w:tc>
        <w:tc>
          <w:tcPr>
            <w:tcW w:w="1134" w:type="dxa"/>
            <w:vMerge/>
            <w:tcBorders>
              <w:top w:val="nil"/>
            </w:tcBorders>
            <w:shd w:val="clear" w:color="auto" w:fill="D9D9D9"/>
          </w:tcPr>
          <w:p>
            <w:pPr>
              <w:rPr>
                <w:sz w:val="2"/>
                <w:szCs w:val="2"/>
              </w:rPr>
            </w:pPr>
          </w:p>
        </w:tc>
      </w:tr>
      <w:tr>
        <w:trPr>
          <w:trHeight w:val="383" w:hRule="atLeast"/>
        </w:trPr>
        <w:tc>
          <w:tcPr>
            <w:tcW w:w="5531" w:type="dxa"/>
            <w:vMerge/>
            <w:tcBorders>
              <w:top w:val="nil"/>
            </w:tcBorders>
          </w:tcPr>
          <w:p>
            <w:pPr>
              <w:rPr>
                <w:sz w:val="2"/>
                <w:szCs w:val="2"/>
              </w:rPr>
            </w:pPr>
          </w:p>
        </w:tc>
        <w:tc>
          <w:tcPr>
            <w:tcW w:w="1278" w:type="dxa"/>
          </w:tcPr>
          <w:p>
            <w:pPr>
              <w:pStyle w:val="TableParagraph"/>
              <w:ind w:left="54"/>
              <w:rPr>
                <w:sz w:val="22"/>
              </w:rPr>
            </w:pPr>
            <w:r>
              <w:rPr>
                <w:sz w:val="22"/>
              </w:rPr>
              <w:t>Number</w:t>
            </w:r>
          </w:p>
        </w:tc>
        <w:tc>
          <w:tcPr>
            <w:tcW w:w="992" w:type="dxa"/>
          </w:tcPr>
          <w:p>
            <w:pPr>
              <w:pStyle w:val="TableParagraph"/>
              <w:ind w:left="199" w:right="194"/>
              <w:jc w:val="center"/>
              <w:rPr>
                <w:sz w:val="22"/>
              </w:rPr>
            </w:pPr>
            <w:r>
              <w:rPr>
                <w:sz w:val="22"/>
              </w:rPr>
              <w:t>-8.6</w:t>
            </w:r>
          </w:p>
        </w:tc>
        <w:tc>
          <w:tcPr>
            <w:tcW w:w="995" w:type="dxa"/>
          </w:tcPr>
          <w:p>
            <w:pPr>
              <w:pStyle w:val="TableParagraph"/>
              <w:ind w:left="197" w:right="198"/>
              <w:jc w:val="center"/>
              <w:rPr>
                <w:sz w:val="22"/>
              </w:rPr>
            </w:pPr>
            <w:r>
              <w:rPr>
                <w:sz w:val="22"/>
              </w:rPr>
              <w:t>-10.4</w:t>
            </w:r>
          </w:p>
        </w:tc>
        <w:tc>
          <w:tcPr>
            <w:tcW w:w="1134" w:type="dxa"/>
            <w:vMerge/>
            <w:tcBorders>
              <w:top w:val="nil"/>
            </w:tcBorders>
            <w:shd w:val="clear" w:color="auto" w:fill="D9D9D9"/>
          </w:tcPr>
          <w:p>
            <w:pPr>
              <w:rPr>
                <w:sz w:val="2"/>
                <w:szCs w:val="2"/>
              </w:rPr>
            </w:pPr>
          </w:p>
        </w:tc>
      </w:tr>
      <w:tr>
        <w:trPr>
          <w:trHeight w:val="383" w:hRule="atLeast"/>
        </w:trPr>
        <w:tc>
          <w:tcPr>
            <w:tcW w:w="5531" w:type="dxa"/>
            <w:vMerge w:val="restart"/>
          </w:tcPr>
          <w:p>
            <w:pPr>
              <w:pStyle w:val="TableParagraph"/>
              <w:ind w:left="57" w:right="42"/>
              <w:rPr>
                <w:sz w:val="22"/>
              </w:rPr>
            </w:pPr>
            <w:r>
              <w:rPr>
                <w:sz w:val="22"/>
              </w:rPr>
              <w:t>Decrease the percentage of students in the lower two bands in Reading, Writing and Numeracy by 5% or greater (Year 3)</w:t>
            </w:r>
          </w:p>
        </w:tc>
        <w:tc>
          <w:tcPr>
            <w:tcW w:w="1278" w:type="dxa"/>
          </w:tcPr>
          <w:p>
            <w:pPr>
              <w:pStyle w:val="TableParagraph"/>
              <w:ind w:left="54"/>
              <w:rPr>
                <w:sz w:val="22"/>
              </w:rPr>
            </w:pPr>
            <w:r>
              <w:rPr>
                <w:sz w:val="22"/>
              </w:rPr>
              <w:t>Read</w:t>
            </w:r>
          </w:p>
        </w:tc>
        <w:tc>
          <w:tcPr>
            <w:tcW w:w="992" w:type="dxa"/>
          </w:tcPr>
          <w:p>
            <w:pPr>
              <w:pStyle w:val="TableParagraph"/>
              <w:ind w:left="199" w:right="194"/>
              <w:jc w:val="center"/>
              <w:rPr>
                <w:sz w:val="22"/>
              </w:rPr>
            </w:pPr>
            <w:r>
              <w:rPr>
                <w:sz w:val="22"/>
              </w:rPr>
              <w:t>16.3%</w:t>
            </w:r>
          </w:p>
        </w:tc>
        <w:tc>
          <w:tcPr>
            <w:tcW w:w="995" w:type="dxa"/>
          </w:tcPr>
          <w:p>
            <w:pPr>
              <w:pStyle w:val="TableParagraph"/>
              <w:ind w:left="198" w:right="197"/>
              <w:jc w:val="center"/>
              <w:rPr>
                <w:sz w:val="22"/>
              </w:rPr>
            </w:pPr>
            <w:r>
              <w:rPr>
                <w:sz w:val="22"/>
              </w:rPr>
              <w:t>12%</w:t>
            </w:r>
          </w:p>
        </w:tc>
        <w:tc>
          <w:tcPr>
            <w:tcW w:w="1134" w:type="dxa"/>
            <w:vMerge/>
            <w:tcBorders>
              <w:top w:val="nil"/>
            </w:tcBorders>
            <w:shd w:val="clear" w:color="auto" w:fill="D9D9D9"/>
          </w:tcPr>
          <w:p>
            <w:pPr>
              <w:rPr>
                <w:sz w:val="2"/>
                <w:szCs w:val="2"/>
              </w:rPr>
            </w:pPr>
          </w:p>
        </w:tc>
      </w:tr>
      <w:tr>
        <w:trPr>
          <w:trHeight w:val="386" w:hRule="atLeast"/>
        </w:trPr>
        <w:tc>
          <w:tcPr>
            <w:tcW w:w="5531" w:type="dxa"/>
            <w:vMerge/>
            <w:tcBorders>
              <w:top w:val="nil"/>
            </w:tcBorders>
          </w:tcPr>
          <w:p>
            <w:pPr>
              <w:rPr>
                <w:sz w:val="2"/>
                <w:szCs w:val="2"/>
              </w:rPr>
            </w:pPr>
          </w:p>
        </w:tc>
        <w:tc>
          <w:tcPr>
            <w:tcW w:w="1278" w:type="dxa"/>
          </w:tcPr>
          <w:p>
            <w:pPr>
              <w:pStyle w:val="TableParagraph"/>
              <w:ind w:left="54"/>
              <w:rPr>
                <w:sz w:val="22"/>
              </w:rPr>
            </w:pPr>
            <w:r>
              <w:rPr>
                <w:sz w:val="22"/>
              </w:rPr>
              <w:t>Write</w:t>
            </w:r>
          </w:p>
        </w:tc>
        <w:tc>
          <w:tcPr>
            <w:tcW w:w="992" w:type="dxa"/>
          </w:tcPr>
          <w:p>
            <w:pPr>
              <w:pStyle w:val="TableParagraph"/>
              <w:ind w:left="199" w:right="194"/>
              <w:jc w:val="center"/>
              <w:rPr>
                <w:sz w:val="22"/>
              </w:rPr>
            </w:pPr>
            <w:r>
              <w:rPr>
                <w:sz w:val="22"/>
              </w:rPr>
              <w:t>6.3%</w:t>
            </w:r>
          </w:p>
        </w:tc>
        <w:tc>
          <w:tcPr>
            <w:tcW w:w="995" w:type="dxa"/>
          </w:tcPr>
          <w:p>
            <w:pPr>
              <w:pStyle w:val="TableParagraph"/>
              <w:ind w:left="198" w:right="198"/>
              <w:jc w:val="center"/>
              <w:rPr>
                <w:sz w:val="22"/>
              </w:rPr>
            </w:pPr>
            <w:r>
              <w:rPr>
                <w:sz w:val="22"/>
              </w:rPr>
              <w:t>3.7%</w:t>
            </w:r>
          </w:p>
        </w:tc>
        <w:tc>
          <w:tcPr>
            <w:tcW w:w="1134" w:type="dxa"/>
            <w:vMerge/>
            <w:tcBorders>
              <w:top w:val="nil"/>
            </w:tcBorders>
            <w:shd w:val="clear" w:color="auto" w:fill="D9D9D9"/>
          </w:tcPr>
          <w:p>
            <w:pPr>
              <w:rPr>
                <w:sz w:val="2"/>
                <w:szCs w:val="2"/>
              </w:rPr>
            </w:pPr>
          </w:p>
        </w:tc>
      </w:tr>
      <w:tr>
        <w:trPr>
          <w:trHeight w:val="383" w:hRule="atLeast"/>
        </w:trPr>
        <w:tc>
          <w:tcPr>
            <w:tcW w:w="5531" w:type="dxa"/>
            <w:vMerge/>
            <w:tcBorders>
              <w:top w:val="nil"/>
            </w:tcBorders>
          </w:tcPr>
          <w:p>
            <w:pPr>
              <w:rPr>
                <w:sz w:val="2"/>
                <w:szCs w:val="2"/>
              </w:rPr>
            </w:pPr>
          </w:p>
        </w:tc>
        <w:tc>
          <w:tcPr>
            <w:tcW w:w="1278" w:type="dxa"/>
          </w:tcPr>
          <w:p>
            <w:pPr>
              <w:pStyle w:val="TableParagraph"/>
              <w:spacing w:before="54"/>
              <w:ind w:left="54"/>
              <w:rPr>
                <w:sz w:val="22"/>
              </w:rPr>
            </w:pPr>
            <w:r>
              <w:rPr>
                <w:sz w:val="22"/>
              </w:rPr>
              <w:t>Number</w:t>
            </w:r>
          </w:p>
        </w:tc>
        <w:tc>
          <w:tcPr>
            <w:tcW w:w="992" w:type="dxa"/>
          </w:tcPr>
          <w:p>
            <w:pPr>
              <w:pStyle w:val="TableParagraph"/>
              <w:spacing w:before="54"/>
              <w:ind w:left="199" w:right="194"/>
              <w:jc w:val="center"/>
              <w:rPr>
                <w:sz w:val="22"/>
              </w:rPr>
            </w:pPr>
            <w:r>
              <w:rPr>
                <w:sz w:val="22"/>
              </w:rPr>
              <w:t>15.9%</w:t>
            </w:r>
          </w:p>
        </w:tc>
        <w:tc>
          <w:tcPr>
            <w:tcW w:w="995" w:type="dxa"/>
          </w:tcPr>
          <w:p>
            <w:pPr>
              <w:pStyle w:val="TableParagraph"/>
              <w:spacing w:before="54"/>
              <w:ind w:left="198" w:right="197"/>
              <w:jc w:val="center"/>
              <w:rPr>
                <w:sz w:val="22"/>
              </w:rPr>
            </w:pPr>
            <w:r>
              <w:rPr>
                <w:sz w:val="22"/>
              </w:rPr>
              <w:t>20%</w:t>
            </w:r>
          </w:p>
        </w:tc>
        <w:tc>
          <w:tcPr>
            <w:tcW w:w="1134" w:type="dxa"/>
            <w:vMerge/>
            <w:tcBorders>
              <w:top w:val="nil"/>
            </w:tcBorders>
            <w:shd w:val="clear" w:color="auto" w:fill="D9D9D9"/>
          </w:tcPr>
          <w:p>
            <w:pPr>
              <w:rPr>
                <w:sz w:val="2"/>
                <w:szCs w:val="2"/>
              </w:rPr>
            </w:pPr>
          </w:p>
        </w:tc>
      </w:tr>
      <w:tr>
        <w:trPr>
          <w:trHeight w:val="384" w:hRule="atLeast"/>
        </w:trPr>
        <w:tc>
          <w:tcPr>
            <w:tcW w:w="5531" w:type="dxa"/>
            <w:vMerge w:val="restart"/>
          </w:tcPr>
          <w:p>
            <w:pPr>
              <w:pStyle w:val="TableParagraph"/>
              <w:spacing w:before="54"/>
              <w:ind w:left="57" w:right="42"/>
              <w:rPr>
                <w:sz w:val="22"/>
              </w:rPr>
            </w:pPr>
            <w:r>
              <w:rPr>
                <w:sz w:val="22"/>
              </w:rPr>
              <w:t>Decrease the percentage of students in the lower two bands in Reading, Writing and Numeracy by 5 % or greater (Year 5)</w:t>
            </w:r>
          </w:p>
        </w:tc>
        <w:tc>
          <w:tcPr>
            <w:tcW w:w="1278" w:type="dxa"/>
          </w:tcPr>
          <w:p>
            <w:pPr>
              <w:pStyle w:val="TableParagraph"/>
              <w:spacing w:before="54"/>
              <w:ind w:left="54"/>
              <w:rPr>
                <w:sz w:val="22"/>
              </w:rPr>
            </w:pPr>
            <w:r>
              <w:rPr>
                <w:sz w:val="22"/>
              </w:rPr>
              <w:t>Read</w:t>
            </w:r>
          </w:p>
        </w:tc>
        <w:tc>
          <w:tcPr>
            <w:tcW w:w="992" w:type="dxa"/>
          </w:tcPr>
          <w:p>
            <w:pPr>
              <w:pStyle w:val="TableParagraph"/>
              <w:spacing w:before="54"/>
              <w:ind w:left="199" w:right="194"/>
              <w:jc w:val="center"/>
              <w:rPr>
                <w:sz w:val="22"/>
              </w:rPr>
            </w:pPr>
            <w:r>
              <w:rPr>
                <w:sz w:val="22"/>
              </w:rPr>
              <w:t>16%</w:t>
            </w:r>
          </w:p>
        </w:tc>
        <w:tc>
          <w:tcPr>
            <w:tcW w:w="995" w:type="dxa"/>
          </w:tcPr>
          <w:p>
            <w:pPr>
              <w:pStyle w:val="TableParagraph"/>
              <w:spacing w:before="54"/>
              <w:ind w:left="198" w:right="198"/>
              <w:jc w:val="center"/>
              <w:rPr>
                <w:sz w:val="22"/>
              </w:rPr>
            </w:pPr>
            <w:r>
              <w:rPr>
                <w:sz w:val="22"/>
              </w:rPr>
              <w:t>3.1%</w:t>
            </w:r>
          </w:p>
        </w:tc>
        <w:tc>
          <w:tcPr>
            <w:tcW w:w="1134" w:type="dxa"/>
            <w:vMerge/>
            <w:tcBorders>
              <w:top w:val="nil"/>
            </w:tcBorders>
            <w:shd w:val="clear" w:color="auto" w:fill="D9D9D9"/>
          </w:tcPr>
          <w:p>
            <w:pPr>
              <w:rPr>
                <w:sz w:val="2"/>
                <w:szCs w:val="2"/>
              </w:rPr>
            </w:pPr>
          </w:p>
        </w:tc>
      </w:tr>
      <w:tr>
        <w:trPr>
          <w:trHeight w:val="383" w:hRule="atLeast"/>
        </w:trPr>
        <w:tc>
          <w:tcPr>
            <w:tcW w:w="5531" w:type="dxa"/>
            <w:vMerge/>
            <w:tcBorders>
              <w:top w:val="nil"/>
            </w:tcBorders>
          </w:tcPr>
          <w:p>
            <w:pPr>
              <w:rPr>
                <w:sz w:val="2"/>
                <w:szCs w:val="2"/>
              </w:rPr>
            </w:pPr>
          </w:p>
        </w:tc>
        <w:tc>
          <w:tcPr>
            <w:tcW w:w="1278" w:type="dxa"/>
          </w:tcPr>
          <w:p>
            <w:pPr>
              <w:pStyle w:val="TableParagraph"/>
              <w:ind w:left="54"/>
              <w:rPr>
                <w:sz w:val="22"/>
              </w:rPr>
            </w:pPr>
            <w:r>
              <w:rPr>
                <w:sz w:val="22"/>
              </w:rPr>
              <w:t>Write</w:t>
            </w:r>
          </w:p>
        </w:tc>
        <w:tc>
          <w:tcPr>
            <w:tcW w:w="992" w:type="dxa"/>
          </w:tcPr>
          <w:p>
            <w:pPr>
              <w:pStyle w:val="TableParagraph"/>
              <w:ind w:left="199" w:right="194"/>
              <w:jc w:val="center"/>
              <w:rPr>
                <w:sz w:val="22"/>
              </w:rPr>
            </w:pPr>
            <w:r>
              <w:rPr>
                <w:sz w:val="22"/>
              </w:rPr>
              <w:t>21.2%</w:t>
            </w:r>
          </w:p>
        </w:tc>
        <w:tc>
          <w:tcPr>
            <w:tcW w:w="995" w:type="dxa"/>
          </w:tcPr>
          <w:p>
            <w:pPr>
              <w:pStyle w:val="TableParagraph"/>
              <w:ind w:left="198" w:right="198"/>
              <w:jc w:val="center"/>
              <w:rPr>
                <w:sz w:val="22"/>
              </w:rPr>
            </w:pPr>
            <w:r>
              <w:rPr>
                <w:sz w:val="22"/>
              </w:rPr>
              <w:t>15.6%</w:t>
            </w:r>
          </w:p>
        </w:tc>
        <w:tc>
          <w:tcPr>
            <w:tcW w:w="1134" w:type="dxa"/>
            <w:vMerge/>
            <w:tcBorders>
              <w:top w:val="nil"/>
            </w:tcBorders>
            <w:shd w:val="clear" w:color="auto" w:fill="D9D9D9"/>
          </w:tcPr>
          <w:p>
            <w:pPr>
              <w:rPr>
                <w:sz w:val="2"/>
                <w:szCs w:val="2"/>
              </w:rPr>
            </w:pPr>
          </w:p>
        </w:tc>
      </w:tr>
      <w:tr>
        <w:trPr>
          <w:trHeight w:val="383" w:hRule="atLeast"/>
        </w:trPr>
        <w:tc>
          <w:tcPr>
            <w:tcW w:w="5531" w:type="dxa"/>
            <w:vMerge/>
            <w:tcBorders>
              <w:top w:val="nil"/>
            </w:tcBorders>
          </w:tcPr>
          <w:p>
            <w:pPr>
              <w:rPr>
                <w:sz w:val="2"/>
                <w:szCs w:val="2"/>
              </w:rPr>
            </w:pPr>
          </w:p>
        </w:tc>
        <w:tc>
          <w:tcPr>
            <w:tcW w:w="1278" w:type="dxa"/>
          </w:tcPr>
          <w:p>
            <w:pPr>
              <w:pStyle w:val="TableParagraph"/>
              <w:ind w:left="54"/>
              <w:rPr>
                <w:sz w:val="22"/>
              </w:rPr>
            </w:pPr>
            <w:r>
              <w:rPr>
                <w:sz w:val="22"/>
              </w:rPr>
              <w:t>Number</w:t>
            </w:r>
          </w:p>
        </w:tc>
        <w:tc>
          <w:tcPr>
            <w:tcW w:w="992" w:type="dxa"/>
          </w:tcPr>
          <w:p>
            <w:pPr>
              <w:pStyle w:val="TableParagraph"/>
              <w:ind w:left="199" w:right="194"/>
              <w:jc w:val="center"/>
              <w:rPr>
                <w:sz w:val="22"/>
              </w:rPr>
            </w:pPr>
            <w:r>
              <w:rPr>
                <w:sz w:val="22"/>
              </w:rPr>
              <w:t>18.9%</w:t>
            </w:r>
          </w:p>
        </w:tc>
        <w:tc>
          <w:tcPr>
            <w:tcW w:w="995" w:type="dxa"/>
          </w:tcPr>
          <w:p>
            <w:pPr>
              <w:pStyle w:val="TableParagraph"/>
              <w:ind w:left="198" w:right="198"/>
              <w:jc w:val="center"/>
              <w:rPr>
                <w:sz w:val="22"/>
              </w:rPr>
            </w:pPr>
            <w:r>
              <w:rPr>
                <w:sz w:val="22"/>
              </w:rPr>
              <w:t>9.4%</w:t>
            </w:r>
          </w:p>
        </w:tc>
        <w:tc>
          <w:tcPr>
            <w:tcW w:w="1134" w:type="dxa"/>
            <w:vMerge/>
            <w:tcBorders>
              <w:top w:val="nil"/>
            </w:tcBorders>
            <w:shd w:val="clear" w:color="auto" w:fill="D9D9D9"/>
          </w:tcPr>
          <w:p>
            <w:pPr>
              <w:rPr>
                <w:sz w:val="2"/>
                <w:szCs w:val="2"/>
              </w:rPr>
            </w:pPr>
          </w:p>
        </w:tc>
      </w:tr>
      <w:tr>
        <w:trPr>
          <w:trHeight w:val="474" w:hRule="atLeast"/>
        </w:trPr>
        <w:tc>
          <w:tcPr>
            <w:tcW w:w="5531" w:type="dxa"/>
            <w:vMerge w:val="restart"/>
          </w:tcPr>
          <w:p>
            <w:pPr>
              <w:pStyle w:val="TableParagraph"/>
              <w:ind w:left="57" w:right="255"/>
              <w:rPr>
                <w:sz w:val="22"/>
              </w:rPr>
            </w:pPr>
            <w:r>
              <w:rPr>
                <w:sz w:val="22"/>
              </w:rPr>
              <w:t>Increase the percentage of ‘in-school matched’ students achieving expected growth or greater in NAPLAN Reading, Writing and Numeracy</w:t>
            </w:r>
          </w:p>
        </w:tc>
        <w:tc>
          <w:tcPr>
            <w:tcW w:w="1278" w:type="dxa"/>
          </w:tcPr>
          <w:p>
            <w:pPr>
              <w:pStyle w:val="TableParagraph"/>
              <w:ind w:left="54"/>
              <w:rPr>
                <w:sz w:val="22"/>
              </w:rPr>
            </w:pPr>
            <w:r>
              <w:rPr>
                <w:sz w:val="22"/>
              </w:rPr>
              <w:t>Read</w:t>
            </w:r>
          </w:p>
        </w:tc>
        <w:tc>
          <w:tcPr>
            <w:tcW w:w="992" w:type="dxa"/>
          </w:tcPr>
          <w:p>
            <w:pPr>
              <w:pStyle w:val="TableParagraph"/>
              <w:ind w:left="199" w:right="194"/>
              <w:jc w:val="center"/>
              <w:rPr>
                <w:sz w:val="22"/>
              </w:rPr>
            </w:pPr>
            <w:r>
              <w:rPr>
                <w:sz w:val="22"/>
              </w:rPr>
              <w:t>63%</w:t>
            </w:r>
          </w:p>
        </w:tc>
        <w:tc>
          <w:tcPr>
            <w:tcW w:w="995" w:type="dxa"/>
          </w:tcPr>
          <w:p>
            <w:pPr>
              <w:pStyle w:val="TableParagraph"/>
              <w:ind w:left="198" w:right="197"/>
              <w:jc w:val="center"/>
              <w:rPr>
                <w:sz w:val="22"/>
              </w:rPr>
            </w:pPr>
            <w:r>
              <w:rPr>
                <w:sz w:val="22"/>
              </w:rPr>
              <w:t>57%</w:t>
            </w:r>
          </w:p>
        </w:tc>
        <w:tc>
          <w:tcPr>
            <w:tcW w:w="1134" w:type="dxa"/>
            <w:vMerge/>
            <w:tcBorders>
              <w:top w:val="nil"/>
            </w:tcBorders>
            <w:shd w:val="clear" w:color="auto" w:fill="D9D9D9"/>
          </w:tcPr>
          <w:p>
            <w:pPr>
              <w:rPr>
                <w:sz w:val="2"/>
                <w:szCs w:val="2"/>
              </w:rPr>
            </w:pPr>
          </w:p>
        </w:tc>
      </w:tr>
      <w:tr>
        <w:trPr>
          <w:trHeight w:val="474" w:hRule="atLeast"/>
        </w:trPr>
        <w:tc>
          <w:tcPr>
            <w:tcW w:w="5531" w:type="dxa"/>
            <w:vMerge/>
            <w:tcBorders>
              <w:top w:val="nil"/>
            </w:tcBorders>
          </w:tcPr>
          <w:p>
            <w:pPr>
              <w:rPr>
                <w:sz w:val="2"/>
                <w:szCs w:val="2"/>
              </w:rPr>
            </w:pPr>
          </w:p>
        </w:tc>
        <w:tc>
          <w:tcPr>
            <w:tcW w:w="1278" w:type="dxa"/>
          </w:tcPr>
          <w:p>
            <w:pPr>
              <w:pStyle w:val="TableParagraph"/>
              <w:ind w:left="54"/>
              <w:rPr>
                <w:sz w:val="22"/>
              </w:rPr>
            </w:pPr>
            <w:r>
              <w:rPr>
                <w:sz w:val="22"/>
              </w:rPr>
              <w:t>Write</w:t>
            </w:r>
          </w:p>
        </w:tc>
        <w:tc>
          <w:tcPr>
            <w:tcW w:w="992" w:type="dxa"/>
          </w:tcPr>
          <w:p>
            <w:pPr>
              <w:pStyle w:val="TableParagraph"/>
              <w:ind w:left="199" w:right="194"/>
              <w:jc w:val="center"/>
              <w:rPr>
                <w:sz w:val="22"/>
              </w:rPr>
            </w:pPr>
            <w:r>
              <w:rPr>
                <w:sz w:val="22"/>
              </w:rPr>
              <w:t>53%</w:t>
            </w:r>
          </w:p>
        </w:tc>
        <w:tc>
          <w:tcPr>
            <w:tcW w:w="995" w:type="dxa"/>
          </w:tcPr>
          <w:p>
            <w:pPr>
              <w:pStyle w:val="TableParagraph"/>
              <w:ind w:left="198" w:right="197"/>
              <w:jc w:val="center"/>
              <w:rPr>
                <w:sz w:val="22"/>
              </w:rPr>
            </w:pPr>
            <w:r>
              <w:rPr>
                <w:sz w:val="22"/>
              </w:rPr>
              <w:t>44%</w:t>
            </w:r>
          </w:p>
        </w:tc>
        <w:tc>
          <w:tcPr>
            <w:tcW w:w="1134" w:type="dxa"/>
            <w:vMerge/>
            <w:tcBorders>
              <w:top w:val="nil"/>
            </w:tcBorders>
            <w:shd w:val="clear" w:color="auto" w:fill="D9D9D9"/>
          </w:tcPr>
          <w:p>
            <w:pPr>
              <w:rPr>
                <w:sz w:val="2"/>
                <w:szCs w:val="2"/>
              </w:rPr>
            </w:pPr>
          </w:p>
        </w:tc>
      </w:tr>
      <w:tr>
        <w:trPr>
          <w:trHeight w:val="472" w:hRule="atLeast"/>
        </w:trPr>
        <w:tc>
          <w:tcPr>
            <w:tcW w:w="5531" w:type="dxa"/>
            <w:vMerge/>
            <w:tcBorders>
              <w:top w:val="nil"/>
            </w:tcBorders>
          </w:tcPr>
          <w:p>
            <w:pPr>
              <w:rPr>
                <w:sz w:val="2"/>
                <w:szCs w:val="2"/>
              </w:rPr>
            </w:pPr>
          </w:p>
        </w:tc>
        <w:tc>
          <w:tcPr>
            <w:tcW w:w="1278" w:type="dxa"/>
          </w:tcPr>
          <w:p>
            <w:pPr>
              <w:pStyle w:val="TableParagraph"/>
              <w:spacing w:before="54"/>
              <w:ind w:left="54"/>
              <w:rPr>
                <w:sz w:val="22"/>
              </w:rPr>
            </w:pPr>
            <w:r>
              <w:rPr>
                <w:sz w:val="22"/>
              </w:rPr>
              <w:t>Number</w:t>
            </w:r>
          </w:p>
        </w:tc>
        <w:tc>
          <w:tcPr>
            <w:tcW w:w="992" w:type="dxa"/>
          </w:tcPr>
          <w:p>
            <w:pPr>
              <w:pStyle w:val="TableParagraph"/>
              <w:spacing w:before="54"/>
              <w:ind w:left="199" w:right="194"/>
              <w:jc w:val="center"/>
              <w:rPr>
                <w:sz w:val="22"/>
              </w:rPr>
            </w:pPr>
            <w:r>
              <w:rPr>
                <w:sz w:val="22"/>
              </w:rPr>
              <w:t>55%</w:t>
            </w:r>
          </w:p>
        </w:tc>
        <w:tc>
          <w:tcPr>
            <w:tcW w:w="995" w:type="dxa"/>
          </w:tcPr>
          <w:p>
            <w:pPr>
              <w:pStyle w:val="TableParagraph"/>
              <w:spacing w:before="54"/>
              <w:ind w:left="198" w:right="197"/>
              <w:jc w:val="center"/>
              <w:rPr>
                <w:sz w:val="22"/>
              </w:rPr>
            </w:pPr>
            <w:r>
              <w:rPr>
                <w:sz w:val="22"/>
              </w:rPr>
              <w:t>52%</w:t>
            </w:r>
          </w:p>
        </w:tc>
        <w:tc>
          <w:tcPr>
            <w:tcW w:w="1134" w:type="dxa"/>
            <w:vMerge/>
            <w:tcBorders>
              <w:top w:val="nil"/>
            </w:tcBorders>
            <w:shd w:val="clear" w:color="auto" w:fill="D9D9D9"/>
          </w:tcPr>
          <w:p>
            <w:pPr>
              <w:rPr>
                <w:sz w:val="2"/>
                <w:szCs w:val="2"/>
              </w:rPr>
            </w:pPr>
          </w:p>
        </w:tc>
      </w:tr>
    </w:tbl>
    <w:p>
      <w:pPr>
        <w:pStyle w:val="BodyText"/>
        <w:ind w:left="0"/>
        <w:rPr>
          <w:rFonts w:ascii="Calibri Light"/>
          <w:b w:val="0"/>
          <w:i/>
          <w:sz w:val="20"/>
        </w:rPr>
      </w:pPr>
    </w:p>
    <w:p>
      <w:pPr>
        <w:pStyle w:val="BodyText"/>
        <w:ind w:left="0"/>
        <w:rPr>
          <w:rFonts w:ascii="Calibri Light"/>
          <w:b w:val="0"/>
          <w:i/>
          <w:sz w:val="20"/>
        </w:rPr>
      </w:pPr>
    </w:p>
    <w:p>
      <w:pPr>
        <w:pStyle w:val="BodyText"/>
        <w:spacing w:before="8"/>
        <w:ind w:left="0"/>
        <w:rPr>
          <w:rFonts w:ascii="Calibri Light"/>
          <w:b w:val="0"/>
          <w:i/>
          <w:sz w:val="16"/>
        </w:rPr>
      </w:pPr>
    </w:p>
    <w:p>
      <w:pPr>
        <w:spacing w:before="56"/>
        <w:ind w:left="760" w:right="0" w:firstLine="0"/>
        <w:jc w:val="left"/>
        <w:rPr>
          <w:rFonts w:ascii="Calibri Light"/>
          <w:b w:val="0"/>
          <w:i/>
          <w:sz w:val="22"/>
        </w:rPr>
      </w:pPr>
      <w:r>
        <w:rPr>
          <w:rFonts w:ascii="Calibri Light"/>
          <w:b w:val="0"/>
          <w:i/>
          <w:color w:val="1F4E79"/>
          <w:sz w:val="22"/>
        </w:rPr>
        <w:t>Perception Data </w:t>
      </w:r>
    </w:p>
    <w:p>
      <w:pPr>
        <w:pStyle w:val="BodyText"/>
        <w:ind w:left="0"/>
        <w:rPr>
          <w:rFonts w:ascii="Calibri Light"/>
          <w:b w:val="0"/>
          <w:i/>
          <w:sz w:val="20"/>
        </w:rPr>
      </w:pPr>
    </w:p>
    <w:p>
      <w:pPr>
        <w:pStyle w:val="BodyText"/>
        <w:spacing w:before="4"/>
        <w:ind w:left="0"/>
        <w:rPr>
          <w:rFonts w:ascii="Calibri Light"/>
          <w:b w:val="0"/>
          <w:i/>
          <w:sz w:val="15"/>
        </w:rPr>
      </w:pPr>
    </w:p>
    <w:tbl>
      <w:tblPr>
        <w:tblW w:w="0" w:type="auto"/>
        <w:jc w:val="lef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7"/>
        <w:gridCol w:w="2410"/>
        <w:gridCol w:w="997"/>
        <w:gridCol w:w="999"/>
      </w:tblGrid>
      <w:tr>
        <w:trPr>
          <w:trHeight w:val="650" w:hRule="atLeast"/>
        </w:trPr>
        <w:tc>
          <w:tcPr>
            <w:tcW w:w="5667" w:type="dxa"/>
            <w:shd w:val="clear" w:color="auto" w:fill="D9D9D9"/>
          </w:tcPr>
          <w:p>
            <w:pPr>
              <w:pStyle w:val="TableParagraph"/>
              <w:ind w:left="55"/>
              <w:rPr>
                <w:b/>
                <w:sz w:val="22"/>
              </w:rPr>
            </w:pPr>
            <w:r>
              <w:rPr>
                <w:b/>
                <w:sz w:val="22"/>
              </w:rPr>
              <w:t>Targets or Measures</w:t>
            </w:r>
          </w:p>
        </w:tc>
        <w:tc>
          <w:tcPr>
            <w:tcW w:w="2410" w:type="dxa"/>
            <w:shd w:val="clear" w:color="auto" w:fill="D9D9D9"/>
          </w:tcPr>
          <w:p>
            <w:pPr>
              <w:pStyle w:val="TableParagraph"/>
              <w:ind w:left="626" w:right="616"/>
              <w:jc w:val="center"/>
              <w:rPr>
                <w:b/>
                <w:sz w:val="22"/>
              </w:rPr>
            </w:pPr>
            <w:r>
              <w:rPr>
                <w:b/>
                <w:sz w:val="22"/>
              </w:rPr>
              <w:t>Base</w:t>
            </w:r>
          </w:p>
        </w:tc>
        <w:tc>
          <w:tcPr>
            <w:tcW w:w="997" w:type="dxa"/>
            <w:shd w:val="clear" w:color="auto" w:fill="D9D9D9"/>
          </w:tcPr>
          <w:p>
            <w:pPr>
              <w:pStyle w:val="TableParagraph"/>
              <w:spacing w:line="267" w:lineRule="exact"/>
              <w:ind w:left="208"/>
              <w:rPr>
                <w:b/>
                <w:sz w:val="22"/>
              </w:rPr>
            </w:pPr>
            <w:r>
              <w:rPr>
                <w:b/>
                <w:sz w:val="22"/>
              </w:rPr>
              <w:t>Year 1</w:t>
            </w:r>
          </w:p>
          <w:p>
            <w:pPr>
              <w:pStyle w:val="TableParagraph"/>
              <w:spacing w:line="267" w:lineRule="exact" w:before="0"/>
              <w:ind w:left="273"/>
              <w:rPr>
                <w:b/>
                <w:sz w:val="22"/>
              </w:rPr>
            </w:pPr>
            <w:r>
              <w:rPr>
                <w:b/>
                <w:sz w:val="22"/>
              </w:rPr>
              <w:t>2019</w:t>
            </w:r>
          </w:p>
        </w:tc>
        <w:tc>
          <w:tcPr>
            <w:tcW w:w="999" w:type="dxa"/>
            <w:shd w:val="clear" w:color="auto" w:fill="D9D9D9"/>
          </w:tcPr>
          <w:p>
            <w:pPr>
              <w:pStyle w:val="TableParagraph"/>
              <w:spacing w:line="267" w:lineRule="exact"/>
              <w:ind w:left="208"/>
              <w:rPr>
                <w:b/>
                <w:sz w:val="22"/>
              </w:rPr>
            </w:pPr>
            <w:r>
              <w:rPr>
                <w:b/>
                <w:sz w:val="22"/>
              </w:rPr>
              <w:t>Year 2</w:t>
            </w:r>
          </w:p>
          <w:p>
            <w:pPr>
              <w:pStyle w:val="TableParagraph"/>
              <w:spacing w:line="267" w:lineRule="exact" w:before="0"/>
              <w:ind w:left="273"/>
              <w:rPr>
                <w:b/>
                <w:sz w:val="22"/>
              </w:rPr>
            </w:pPr>
            <w:r>
              <w:rPr>
                <w:b/>
                <w:sz w:val="22"/>
              </w:rPr>
              <w:t>2020</w:t>
            </w:r>
          </w:p>
        </w:tc>
      </w:tr>
      <w:tr>
        <w:trPr>
          <w:trHeight w:val="652" w:hRule="atLeast"/>
        </w:trPr>
        <w:tc>
          <w:tcPr>
            <w:tcW w:w="10073" w:type="dxa"/>
            <w:gridSpan w:val="4"/>
          </w:tcPr>
          <w:p>
            <w:pPr>
              <w:pStyle w:val="TableParagraph"/>
              <w:ind w:left="55"/>
              <w:rPr>
                <w:sz w:val="22"/>
              </w:rPr>
            </w:pPr>
            <w:r>
              <w:rPr>
                <w:sz w:val="22"/>
              </w:rPr>
              <w:t>Year average is at or above the ACT average in the following Satisfaction &amp; Climate Survey questions</w:t>
            </w:r>
          </w:p>
        </w:tc>
      </w:tr>
      <w:tr>
        <w:trPr>
          <w:trHeight w:val="650" w:hRule="atLeast"/>
        </w:trPr>
        <w:tc>
          <w:tcPr>
            <w:tcW w:w="5667" w:type="dxa"/>
          </w:tcPr>
          <w:p>
            <w:pPr>
              <w:pStyle w:val="TableParagraph"/>
              <w:spacing w:before="54"/>
              <w:ind w:left="55"/>
              <w:rPr>
                <w:i/>
                <w:sz w:val="22"/>
              </w:rPr>
            </w:pPr>
            <w:r>
              <w:rPr>
                <w:i/>
                <w:sz w:val="22"/>
              </w:rPr>
              <w:t>'Teacher’s give useful feedback’</w:t>
            </w:r>
          </w:p>
        </w:tc>
        <w:tc>
          <w:tcPr>
            <w:tcW w:w="2410" w:type="dxa"/>
          </w:tcPr>
          <w:p>
            <w:pPr>
              <w:pStyle w:val="TableParagraph"/>
              <w:spacing w:before="54"/>
              <w:ind w:left="626" w:right="619"/>
              <w:jc w:val="center"/>
              <w:rPr>
                <w:sz w:val="22"/>
              </w:rPr>
            </w:pPr>
            <w:r>
              <w:rPr>
                <w:sz w:val="22"/>
              </w:rPr>
              <w:t>+11.4%</w:t>
            </w:r>
          </w:p>
        </w:tc>
        <w:tc>
          <w:tcPr>
            <w:tcW w:w="997" w:type="dxa"/>
            <w:shd w:val="clear" w:color="auto" w:fill="C5DFB3"/>
          </w:tcPr>
          <w:p>
            <w:pPr>
              <w:pStyle w:val="TableParagraph"/>
              <w:spacing w:before="54"/>
              <w:ind w:left="203" w:right="195"/>
              <w:jc w:val="center"/>
              <w:rPr>
                <w:sz w:val="22"/>
              </w:rPr>
            </w:pPr>
            <w:r>
              <w:rPr>
                <w:sz w:val="22"/>
              </w:rPr>
              <w:t>+10%</w:t>
            </w:r>
          </w:p>
        </w:tc>
        <w:tc>
          <w:tcPr>
            <w:tcW w:w="999" w:type="dxa"/>
            <w:shd w:val="clear" w:color="auto" w:fill="C5DFB3"/>
          </w:tcPr>
          <w:p>
            <w:pPr>
              <w:pStyle w:val="TableParagraph"/>
              <w:spacing w:before="54"/>
              <w:ind w:left="148" w:right="143"/>
              <w:jc w:val="center"/>
              <w:rPr>
                <w:sz w:val="22"/>
              </w:rPr>
            </w:pPr>
            <w:r>
              <w:rPr>
                <w:sz w:val="22"/>
              </w:rPr>
              <w:t>+16%</w:t>
            </w:r>
          </w:p>
        </w:tc>
      </w:tr>
      <w:tr>
        <w:trPr>
          <w:trHeight w:val="652" w:hRule="atLeast"/>
        </w:trPr>
        <w:tc>
          <w:tcPr>
            <w:tcW w:w="5667" w:type="dxa"/>
          </w:tcPr>
          <w:p>
            <w:pPr>
              <w:pStyle w:val="TableParagraph"/>
              <w:ind w:left="55"/>
              <w:rPr>
                <w:i/>
                <w:sz w:val="22"/>
              </w:rPr>
            </w:pPr>
            <w:r>
              <w:rPr>
                <w:i/>
                <w:sz w:val="22"/>
              </w:rPr>
              <w:t>‘Teachers motivate me to learn’</w:t>
            </w:r>
          </w:p>
        </w:tc>
        <w:tc>
          <w:tcPr>
            <w:tcW w:w="2410" w:type="dxa"/>
          </w:tcPr>
          <w:p>
            <w:pPr>
              <w:pStyle w:val="TableParagraph"/>
              <w:ind w:left="626" w:right="619"/>
              <w:jc w:val="center"/>
              <w:rPr>
                <w:sz w:val="22"/>
              </w:rPr>
            </w:pPr>
            <w:r>
              <w:rPr>
                <w:sz w:val="22"/>
              </w:rPr>
              <w:t>+3.39%</w:t>
            </w:r>
          </w:p>
        </w:tc>
        <w:tc>
          <w:tcPr>
            <w:tcW w:w="997" w:type="dxa"/>
            <w:shd w:val="clear" w:color="auto" w:fill="C5DFB3"/>
          </w:tcPr>
          <w:p>
            <w:pPr>
              <w:pStyle w:val="TableParagraph"/>
              <w:ind w:left="203" w:right="197"/>
              <w:jc w:val="center"/>
              <w:rPr>
                <w:sz w:val="22"/>
              </w:rPr>
            </w:pPr>
            <w:r>
              <w:rPr>
                <w:sz w:val="22"/>
              </w:rPr>
              <w:t>+8.4%</w:t>
            </w:r>
          </w:p>
        </w:tc>
        <w:tc>
          <w:tcPr>
            <w:tcW w:w="999" w:type="dxa"/>
            <w:shd w:val="clear" w:color="auto" w:fill="C5DFB3"/>
          </w:tcPr>
          <w:p>
            <w:pPr>
              <w:pStyle w:val="TableParagraph"/>
              <w:ind w:left="148" w:right="143"/>
              <w:jc w:val="center"/>
              <w:rPr>
                <w:sz w:val="22"/>
              </w:rPr>
            </w:pPr>
            <w:r>
              <w:rPr>
                <w:sz w:val="22"/>
              </w:rPr>
              <w:t>+16.6%</w:t>
            </w:r>
          </w:p>
        </w:tc>
      </w:tr>
      <w:tr>
        <w:trPr>
          <w:trHeight w:val="381" w:hRule="atLeast"/>
        </w:trPr>
        <w:tc>
          <w:tcPr>
            <w:tcW w:w="5667" w:type="dxa"/>
          </w:tcPr>
          <w:p>
            <w:pPr>
              <w:pStyle w:val="TableParagraph"/>
              <w:spacing w:before="54"/>
              <w:ind w:left="55"/>
              <w:rPr>
                <w:i/>
                <w:sz w:val="22"/>
              </w:rPr>
            </w:pPr>
            <w:r>
              <w:rPr>
                <w:i/>
                <w:sz w:val="22"/>
              </w:rPr>
              <w:t>‘My teachers expect me to do my best’</w:t>
            </w:r>
          </w:p>
        </w:tc>
        <w:tc>
          <w:tcPr>
            <w:tcW w:w="2410" w:type="dxa"/>
          </w:tcPr>
          <w:p>
            <w:pPr>
              <w:pStyle w:val="TableParagraph"/>
              <w:spacing w:before="54"/>
              <w:ind w:left="626" w:right="619"/>
              <w:jc w:val="center"/>
              <w:rPr>
                <w:sz w:val="22"/>
              </w:rPr>
            </w:pPr>
            <w:r>
              <w:rPr>
                <w:sz w:val="22"/>
              </w:rPr>
              <w:t>+3.80%</w:t>
            </w:r>
          </w:p>
        </w:tc>
        <w:tc>
          <w:tcPr>
            <w:tcW w:w="997" w:type="dxa"/>
            <w:shd w:val="clear" w:color="auto" w:fill="C5DFB3"/>
          </w:tcPr>
          <w:p>
            <w:pPr>
              <w:pStyle w:val="TableParagraph"/>
              <w:spacing w:before="54"/>
              <w:ind w:left="203" w:right="197"/>
              <w:jc w:val="center"/>
              <w:rPr>
                <w:sz w:val="22"/>
              </w:rPr>
            </w:pPr>
            <w:r>
              <w:rPr>
                <w:sz w:val="22"/>
              </w:rPr>
              <w:t>+2.6%</w:t>
            </w:r>
          </w:p>
        </w:tc>
        <w:tc>
          <w:tcPr>
            <w:tcW w:w="999" w:type="dxa"/>
            <w:shd w:val="clear" w:color="auto" w:fill="C5DFB3"/>
          </w:tcPr>
          <w:p>
            <w:pPr>
              <w:pStyle w:val="TableParagraph"/>
              <w:spacing w:before="54"/>
              <w:ind w:left="146" w:right="143"/>
              <w:jc w:val="center"/>
              <w:rPr>
                <w:sz w:val="22"/>
              </w:rPr>
            </w:pPr>
            <w:r>
              <w:rPr>
                <w:sz w:val="22"/>
              </w:rPr>
              <w:t>+9.3%</w:t>
            </w:r>
          </w:p>
        </w:tc>
      </w:tr>
      <w:tr>
        <w:trPr>
          <w:trHeight w:val="1344" w:hRule="atLeast"/>
        </w:trPr>
        <w:tc>
          <w:tcPr>
            <w:tcW w:w="5667" w:type="dxa"/>
          </w:tcPr>
          <w:p>
            <w:pPr>
              <w:pStyle w:val="TableParagraph"/>
              <w:spacing w:before="0"/>
              <w:ind w:left="107" w:right="790"/>
              <w:rPr>
                <w:sz w:val="22"/>
              </w:rPr>
            </w:pPr>
            <w:r>
              <w:rPr>
                <w:sz w:val="22"/>
              </w:rPr>
              <w:t>Build teacher capacity to set learning goals with their students.</w:t>
            </w:r>
          </w:p>
          <w:p>
            <w:pPr>
              <w:pStyle w:val="TableParagraph"/>
              <w:spacing w:before="0"/>
              <w:ind w:left="107"/>
              <w:rPr>
                <w:i/>
                <w:sz w:val="22"/>
              </w:rPr>
            </w:pPr>
            <w:r>
              <w:rPr>
                <w:i/>
                <w:sz w:val="22"/>
              </w:rPr>
              <w:t>‘My teacher works with me to set learning goals’</w:t>
            </w:r>
          </w:p>
          <w:p>
            <w:pPr>
              <w:pStyle w:val="TableParagraph"/>
              <w:spacing w:before="0"/>
              <w:rPr>
                <w:rFonts w:ascii="Calibri Light"/>
                <w:b w:val="0"/>
                <w:i/>
                <w:sz w:val="22"/>
              </w:rPr>
            </w:pPr>
          </w:p>
          <w:p>
            <w:pPr>
              <w:pStyle w:val="TableParagraph"/>
              <w:spacing w:line="249" w:lineRule="exact" w:before="0"/>
              <w:ind w:left="107"/>
              <w:rPr>
                <w:i/>
                <w:sz w:val="22"/>
              </w:rPr>
            </w:pPr>
            <w:r>
              <w:rPr>
                <w:i/>
                <w:sz w:val="22"/>
              </w:rPr>
              <w:t>*No longer have the capacity to add school-based questions.</w:t>
            </w:r>
          </w:p>
        </w:tc>
        <w:tc>
          <w:tcPr>
            <w:tcW w:w="2410" w:type="dxa"/>
            <w:shd w:val="clear" w:color="auto" w:fill="D9D9D9"/>
          </w:tcPr>
          <w:p>
            <w:pPr>
              <w:pStyle w:val="TableParagraph"/>
              <w:spacing w:before="11"/>
              <w:rPr>
                <w:rFonts w:ascii="Calibri Light"/>
                <w:b w:val="0"/>
                <w:i/>
                <w:sz w:val="21"/>
              </w:rPr>
            </w:pPr>
          </w:p>
          <w:p>
            <w:pPr>
              <w:pStyle w:val="TableParagraph"/>
              <w:spacing w:before="0"/>
              <w:ind w:left="626" w:right="619"/>
              <w:jc w:val="center"/>
              <w:rPr>
                <w:i/>
                <w:sz w:val="22"/>
              </w:rPr>
            </w:pPr>
            <w:r>
              <w:rPr>
                <w:i/>
                <w:sz w:val="22"/>
              </w:rPr>
              <w:t>New in 2019</w:t>
            </w:r>
          </w:p>
        </w:tc>
        <w:tc>
          <w:tcPr>
            <w:tcW w:w="997" w:type="dxa"/>
          </w:tcPr>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ind w:left="200" w:right="197"/>
              <w:jc w:val="center"/>
              <w:rPr>
                <w:sz w:val="22"/>
              </w:rPr>
            </w:pPr>
            <w:r>
              <w:rPr>
                <w:sz w:val="22"/>
              </w:rPr>
              <w:t>80%</w:t>
            </w:r>
          </w:p>
        </w:tc>
        <w:tc>
          <w:tcPr>
            <w:tcW w:w="999" w:type="dxa"/>
            <w:shd w:val="clear" w:color="auto" w:fill="D9D9D9"/>
          </w:tcPr>
          <w:p>
            <w:pPr>
              <w:pStyle w:val="TableParagraph"/>
              <w:spacing w:before="0"/>
              <w:rPr>
                <w:rFonts w:ascii="Calibri Light"/>
                <w:b w:val="0"/>
                <w:i/>
                <w:sz w:val="22"/>
              </w:rPr>
            </w:pPr>
          </w:p>
          <w:p>
            <w:pPr>
              <w:pStyle w:val="TableParagraph"/>
              <w:spacing w:before="0"/>
              <w:rPr>
                <w:rFonts w:ascii="Calibri Light"/>
                <w:b w:val="0"/>
                <w:i/>
                <w:sz w:val="22"/>
              </w:rPr>
            </w:pPr>
          </w:p>
          <w:p>
            <w:pPr>
              <w:pStyle w:val="TableParagraph"/>
              <w:spacing w:before="0"/>
              <w:ind w:left="146" w:right="143"/>
              <w:jc w:val="center"/>
              <w:rPr>
                <w:sz w:val="22"/>
              </w:rPr>
            </w:pPr>
            <w:r>
              <w:rPr>
                <w:sz w:val="22"/>
              </w:rPr>
              <w:t>NA</w:t>
            </w:r>
          </w:p>
        </w:tc>
      </w:tr>
    </w:tbl>
    <w:p>
      <w:pPr>
        <w:pStyle w:val="BodyText"/>
        <w:ind w:left="0"/>
        <w:rPr>
          <w:rFonts w:ascii="Calibri Light"/>
          <w:b w:val="0"/>
          <w:i/>
          <w:sz w:val="20"/>
        </w:rPr>
      </w:pPr>
    </w:p>
    <w:p>
      <w:pPr>
        <w:pStyle w:val="BodyText"/>
        <w:ind w:left="0"/>
        <w:rPr>
          <w:rFonts w:ascii="Calibri Light"/>
          <w:b w:val="0"/>
          <w:i/>
          <w:sz w:val="20"/>
        </w:rPr>
      </w:pPr>
    </w:p>
    <w:p>
      <w:pPr>
        <w:pStyle w:val="BodyText"/>
        <w:ind w:left="0"/>
        <w:rPr>
          <w:rFonts w:ascii="Calibri Light"/>
          <w:b w:val="0"/>
          <w:i/>
          <w:sz w:val="20"/>
        </w:rPr>
      </w:pPr>
    </w:p>
    <w:p>
      <w:pPr>
        <w:pStyle w:val="BodyText"/>
        <w:spacing w:before="5"/>
        <w:ind w:left="0"/>
        <w:rPr>
          <w:rFonts w:ascii="Calibri Light"/>
          <w:b w:val="0"/>
          <w:i/>
          <w:sz w:val="20"/>
        </w:rPr>
      </w:pPr>
    </w:p>
    <w:p>
      <w:pPr>
        <w:spacing w:before="57"/>
        <w:ind w:left="760" w:right="0" w:firstLine="0"/>
        <w:jc w:val="left"/>
        <w:rPr>
          <w:rFonts w:ascii="Calibri Light"/>
          <w:b w:val="0"/>
          <w:i/>
          <w:sz w:val="22"/>
        </w:rPr>
      </w:pPr>
      <w:r>
        <w:rPr>
          <w:rFonts w:ascii="Calibri Light"/>
          <w:b w:val="0"/>
          <w:i/>
          <w:color w:val="1F4E79"/>
          <w:sz w:val="22"/>
        </w:rPr>
        <w:t>School program and process data </w:t>
      </w:r>
    </w:p>
    <w:p>
      <w:pPr>
        <w:spacing w:after="0"/>
        <w:jc w:val="left"/>
        <w:rPr>
          <w:rFonts w:ascii="Calibri Light"/>
          <w:sz w:val="22"/>
        </w:rPr>
        <w:sectPr>
          <w:pgSz w:w="11910" w:h="16840"/>
          <w:pgMar w:header="0" w:footer="1046" w:top="1420" w:bottom="1240" w:left="680" w:right="6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1841"/>
        <w:gridCol w:w="1273"/>
        <w:gridCol w:w="1272"/>
      </w:tblGrid>
      <w:tr>
        <w:trPr>
          <w:trHeight w:val="650" w:hRule="atLeast"/>
        </w:trPr>
        <w:tc>
          <w:tcPr>
            <w:tcW w:w="5956" w:type="dxa"/>
            <w:shd w:val="clear" w:color="auto" w:fill="D9D9D9"/>
          </w:tcPr>
          <w:p>
            <w:pPr>
              <w:pStyle w:val="TableParagraph"/>
              <w:ind w:left="55"/>
              <w:rPr>
                <w:b/>
                <w:sz w:val="22"/>
              </w:rPr>
            </w:pPr>
            <w:r>
              <w:rPr>
                <w:b/>
                <w:sz w:val="22"/>
              </w:rPr>
              <w:t>Targets or Measures</w:t>
            </w:r>
          </w:p>
        </w:tc>
        <w:tc>
          <w:tcPr>
            <w:tcW w:w="1841" w:type="dxa"/>
            <w:shd w:val="clear" w:color="auto" w:fill="D9D9D9"/>
          </w:tcPr>
          <w:p>
            <w:pPr>
              <w:pStyle w:val="TableParagraph"/>
              <w:spacing w:before="0"/>
              <w:rPr>
                <w:rFonts w:ascii="Times New Roman"/>
                <w:sz w:val="20"/>
              </w:rPr>
            </w:pPr>
          </w:p>
        </w:tc>
        <w:tc>
          <w:tcPr>
            <w:tcW w:w="1273" w:type="dxa"/>
            <w:shd w:val="clear" w:color="auto" w:fill="D9D9D9"/>
          </w:tcPr>
          <w:p>
            <w:pPr>
              <w:pStyle w:val="TableParagraph"/>
              <w:ind w:left="347"/>
              <w:rPr>
                <w:b/>
                <w:sz w:val="22"/>
              </w:rPr>
            </w:pPr>
            <w:r>
              <w:rPr>
                <w:b/>
                <w:sz w:val="22"/>
              </w:rPr>
              <w:t>Year 1</w:t>
            </w:r>
          </w:p>
          <w:p>
            <w:pPr>
              <w:pStyle w:val="TableParagraph"/>
              <w:spacing w:before="1"/>
              <w:ind w:left="412"/>
              <w:rPr>
                <w:b/>
                <w:sz w:val="22"/>
              </w:rPr>
            </w:pPr>
            <w:r>
              <w:rPr>
                <w:b/>
                <w:sz w:val="22"/>
              </w:rPr>
              <w:t>2019</w:t>
            </w:r>
          </w:p>
        </w:tc>
        <w:tc>
          <w:tcPr>
            <w:tcW w:w="1272" w:type="dxa"/>
            <w:shd w:val="clear" w:color="auto" w:fill="D9D9D9"/>
          </w:tcPr>
          <w:p>
            <w:pPr>
              <w:pStyle w:val="TableParagraph"/>
              <w:ind w:left="344"/>
              <w:rPr>
                <w:b/>
                <w:sz w:val="22"/>
              </w:rPr>
            </w:pPr>
            <w:r>
              <w:rPr>
                <w:b/>
                <w:sz w:val="22"/>
              </w:rPr>
              <w:t>Year 2</w:t>
            </w:r>
          </w:p>
          <w:p>
            <w:pPr>
              <w:pStyle w:val="TableParagraph"/>
              <w:spacing w:before="1"/>
              <w:ind w:left="409"/>
              <w:rPr>
                <w:b/>
                <w:sz w:val="22"/>
              </w:rPr>
            </w:pPr>
            <w:r>
              <w:rPr>
                <w:b/>
                <w:sz w:val="22"/>
              </w:rPr>
              <w:t>2020</w:t>
            </w:r>
          </w:p>
        </w:tc>
      </w:tr>
      <w:tr>
        <w:trPr>
          <w:trHeight w:val="657" w:hRule="atLeast"/>
        </w:trPr>
        <w:tc>
          <w:tcPr>
            <w:tcW w:w="5956" w:type="dxa"/>
          </w:tcPr>
          <w:p>
            <w:pPr>
              <w:pStyle w:val="TableParagraph"/>
              <w:ind w:left="55"/>
              <w:rPr>
                <w:sz w:val="22"/>
              </w:rPr>
            </w:pPr>
            <w:r>
              <w:rPr>
                <w:sz w:val="22"/>
              </w:rPr>
              <w:t>% positive responses to the school Learning Survey Years 3-6</w:t>
            </w:r>
          </w:p>
          <w:p>
            <w:pPr>
              <w:pStyle w:val="TableParagraph"/>
              <w:spacing w:before="1"/>
              <w:ind w:left="304"/>
              <w:rPr>
                <w:i/>
                <w:sz w:val="22"/>
              </w:rPr>
            </w:pPr>
            <w:r>
              <w:rPr>
                <w:i/>
                <w:sz w:val="22"/>
              </w:rPr>
              <w:t>1=Not true, 2= Somewhat true, 3= Very true</w:t>
            </w:r>
          </w:p>
        </w:tc>
        <w:tc>
          <w:tcPr>
            <w:tcW w:w="4386" w:type="dxa"/>
            <w:gridSpan w:val="3"/>
            <w:shd w:val="clear" w:color="auto" w:fill="D9D9D9"/>
          </w:tcPr>
          <w:p>
            <w:pPr>
              <w:pStyle w:val="TableParagraph"/>
              <w:ind w:left="1629" w:right="1066" w:hanging="540"/>
              <w:rPr>
                <w:sz w:val="22"/>
              </w:rPr>
            </w:pPr>
            <w:r>
              <w:rPr>
                <w:sz w:val="22"/>
              </w:rPr>
              <w:t>% based on 3 = very true New in 2019</w:t>
            </w:r>
          </w:p>
        </w:tc>
      </w:tr>
      <w:tr>
        <w:trPr>
          <w:trHeight w:val="383" w:hRule="atLeast"/>
        </w:trPr>
        <w:tc>
          <w:tcPr>
            <w:tcW w:w="5956" w:type="dxa"/>
          </w:tcPr>
          <w:p>
            <w:pPr>
              <w:pStyle w:val="TableParagraph"/>
              <w:ind w:left="55"/>
              <w:rPr>
                <w:i/>
                <w:sz w:val="22"/>
              </w:rPr>
            </w:pPr>
            <w:r>
              <w:rPr>
                <w:i/>
                <w:sz w:val="22"/>
              </w:rPr>
              <w:t>‘I understand my learning goals’</w:t>
            </w:r>
          </w:p>
        </w:tc>
        <w:tc>
          <w:tcPr>
            <w:tcW w:w="1841" w:type="dxa"/>
            <w:shd w:val="clear" w:color="auto" w:fill="D9D9D9"/>
          </w:tcPr>
          <w:p>
            <w:pPr>
              <w:pStyle w:val="TableParagraph"/>
              <w:spacing w:before="0"/>
              <w:rPr>
                <w:rFonts w:ascii="Times New Roman"/>
                <w:sz w:val="20"/>
              </w:rPr>
            </w:pPr>
          </w:p>
        </w:tc>
        <w:tc>
          <w:tcPr>
            <w:tcW w:w="1273" w:type="dxa"/>
          </w:tcPr>
          <w:p>
            <w:pPr>
              <w:pStyle w:val="TableParagraph"/>
              <w:ind w:left="342" w:right="333"/>
              <w:jc w:val="center"/>
              <w:rPr>
                <w:sz w:val="22"/>
              </w:rPr>
            </w:pPr>
            <w:r>
              <w:rPr>
                <w:sz w:val="22"/>
              </w:rPr>
              <w:t>55.3%</w:t>
            </w:r>
          </w:p>
        </w:tc>
        <w:tc>
          <w:tcPr>
            <w:tcW w:w="1272" w:type="dxa"/>
            <w:shd w:val="clear" w:color="auto" w:fill="C5DFB3"/>
          </w:tcPr>
          <w:p>
            <w:pPr>
              <w:pStyle w:val="TableParagraph"/>
              <w:ind w:left="339" w:right="335"/>
              <w:jc w:val="center"/>
              <w:rPr>
                <w:sz w:val="22"/>
              </w:rPr>
            </w:pPr>
            <w:r>
              <w:rPr>
                <w:sz w:val="22"/>
              </w:rPr>
              <w:t>71.2%</w:t>
            </w:r>
          </w:p>
        </w:tc>
      </w:tr>
      <w:tr>
        <w:trPr>
          <w:trHeight w:val="383" w:hRule="atLeast"/>
        </w:trPr>
        <w:tc>
          <w:tcPr>
            <w:tcW w:w="5956" w:type="dxa"/>
          </w:tcPr>
          <w:p>
            <w:pPr>
              <w:pStyle w:val="TableParagraph"/>
              <w:ind w:left="55"/>
              <w:rPr>
                <w:i/>
                <w:sz w:val="22"/>
              </w:rPr>
            </w:pPr>
            <w:r>
              <w:rPr>
                <w:i/>
                <w:sz w:val="22"/>
              </w:rPr>
              <w:t>‘Teachers give me feedback to help me learn’</w:t>
            </w:r>
          </w:p>
        </w:tc>
        <w:tc>
          <w:tcPr>
            <w:tcW w:w="1841" w:type="dxa"/>
            <w:shd w:val="clear" w:color="auto" w:fill="D9D9D9"/>
          </w:tcPr>
          <w:p>
            <w:pPr>
              <w:pStyle w:val="TableParagraph"/>
              <w:spacing w:before="0"/>
              <w:rPr>
                <w:rFonts w:ascii="Times New Roman"/>
                <w:sz w:val="20"/>
              </w:rPr>
            </w:pPr>
          </w:p>
        </w:tc>
        <w:tc>
          <w:tcPr>
            <w:tcW w:w="1273" w:type="dxa"/>
          </w:tcPr>
          <w:p>
            <w:pPr>
              <w:pStyle w:val="TableParagraph"/>
              <w:ind w:left="342" w:right="333"/>
              <w:jc w:val="center"/>
              <w:rPr>
                <w:sz w:val="22"/>
              </w:rPr>
            </w:pPr>
            <w:r>
              <w:rPr>
                <w:sz w:val="22"/>
              </w:rPr>
              <w:t>61.9%</w:t>
            </w:r>
          </w:p>
        </w:tc>
        <w:tc>
          <w:tcPr>
            <w:tcW w:w="1272" w:type="dxa"/>
            <w:shd w:val="clear" w:color="auto" w:fill="C5DFB3"/>
          </w:tcPr>
          <w:p>
            <w:pPr>
              <w:pStyle w:val="TableParagraph"/>
              <w:ind w:left="339" w:right="335"/>
              <w:jc w:val="center"/>
              <w:rPr>
                <w:sz w:val="22"/>
              </w:rPr>
            </w:pPr>
            <w:r>
              <w:rPr>
                <w:sz w:val="22"/>
              </w:rPr>
              <w:t>67%</w:t>
            </w:r>
          </w:p>
        </w:tc>
      </w:tr>
      <w:tr>
        <w:trPr>
          <w:trHeight w:val="381" w:hRule="atLeast"/>
        </w:trPr>
        <w:tc>
          <w:tcPr>
            <w:tcW w:w="5956" w:type="dxa"/>
          </w:tcPr>
          <w:p>
            <w:pPr>
              <w:pStyle w:val="TableParagraph"/>
              <w:spacing w:before="54"/>
              <w:ind w:left="55"/>
              <w:rPr>
                <w:i/>
                <w:sz w:val="22"/>
              </w:rPr>
            </w:pPr>
            <w:r>
              <w:rPr>
                <w:i/>
                <w:sz w:val="22"/>
              </w:rPr>
              <w:t>‘I am interested in what I learn at school’</w:t>
            </w:r>
          </w:p>
        </w:tc>
        <w:tc>
          <w:tcPr>
            <w:tcW w:w="1841" w:type="dxa"/>
            <w:shd w:val="clear" w:color="auto" w:fill="D9D9D9"/>
          </w:tcPr>
          <w:p>
            <w:pPr>
              <w:pStyle w:val="TableParagraph"/>
              <w:spacing w:before="0"/>
              <w:rPr>
                <w:rFonts w:ascii="Times New Roman"/>
                <w:sz w:val="20"/>
              </w:rPr>
            </w:pPr>
          </w:p>
        </w:tc>
        <w:tc>
          <w:tcPr>
            <w:tcW w:w="1273" w:type="dxa"/>
          </w:tcPr>
          <w:p>
            <w:pPr>
              <w:pStyle w:val="TableParagraph"/>
              <w:spacing w:before="54"/>
              <w:ind w:left="342" w:right="333"/>
              <w:jc w:val="center"/>
              <w:rPr>
                <w:sz w:val="22"/>
              </w:rPr>
            </w:pPr>
            <w:r>
              <w:rPr>
                <w:sz w:val="22"/>
              </w:rPr>
              <w:t>29%</w:t>
            </w:r>
          </w:p>
        </w:tc>
        <w:tc>
          <w:tcPr>
            <w:tcW w:w="1272" w:type="dxa"/>
            <w:shd w:val="clear" w:color="auto" w:fill="C5DFB3"/>
          </w:tcPr>
          <w:p>
            <w:pPr>
              <w:pStyle w:val="TableParagraph"/>
              <w:spacing w:before="54"/>
              <w:ind w:left="339" w:right="335"/>
              <w:jc w:val="center"/>
              <w:rPr>
                <w:sz w:val="22"/>
              </w:rPr>
            </w:pPr>
            <w:r>
              <w:rPr>
                <w:sz w:val="22"/>
              </w:rPr>
              <w:t>49.2%</w:t>
            </w:r>
          </w:p>
        </w:tc>
      </w:tr>
      <w:tr>
        <w:trPr>
          <w:trHeight w:val="383" w:hRule="atLeast"/>
        </w:trPr>
        <w:tc>
          <w:tcPr>
            <w:tcW w:w="5956" w:type="dxa"/>
          </w:tcPr>
          <w:p>
            <w:pPr>
              <w:pStyle w:val="TableParagraph"/>
              <w:ind w:left="55"/>
              <w:rPr>
                <w:i/>
                <w:sz w:val="22"/>
              </w:rPr>
            </w:pPr>
            <w:r>
              <w:rPr>
                <w:i/>
                <w:sz w:val="22"/>
              </w:rPr>
              <w:t>‘My teacher shares learning intentions with the class’</w:t>
            </w:r>
          </w:p>
        </w:tc>
        <w:tc>
          <w:tcPr>
            <w:tcW w:w="1841" w:type="dxa"/>
            <w:shd w:val="clear" w:color="auto" w:fill="D9D9D9"/>
          </w:tcPr>
          <w:p>
            <w:pPr>
              <w:pStyle w:val="TableParagraph"/>
              <w:spacing w:before="0"/>
              <w:rPr>
                <w:rFonts w:ascii="Times New Roman"/>
                <w:sz w:val="20"/>
              </w:rPr>
            </w:pPr>
          </w:p>
        </w:tc>
        <w:tc>
          <w:tcPr>
            <w:tcW w:w="1273" w:type="dxa"/>
          </w:tcPr>
          <w:p>
            <w:pPr>
              <w:pStyle w:val="TableParagraph"/>
              <w:ind w:left="342" w:right="333"/>
              <w:jc w:val="center"/>
              <w:rPr>
                <w:sz w:val="22"/>
              </w:rPr>
            </w:pPr>
            <w:r>
              <w:rPr>
                <w:sz w:val="22"/>
              </w:rPr>
              <w:t>60.3%</w:t>
            </w:r>
          </w:p>
        </w:tc>
        <w:tc>
          <w:tcPr>
            <w:tcW w:w="1272" w:type="dxa"/>
            <w:shd w:val="clear" w:color="auto" w:fill="C5DFB3"/>
          </w:tcPr>
          <w:p>
            <w:pPr>
              <w:pStyle w:val="TableParagraph"/>
              <w:ind w:left="339" w:right="335"/>
              <w:jc w:val="center"/>
              <w:rPr>
                <w:sz w:val="22"/>
              </w:rPr>
            </w:pPr>
            <w:r>
              <w:rPr>
                <w:sz w:val="22"/>
              </w:rPr>
              <w:t>96.7%</w:t>
            </w:r>
          </w:p>
        </w:tc>
      </w:tr>
      <w:tr>
        <w:trPr>
          <w:trHeight w:val="381" w:hRule="atLeast"/>
        </w:trPr>
        <w:tc>
          <w:tcPr>
            <w:tcW w:w="5956" w:type="dxa"/>
          </w:tcPr>
          <w:p>
            <w:pPr>
              <w:pStyle w:val="TableParagraph"/>
              <w:spacing w:before="54"/>
              <w:ind w:left="55"/>
              <w:rPr>
                <w:i/>
                <w:sz w:val="22"/>
              </w:rPr>
            </w:pPr>
            <w:r>
              <w:rPr>
                <w:i/>
                <w:sz w:val="22"/>
              </w:rPr>
              <w:t>‘I know what the next steps are to improve my learning’</w:t>
            </w:r>
          </w:p>
        </w:tc>
        <w:tc>
          <w:tcPr>
            <w:tcW w:w="1841" w:type="dxa"/>
            <w:shd w:val="clear" w:color="auto" w:fill="D9D9D9"/>
          </w:tcPr>
          <w:p>
            <w:pPr>
              <w:pStyle w:val="TableParagraph"/>
              <w:spacing w:before="0"/>
              <w:rPr>
                <w:rFonts w:ascii="Times New Roman"/>
                <w:sz w:val="20"/>
              </w:rPr>
            </w:pPr>
          </w:p>
        </w:tc>
        <w:tc>
          <w:tcPr>
            <w:tcW w:w="1273" w:type="dxa"/>
          </w:tcPr>
          <w:p>
            <w:pPr>
              <w:pStyle w:val="TableParagraph"/>
              <w:spacing w:before="54"/>
              <w:ind w:left="342" w:right="333"/>
              <w:jc w:val="center"/>
              <w:rPr>
                <w:sz w:val="22"/>
              </w:rPr>
            </w:pPr>
            <w:r>
              <w:rPr>
                <w:sz w:val="22"/>
              </w:rPr>
              <w:t>51.8%</w:t>
            </w:r>
          </w:p>
        </w:tc>
        <w:tc>
          <w:tcPr>
            <w:tcW w:w="1272" w:type="dxa"/>
            <w:shd w:val="clear" w:color="auto" w:fill="C5DFB3"/>
          </w:tcPr>
          <w:p>
            <w:pPr>
              <w:pStyle w:val="TableParagraph"/>
              <w:spacing w:before="54"/>
              <w:ind w:left="339" w:right="335"/>
              <w:jc w:val="center"/>
              <w:rPr>
                <w:sz w:val="22"/>
              </w:rPr>
            </w:pPr>
            <w:r>
              <w:rPr>
                <w:sz w:val="22"/>
              </w:rPr>
              <w:t>66.9%</w:t>
            </w:r>
          </w:p>
        </w:tc>
      </w:tr>
    </w:tbl>
    <w:p>
      <w:pPr>
        <w:pStyle w:val="BodyText"/>
        <w:ind w:left="0"/>
        <w:rPr>
          <w:rFonts w:ascii="Calibri Light"/>
          <w:b w:val="0"/>
          <w:i/>
          <w:sz w:val="15"/>
        </w:rPr>
      </w:pPr>
    </w:p>
    <w:p>
      <w:pPr>
        <w:spacing w:before="56"/>
        <w:ind w:left="760" w:right="0" w:firstLine="0"/>
        <w:jc w:val="left"/>
        <w:rPr>
          <w:i/>
          <w:sz w:val="22"/>
        </w:rPr>
      </w:pPr>
      <w:r>
        <w:rPr>
          <w:i/>
          <w:sz w:val="22"/>
        </w:rPr>
        <w:t>*The school Learning Survey</w:t>
      </w:r>
    </w:p>
    <w:p>
      <w:pPr>
        <w:pStyle w:val="BodyText"/>
        <w:spacing w:before="9"/>
        <w:ind w:left="0"/>
        <w:rPr>
          <w:i/>
          <w:sz w:val="19"/>
        </w:rPr>
      </w:pPr>
    </w:p>
    <w:p>
      <w:pPr>
        <w:pStyle w:val="BodyText"/>
        <w:spacing w:before="1"/>
        <w:ind w:left="760"/>
        <w:rPr>
          <w:rFonts w:ascii="Arial"/>
        </w:rPr>
      </w:pPr>
      <w:r>
        <w:rPr>
          <w:rFonts w:ascii="Arial"/>
          <w:color w:val="1F4D78"/>
        </w:rPr>
        <w:t>What this evidence tells us</w:t>
      </w:r>
    </w:p>
    <w:p>
      <w:pPr>
        <w:pStyle w:val="BodyText"/>
        <w:spacing w:before="120"/>
        <w:ind w:left="760" w:right="1026"/>
      </w:pPr>
      <w:r>
        <w:rPr/>
        <w:t>The evidence has continued to show that the priorities and strategies in the Strategic Plan and the actions in the 2020 Annual Action Plan are leading to improvements in teaching and learning. It is pleasing to note that the school successfully reached the targets in all areas in 2020.</w:t>
      </w:r>
    </w:p>
    <w:p>
      <w:pPr>
        <w:pStyle w:val="BodyText"/>
        <w:spacing w:before="11"/>
        <w:ind w:left="0"/>
        <w:rPr>
          <w:sz w:val="21"/>
        </w:rPr>
      </w:pPr>
    </w:p>
    <w:p>
      <w:pPr>
        <w:pStyle w:val="BodyText"/>
        <w:ind w:left="760"/>
      </w:pPr>
      <w:r>
        <w:rPr>
          <w:color w:val="5B9BD4"/>
        </w:rPr>
        <w:t>Student learning data</w:t>
      </w:r>
    </w:p>
    <w:p>
      <w:pPr>
        <w:pStyle w:val="ListParagraph"/>
        <w:numPr>
          <w:ilvl w:val="0"/>
          <w:numId w:val="3"/>
        </w:numPr>
        <w:tabs>
          <w:tab w:pos="1481" w:val="left" w:leader="none"/>
        </w:tabs>
        <w:spacing w:line="240" w:lineRule="auto" w:before="0" w:after="0"/>
        <w:ind w:left="1480" w:right="0" w:hanging="361"/>
        <w:jc w:val="left"/>
        <w:rPr>
          <w:sz w:val="22"/>
        </w:rPr>
      </w:pPr>
      <w:r>
        <w:rPr>
          <w:sz w:val="22"/>
        </w:rPr>
        <w:t>PM Reading benchmark data K-2 shows we have exceeded our target by 10%</w:t>
      </w:r>
      <w:r>
        <w:rPr>
          <w:spacing w:val="-19"/>
          <w:sz w:val="22"/>
        </w:rPr>
        <w:t> </w:t>
      </w:r>
      <w:r>
        <w:rPr>
          <w:sz w:val="22"/>
        </w:rPr>
        <w:t>points</w:t>
      </w:r>
    </w:p>
    <w:p>
      <w:pPr>
        <w:pStyle w:val="ListParagraph"/>
        <w:numPr>
          <w:ilvl w:val="0"/>
          <w:numId w:val="3"/>
        </w:numPr>
        <w:tabs>
          <w:tab w:pos="1481" w:val="left" w:leader="none"/>
        </w:tabs>
        <w:spacing w:line="240" w:lineRule="auto" w:before="1" w:after="0"/>
        <w:ind w:left="1480" w:right="828" w:hanging="360"/>
        <w:jc w:val="left"/>
        <w:rPr>
          <w:sz w:val="22"/>
        </w:rPr>
      </w:pPr>
      <w:r>
        <w:rPr>
          <w:sz w:val="22"/>
        </w:rPr>
        <w:t>There is no reporting against PIPS as it has been replaced by BASE which provides a different data set</w:t>
      </w:r>
    </w:p>
    <w:p>
      <w:pPr>
        <w:pStyle w:val="ListParagraph"/>
        <w:numPr>
          <w:ilvl w:val="0"/>
          <w:numId w:val="3"/>
        </w:numPr>
        <w:tabs>
          <w:tab w:pos="1481" w:val="left" w:leader="none"/>
        </w:tabs>
        <w:spacing w:line="240" w:lineRule="auto" w:before="0" w:after="0"/>
        <w:ind w:left="1480" w:right="1096" w:hanging="360"/>
        <w:jc w:val="left"/>
        <w:rPr>
          <w:sz w:val="22"/>
        </w:rPr>
      </w:pPr>
      <w:r>
        <w:rPr>
          <w:sz w:val="22"/>
        </w:rPr>
        <w:t>In PAT data, Years 3 and 5 comprehension, spelling and Mathematics the school achieved well above the target in each area. In Mathematics, Year 5 achieved a significant improvement against the 2019</w:t>
      </w:r>
      <w:r>
        <w:rPr>
          <w:spacing w:val="-5"/>
          <w:sz w:val="22"/>
        </w:rPr>
        <w:t> </w:t>
      </w:r>
      <w:r>
        <w:rPr>
          <w:sz w:val="22"/>
        </w:rPr>
        <w:t>result.</w:t>
      </w:r>
    </w:p>
    <w:p>
      <w:pPr>
        <w:pStyle w:val="ListParagraph"/>
        <w:numPr>
          <w:ilvl w:val="0"/>
          <w:numId w:val="3"/>
        </w:numPr>
        <w:tabs>
          <w:tab w:pos="1481" w:val="left" w:leader="none"/>
        </w:tabs>
        <w:spacing w:line="267" w:lineRule="exact" w:before="0" w:after="0"/>
        <w:ind w:left="1480" w:right="0" w:hanging="361"/>
        <w:jc w:val="left"/>
        <w:rPr>
          <w:sz w:val="22"/>
        </w:rPr>
      </w:pPr>
      <w:r>
        <w:rPr>
          <w:sz w:val="22"/>
        </w:rPr>
        <w:t>NAPLAN was cancelled due to COVID therefore results cannot be</w:t>
      </w:r>
      <w:r>
        <w:rPr>
          <w:spacing w:val="-10"/>
          <w:sz w:val="22"/>
        </w:rPr>
        <w:t> </w:t>
      </w:r>
      <w:r>
        <w:rPr>
          <w:sz w:val="22"/>
        </w:rPr>
        <w:t>reported.</w:t>
      </w:r>
    </w:p>
    <w:p>
      <w:pPr>
        <w:pStyle w:val="BodyText"/>
        <w:spacing w:before="1"/>
        <w:ind w:left="0"/>
      </w:pPr>
    </w:p>
    <w:p>
      <w:pPr>
        <w:pStyle w:val="BodyText"/>
        <w:ind w:left="760"/>
      </w:pPr>
      <w:r>
        <w:rPr>
          <w:color w:val="5B9BD4"/>
        </w:rPr>
        <w:t>Perception data</w:t>
      </w:r>
    </w:p>
    <w:p>
      <w:pPr>
        <w:pStyle w:val="ListParagraph"/>
        <w:numPr>
          <w:ilvl w:val="0"/>
          <w:numId w:val="3"/>
        </w:numPr>
        <w:tabs>
          <w:tab w:pos="1481" w:val="left" w:leader="none"/>
        </w:tabs>
        <w:spacing w:line="240" w:lineRule="auto" w:before="0" w:after="0"/>
        <w:ind w:left="1480" w:right="916" w:hanging="360"/>
        <w:jc w:val="left"/>
        <w:rPr>
          <w:sz w:val="22"/>
        </w:rPr>
      </w:pPr>
      <w:r>
        <w:rPr>
          <w:sz w:val="22"/>
        </w:rPr>
        <w:t>In the School Satisfaction and Climate Survey the school achieved above the ACT average in all the target questions and showed a pleasing increase on the 2019</w:t>
      </w:r>
      <w:r>
        <w:rPr>
          <w:spacing w:val="-12"/>
          <w:sz w:val="22"/>
        </w:rPr>
        <w:t> </w:t>
      </w:r>
      <w:r>
        <w:rPr>
          <w:sz w:val="22"/>
        </w:rPr>
        <w:t>results.</w:t>
      </w:r>
    </w:p>
    <w:p>
      <w:pPr>
        <w:pStyle w:val="BodyText"/>
        <w:spacing w:before="1"/>
        <w:ind w:left="0"/>
      </w:pPr>
    </w:p>
    <w:p>
      <w:pPr>
        <w:pStyle w:val="BodyText"/>
        <w:ind w:left="760"/>
      </w:pPr>
      <w:r>
        <w:rPr>
          <w:color w:val="5B9BD4"/>
        </w:rPr>
        <w:t>School Program &amp; Process data</w:t>
      </w:r>
    </w:p>
    <w:p>
      <w:pPr>
        <w:pStyle w:val="ListParagraph"/>
        <w:numPr>
          <w:ilvl w:val="0"/>
          <w:numId w:val="3"/>
        </w:numPr>
        <w:tabs>
          <w:tab w:pos="1481" w:val="left" w:leader="none"/>
        </w:tabs>
        <w:spacing w:line="240" w:lineRule="auto" w:before="0" w:after="0"/>
        <w:ind w:left="1480" w:right="1275" w:hanging="360"/>
        <w:jc w:val="left"/>
        <w:rPr>
          <w:sz w:val="22"/>
        </w:rPr>
      </w:pPr>
      <w:r>
        <w:rPr>
          <w:sz w:val="22"/>
        </w:rPr>
        <w:t>A school-based Learning Survey was first implemented in 2019. The 2020 survey results reflect improved results in all</w:t>
      </w:r>
      <w:r>
        <w:rPr>
          <w:spacing w:val="-6"/>
          <w:sz w:val="22"/>
        </w:rPr>
        <w:t> </w:t>
      </w:r>
      <w:r>
        <w:rPr>
          <w:sz w:val="22"/>
        </w:rPr>
        <w:t>questions.</w:t>
      </w:r>
    </w:p>
    <w:p>
      <w:pPr>
        <w:pStyle w:val="BodyText"/>
        <w:ind w:left="0"/>
      </w:pPr>
    </w:p>
    <w:p>
      <w:pPr>
        <w:pStyle w:val="BodyText"/>
        <w:spacing w:before="11"/>
        <w:ind w:left="0"/>
        <w:rPr>
          <w:sz w:val="21"/>
        </w:rPr>
      </w:pPr>
    </w:p>
    <w:p>
      <w:pPr>
        <w:pStyle w:val="BodyText"/>
        <w:ind w:left="760" w:right="1188"/>
      </w:pPr>
      <w:r>
        <w:rPr/>
        <w:t>2020 outcomes confirmed the following key focus areas for inclusion in the school’s 2021 Action Plan:</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Continue a focus on the Early Years Literacy</w:t>
      </w:r>
      <w:r>
        <w:rPr>
          <w:spacing w:val="-11"/>
          <w:sz w:val="22"/>
        </w:rPr>
        <w:t> </w:t>
      </w:r>
      <w:r>
        <w:rPr>
          <w:sz w:val="22"/>
        </w:rPr>
        <w:t>initiative</w:t>
      </w:r>
    </w:p>
    <w:p>
      <w:pPr>
        <w:pStyle w:val="ListParagraph"/>
        <w:numPr>
          <w:ilvl w:val="0"/>
          <w:numId w:val="1"/>
        </w:numPr>
        <w:tabs>
          <w:tab w:pos="1480" w:val="left" w:leader="none"/>
          <w:tab w:pos="1481" w:val="left" w:leader="none"/>
        </w:tabs>
        <w:spacing w:line="240" w:lineRule="auto" w:before="1" w:after="0"/>
        <w:ind w:left="1480" w:right="0" w:hanging="361"/>
        <w:jc w:val="left"/>
        <w:rPr>
          <w:sz w:val="22"/>
        </w:rPr>
      </w:pPr>
      <w:r>
        <w:rPr>
          <w:sz w:val="22"/>
        </w:rPr>
        <w:t>Further develop the spelling program</w:t>
      </w:r>
      <w:r>
        <w:rPr>
          <w:spacing w:val="-5"/>
          <w:sz w:val="22"/>
        </w:rPr>
        <w:t> </w:t>
      </w:r>
      <w:r>
        <w:rPr>
          <w:sz w:val="22"/>
        </w:rPr>
        <w:t>K-6</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Continue to embed the knowledge and skills of PANL with a focus on rich</w:t>
      </w:r>
      <w:r>
        <w:rPr>
          <w:spacing w:val="-16"/>
          <w:sz w:val="22"/>
        </w:rPr>
        <w:t> </w:t>
      </w:r>
      <w:r>
        <w:rPr>
          <w:sz w:val="22"/>
        </w:rPr>
        <w:t>tasks</w:t>
      </w:r>
    </w:p>
    <w:p>
      <w:pPr>
        <w:pStyle w:val="ListParagraph"/>
        <w:numPr>
          <w:ilvl w:val="0"/>
          <w:numId w:val="1"/>
        </w:numPr>
        <w:tabs>
          <w:tab w:pos="1480" w:val="left" w:leader="none"/>
          <w:tab w:pos="1481" w:val="left" w:leader="none"/>
        </w:tabs>
        <w:spacing w:line="240" w:lineRule="auto" w:before="1" w:after="0"/>
        <w:ind w:left="1480" w:right="0" w:hanging="361"/>
        <w:jc w:val="left"/>
        <w:rPr>
          <w:sz w:val="22"/>
        </w:rPr>
      </w:pPr>
      <w:r>
        <w:rPr>
          <w:sz w:val="22"/>
        </w:rPr>
        <w:t>Develop class teacher capacity to analyse</w:t>
      </w:r>
      <w:r>
        <w:rPr>
          <w:spacing w:val="-4"/>
          <w:sz w:val="22"/>
        </w:rPr>
        <w:t> </w:t>
      </w:r>
      <w:r>
        <w:rPr>
          <w:sz w:val="22"/>
        </w:rPr>
        <w:t>data</w:t>
      </w:r>
    </w:p>
    <w:p>
      <w:pPr>
        <w:pStyle w:val="ListParagraph"/>
        <w:numPr>
          <w:ilvl w:val="0"/>
          <w:numId w:val="1"/>
        </w:numPr>
        <w:tabs>
          <w:tab w:pos="1480" w:val="left" w:leader="none"/>
          <w:tab w:pos="1481" w:val="left" w:leader="none"/>
        </w:tabs>
        <w:spacing w:line="240" w:lineRule="auto" w:before="0" w:after="0"/>
        <w:ind w:left="1480" w:right="1160" w:hanging="360"/>
        <w:jc w:val="left"/>
        <w:rPr>
          <w:sz w:val="22"/>
        </w:rPr>
      </w:pPr>
      <w:r>
        <w:rPr>
          <w:sz w:val="22"/>
        </w:rPr>
        <w:t>Continued use of the PLC model to support teachers in meeting the needs of all students through</w:t>
      </w:r>
      <w:r>
        <w:rPr>
          <w:spacing w:val="-2"/>
          <w:sz w:val="22"/>
        </w:rPr>
        <w:t> </w:t>
      </w:r>
      <w:r>
        <w:rPr>
          <w:sz w:val="22"/>
        </w:rPr>
        <w:t>differentiation</w:t>
      </w:r>
    </w:p>
    <w:p>
      <w:pPr>
        <w:pStyle w:val="ListParagraph"/>
        <w:numPr>
          <w:ilvl w:val="0"/>
          <w:numId w:val="1"/>
        </w:numPr>
        <w:tabs>
          <w:tab w:pos="1480" w:val="left" w:leader="none"/>
          <w:tab w:pos="1481" w:val="left" w:leader="none"/>
        </w:tabs>
        <w:spacing w:line="267" w:lineRule="exact" w:before="0" w:after="0"/>
        <w:ind w:left="1480" w:right="0" w:hanging="361"/>
        <w:jc w:val="left"/>
        <w:rPr>
          <w:sz w:val="22"/>
        </w:rPr>
      </w:pPr>
      <w:r>
        <w:rPr>
          <w:sz w:val="22"/>
        </w:rPr>
        <w:t>Further progress work on teacher feedback to</w:t>
      </w:r>
      <w:r>
        <w:rPr>
          <w:spacing w:val="-8"/>
          <w:sz w:val="22"/>
        </w:rPr>
        <w:t> </w:t>
      </w:r>
      <w:r>
        <w:rPr>
          <w:sz w:val="22"/>
        </w:rPr>
        <w:t>students</w:t>
      </w:r>
    </w:p>
    <w:p>
      <w:pPr>
        <w:pStyle w:val="ListParagraph"/>
        <w:numPr>
          <w:ilvl w:val="0"/>
          <w:numId w:val="1"/>
        </w:numPr>
        <w:tabs>
          <w:tab w:pos="1480" w:val="left" w:leader="none"/>
          <w:tab w:pos="1481" w:val="left" w:leader="none"/>
        </w:tabs>
        <w:spacing w:line="267" w:lineRule="exact" w:before="0" w:after="0"/>
        <w:ind w:left="1480" w:right="0" w:hanging="361"/>
        <w:jc w:val="left"/>
        <w:rPr>
          <w:sz w:val="22"/>
        </w:rPr>
      </w:pPr>
      <w:r>
        <w:rPr>
          <w:sz w:val="22"/>
        </w:rPr>
        <w:t>Implement student learning</w:t>
      </w:r>
      <w:r>
        <w:rPr>
          <w:spacing w:val="-4"/>
          <w:sz w:val="22"/>
        </w:rPr>
        <w:t> </w:t>
      </w:r>
      <w:r>
        <w:rPr>
          <w:sz w:val="22"/>
        </w:rPr>
        <w:t>goals</w:t>
      </w:r>
    </w:p>
    <w:p>
      <w:pPr>
        <w:pStyle w:val="ListParagraph"/>
        <w:numPr>
          <w:ilvl w:val="0"/>
          <w:numId w:val="1"/>
        </w:numPr>
        <w:tabs>
          <w:tab w:pos="1480" w:val="left" w:leader="none"/>
          <w:tab w:pos="1481" w:val="left" w:leader="none"/>
        </w:tabs>
        <w:spacing w:line="240" w:lineRule="auto" w:before="1" w:after="0"/>
        <w:ind w:left="1480" w:right="990" w:hanging="360"/>
        <w:jc w:val="left"/>
        <w:rPr>
          <w:sz w:val="22"/>
        </w:rPr>
      </w:pPr>
      <w:r>
        <w:rPr>
          <w:sz w:val="22"/>
        </w:rPr>
        <w:t>Maintain the focus of building teacher capacity through targeted professional learning and coaching</w:t>
      </w:r>
    </w:p>
    <w:p>
      <w:pPr>
        <w:spacing w:after="0" w:line="240" w:lineRule="auto"/>
        <w:jc w:val="left"/>
        <w:rPr>
          <w:sz w:val="22"/>
        </w:rPr>
        <w:sectPr>
          <w:pgSz w:w="11910" w:h="16840"/>
          <w:pgMar w:header="0" w:footer="1046" w:top="1420" w:bottom="1320" w:left="680" w:right="660"/>
        </w:sectPr>
      </w:pPr>
    </w:p>
    <w:p>
      <w:pPr>
        <w:pStyle w:val="BodyText"/>
        <w:spacing w:before="81"/>
        <w:ind w:left="760"/>
        <w:rPr>
          <w:rFonts w:ascii="Arial"/>
        </w:rPr>
      </w:pPr>
      <w:r>
        <w:rPr>
          <w:rFonts w:ascii="Arial"/>
          <w:color w:val="1F4D78"/>
        </w:rPr>
        <w:t>Our achievements for this priority</w:t>
      </w:r>
    </w:p>
    <w:p>
      <w:pPr>
        <w:pStyle w:val="BodyText"/>
        <w:ind w:left="0"/>
        <w:rPr>
          <w:rFonts w:ascii="Arial"/>
          <w:sz w:val="24"/>
        </w:rPr>
      </w:pPr>
    </w:p>
    <w:p>
      <w:pPr>
        <w:pStyle w:val="Heading4"/>
        <w:spacing w:before="153"/>
      </w:pPr>
      <w:r>
        <w:rPr/>
        <w:t>Pedagogical practice</w:t>
      </w:r>
    </w:p>
    <w:p>
      <w:pPr>
        <w:pStyle w:val="ListParagraph"/>
        <w:numPr>
          <w:ilvl w:val="0"/>
          <w:numId w:val="1"/>
        </w:numPr>
        <w:tabs>
          <w:tab w:pos="1480" w:val="left" w:leader="none"/>
          <w:tab w:pos="1481" w:val="left" w:leader="none"/>
        </w:tabs>
        <w:spacing w:line="240" w:lineRule="auto" w:before="41" w:after="0"/>
        <w:ind w:left="1480" w:right="1496" w:hanging="360"/>
        <w:jc w:val="left"/>
        <w:rPr>
          <w:sz w:val="22"/>
        </w:rPr>
      </w:pPr>
      <w:r>
        <w:rPr>
          <w:sz w:val="22"/>
        </w:rPr>
        <w:t>A focus for junior primary teachers was the implementation of individualised goals in Mathematics. This will support goal setting in other KLAs in</w:t>
      </w:r>
      <w:r>
        <w:rPr>
          <w:spacing w:val="-13"/>
          <w:sz w:val="22"/>
        </w:rPr>
        <w:t> </w:t>
      </w:r>
      <w:r>
        <w:rPr>
          <w:sz w:val="22"/>
        </w:rPr>
        <w:t>2021.</w:t>
      </w:r>
    </w:p>
    <w:p>
      <w:pPr>
        <w:pStyle w:val="ListParagraph"/>
        <w:numPr>
          <w:ilvl w:val="0"/>
          <w:numId w:val="1"/>
        </w:numPr>
        <w:tabs>
          <w:tab w:pos="1480" w:val="left" w:leader="none"/>
          <w:tab w:pos="1481" w:val="left" w:leader="none"/>
        </w:tabs>
        <w:spacing w:line="240" w:lineRule="auto" w:before="0" w:after="0"/>
        <w:ind w:left="1480" w:right="1185" w:hanging="360"/>
        <w:jc w:val="left"/>
        <w:rPr>
          <w:sz w:val="22"/>
        </w:rPr>
      </w:pPr>
      <w:r>
        <w:rPr>
          <w:sz w:val="22"/>
        </w:rPr>
        <w:t>Senior primary teachers focussed on improving reading results and consistently applying high expectations for all</w:t>
      </w:r>
      <w:r>
        <w:rPr>
          <w:spacing w:val="-5"/>
          <w:sz w:val="22"/>
        </w:rPr>
        <w:t> </w:t>
      </w:r>
      <w:r>
        <w:rPr>
          <w:sz w:val="22"/>
        </w:rPr>
        <w:t>students.</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K to Yr 6 teachers completed initial professional learning on the use of The</w:t>
      </w:r>
      <w:r>
        <w:rPr>
          <w:spacing w:val="-9"/>
          <w:sz w:val="22"/>
        </w:rPr>
        <w:t> </w:t>
      </w:r>
      <w:r>
        <w:rPr>
          <w:sz w:val="22"/>
        </w:rPr>
        <w:t>Reader’s</w:t>
      </w:r>
    </w:p>
    <w:p>
      <w:pPr>
        <w:pStyle w:val="BodyText"/>
      </w:pPr>
      <w:r>
        <w:rPr/>
        <w:t>Workshop model which will be implemented in 2021.</w:t>
      </w:r>
    </w:p>
    <w:p>
      <w:pPr>
        <w:pStyle w:val="ListParagraph"/>
        <w:numPr>
          <w:ilvl w:val="0"/>
          <w:numId w:val="1"/>
        </w:numPr>
        <w:tabs>
          <w:tab w:pos="1480" w:val="left" w:leader="none"/>
          <w:tab w:pos="1481" w:val="left" w:leader="none"/>
        </w:tabs>
        <w:spacing w:line="240" w:lineRule="auto" w:before="0" w:after="0"/>
        <w:ind w:left="1480" w:right="1130" w:hanging="360"/>
        <w:jc w:val="left"/>
        <w:rPr>
          <w:sz w:val="22"/>
        </w:rPr>
      </w:pPr>
      <w:r>
        <w:rPr>
          <w:sz w:val="22"/>
        </w:rPr>
        <w:t>Our continued focus on phonological awareness and morphology through the explicit teaching of reading strategies, and the purchase of high-quality reading texts to establish class libraries has been highly successful. The 2020 reading data improved by 3% points, with 95% of students from Kinder to Yr2 reaching end of year</w:t>
      </w:r>
      <w:r>
        <w:rPr>
          <w:spacing w:val="-13"/>
          <w:sz w:val="22"/>
        </w:rPr>
        <w:t> </w:t>
      </w:r>
      <w:r>
        <w:rPr>
          <w:sz w:val="22"/>
        </w:rPr>
        <w:t>benchmark.</w:t>
      </w:r>
    </w:p>
    <w:p>
      <w:pPr>
        <w:pStyle w:val="ListParagraph"/>
        <w:numPr>
          <w:ilvl w:val="0"/>
          <w:numId w:val="1"/>
        </w:numPr>
        <w:tabs>
          <w:tab w:pos="1530" w:val="left" w:leader="none"/>
          <w:tab w:pos="1531" w:val="left" w:leader="none"/>
        </w:tabs>
        <w:spacing w:line="240" w:lineRule="auto" w:before="0" w:after="0"/>
        <w:ind w:left="1480" w:right="1803" w:hanging="360"/>
        <w:jc w:val="left"/>
        <w:rPr>
          <w:sz w:val="22"/>
        </w:rPr>
      </w:pPr>
      <w:r>
        <w:rPr/>
        <w:tab/>
      </w:r>
      <w:r>
        <w:rPr>
          <w:sz w:val="22"/>
        </w:rPr>
        <w:t>A Maths program with a focus on flexible mental computation and rich tasks was successfully trialled in year 2. This will be a focus across the school in</w:t>
      </w:r>
      <w:r>
        <w:rPr>
          <w:spacing w:val="-20"/>
          <w:sz w:val="22"/>
        </w:rPr>
        <w:t> </w:t>
      </w:r>
      <w:r>
        <w:rPr>
          <w:sz w:val="22"/>
        </w:rPr>
        <w:t>2021.</w:t>
      </w:r>
    </w:p>
    <w:p>
      <w:pPr>
        <w:pStyle w:val="ListParagraph"/>
        <w:numPr>
          <w:ilvl w:val="0"/>
          <w:numId w:val="1"/>
        </w:numPr>
        <w:tabs>
          <w:tab w:pos="1480" w:val="left" w:leader="none"/>
          <w:tab w:pos="1481" w:val="left" w:leader="none"/>
        </w:tabs>
        <w:spacing w:line="267" w:lineRule="exact" w:before="0" w:after="0"/>
        <w:ind w:left="1480" w:right="0" w:hanging="361"/>
        <w:jc w:val="left"/>
        <w:rPr>
          <w:sz w:val="22"/>
        </w:rPr>
      </w:pPr>
      <w:r>
        <w:rPr>
          <w:sz w:val="22"/>
        </w:rPr>
        <w:t>A 5/6 Spelling Guide was trialled and will be implemented in 2021 with</w:t>
      </w:r>
      <w:r>
        <w:rPr>
          <w:spacing w:val="-16"/>
          <w:sz w:val="22"/>
        </w:rPr>
        <w:t> </w:t>
      </w:r>
      <w:r>
        <w:rPr>
          <w:sz w:val="22"/>
        </w:rPr>
        <w:t>refinements</w:t>
      </w:r>
    </w:p>
    <w:p>
      <w:pPr>
        <w:pStyle w:val="ListParagraph"/>
        <w:numPr>
          <w:ilvl w:val="0"/>
          <w:numId w:val="1"/>
        </w:numPr>
        <w:tabs>
          <w:tab w:pos="1480" w:val="left" w:leader="none"/>
          <w:tab w:pos="1481" w:val="left" w:leader="none"/>
        </w:tabs>
        <w:spacing w:line="240" w:lineRule="auto" w:before="0" w:after="0"/>
        <w:ind w:left="1480" w:right="1001" w:hanging="360"/>
        <w:jc w:val="left"/>
        <w:rPr>
          <w:sz w:val="22"/>
        </w:rPr>
      </w:pPr>
      <w:r>
        <w:rPr>
          <w:sz w:val="22"/>
        </w:rPr>
        <w:t>2020 provided the unique opportunity for staff and students to enhance their ITC skills for teaching and learning in order to facilitate a Remote Learning Program during COVID. Staff received extensive professional learning in the use of Seesaw and a range of other online learning tools such as Google Classroom, Screencastify and</w:t>
      </w:r>
      <w:r>
        <w:rPr>
          <w:spacing w:val="-12"/>
          <w:sz w:val="22"/>
        </w:rPr>
        <w:t> </w:t>
      </w:r>
      <w:r>
        <w:rPr>
          <w:sz w:val="22"/>
        </w:rPr>
        <w:t>Flipgrid.</w:t>
      </w:r>
    </w:p>
    <w:p>
      <w:pPr>
        <w:pStyle w:val="ListParagraph"/>
        <w:numPr>
          <w:ilvl w:val="0"/>
          <w:numId w:val="1"/>
        </w:numPr>
        <w:tabs>
          <w:tab w:pos="1480" w:val="left" w:leader="none"/>
          <w:tab w:pos="1481" w:val="left" w:leader="none"/>
        </w:tabs>
        <w:spacing w:line="240" w:lineRule="auto" w:before="1" w:after="0"/>
        <w:ind w:left="1480" w:right="1165" w:hanging="360"/>
        <w:jc w:val="left"/>
        <w:rPr>
          <w:sz w:val="22"/>
        </w:rPr>
      </w:pPr>
      <w:r>
        <w:rPr>
          <w:sz w:val="22"/>
        </w:rPr>
        <w:t>The school continued to strategically target resources to support student need. This included facilitating learning support groups, LSA support, sensory resources and flexible learning</w:t>
      </w:r>
      <w:r>
        <w:rPr>
          <w:spacing w:val="-2"/>
          <w:sz w:val="22"/>
        </w:rPr>
        <w:t> </w:t>
      </w:r>
      <w:r>
        <w:rPr>
          <w:sz w:val="22"/>
        </w:rPr>
        <w:t>furniture.</w:t>
      </w:r>
    </w:p>
    <w:p>
      <w:pPr>
        <w:pStyle w:val="ListParagraph"/>
        <w:numPr>
          <w:ilvl w:val="0"/>
          <w:numId w:val="1"/>
        </w:numPr>
        <w:tabs>
          <w:tab w:pos="1480" w:val="left" w:leader="none"/>
          <w:tab w:pos="1481" w:val="left" w:leader="none"/>
        </w:tabs>
        <w:spacing w:line="240" w:lineRule="auto" w:before="1" w:after="0"/>
        <w:ind w:left="1480" w:right="1137" w:hanging="360"/>
        <w:jc w:val="left"/>
        <w:rPr>
          <w:sz w:val="22"/>
        </w:rPr>
      </w:pPr>
      <w:r>
        <w:rPr>
          <w:sz w:val="22"/>
        </w:rPr>
        <w:t>preschool teachers engaged in professional learning to support contemporary practice in visual literacy and open-end play-based</w:t>
      </w:r>
      <w:r>
        <w:rPr>
          <w:spacing w:val="-5"/>
          <w:sz w:val="22"/>
        </w:rPr>
        <w:t> </w:t>
      </w:r>
      <w:r>
        <w:rPr>
          <w:sz w:val="22"/>
        </w:rPr>
        <w:t>learning.</w:t>
      </w:r>
    </w:p>
    <w:p>
      <w:pPr>
        <w:pStyle w:val="ListParagraph"/>
        <w:numPr>
          <w:ilvl w:val="0"/>
          <w:numId w:val="1"/>
        </w:numPr>
        <w:tabs>
          <w:tab w:pos="1480" w:val="left" w:leader="none"/>
          <w:tab w:pos="1481" w:val="left" w:leader="none"/>
        </w:tabs>
        <w:spacing w:line="240" w:lineRule="auto" w:before="0" w:after="0"/>
        <w:ind w:left="1480" w:right="1587" w:hanging="360"/>
        <w:jc w:val="left"/>
        <w:rPr>
          <w:sz w:val="22"/>
        </w:rPr>
      </w:pPr>
      <w:r>
        <w:rPr>
          <w:sz w:val="22"/>
        </w:rPr>
        <w:t>initiated change in the preschool with a focus on student centred investigations and establishing a more natural and resource rich</w:t>
      </w:r>
      <w:r>
        <w:rPr>
          <w:spacing w:val="-7"/>
          <w:sz w:val="22"/>
        </w:rPr>
        <w:t> </w:t>
      </w:r>
      <w:r>
        <w:rPr>
          <w:sz w:val="22"/>
        </w:rPr>
        <w:t>environment</w:t>
      </w:r>
    </w:p>
    <w:p>
      <w:pPr>
        <w:pStyle w:val="ListParagraph"/>
        <w:numPr>
          <w:ilvl w:val="0"/>
          <w:numId w:val="1"/>
        </w:numPr>
        <w:tabs>
          <w:tab w:pos="1530" w:val="left" w:leader="none"/>
          <w:tab w:pos="1531" w:val="left" w:leader="none"/>
        </w:tabs>
        <w:spacing w:line="240" w:lineRule="auto" w:before="0" w:after="0"/>
        <w:ind w:left="1530" w:right="0" w:hanging="411"/>
        <w:jc w:val="left"/>
        <w:rPr>
          <w:sz w:val="22"/>
        </w:rPr>
      </w:pPr>
      <w:r>
        <w:rPr>
          <w:sz w:val="22"/>
        </w:rPr>
        <w:t>A 5/6 Spelling Guide was trialled and will be implemented in 2021 with</w:t>
      </w:r>
      <w:r>
        <w:rPr>
          <w:spacing w:val="-12"/>
          <w:sz w:val="22"/>
        </w:rPr>
        <w:t> </w:t>
      </w:r>
      <w:r>
        <w:rPr>
          <w:sz w:val="22"/>
        </w:rPr>
        <w:t>refinements</w:t>
      </w:r>
    </w:p>
    <w:p>
      <w:pPr>
        <w:pStyle w:val="BodyText"/>
        <w:ind w:left="0"/>
        <w:rPr>
          <w:sz w:val="24"/>
        </w:rPr>
      </w:pPr>
    </w:p>
    <w:p>
      <w:pPr>
        <w:pStyle w:val="BodyText"/>
        <w:spacing w:before="11"/>
        <w:ind w:left="0"/>
        <w:rPr>
          <w:sz w:val="19"/>
        </w:rPr>
      </w:pPr>
    </w:p>
    <w:p>
      <w:pPr>
        <w:pStyle w:val="Heading4"/>
      </w:pPr>
      <w:r>
        <w:rPr/>
        <w:t>Data</w:t>
      </w:r>
    </w:p>
    <w:p>
      <w:pPr>
        <w:pStyle w:val="ListParagraph"/>
        <w:numPr>
          <w:ilvl w:val="0"/>
          <w:numId w:val="1"/>
        </w:numPr>
        <w:tabs>
          <w:tab w:pos="1480" w:val="left" w:leader="none"/>
          <w:tab w:pos="1481" w:val="left" w:leader="none"/>
        </w:tabs>
        <w:spacing w:line="240" w:lineRule="auto" w:before="0" w:after="0"/>
        <w:ind w:left="1480" w:right="866" w:hanging="360"/>
        <w:jc w:val="left"/>
        <w:rPr>
          <w:sz w:val="22"/>
        </w:rPr>
      </w:pPr>
      <w:r>
        <w:rPr>
          <w:sz w:val="22"/>
        </w:rPr>
        <w:t>Data analysis in the school has matured. Data analysis and discussion has been a key aspect of PLC meetings. Staff are increasingly taking ownership of their impact on student learning. Continued use of data analysis templates - Venn diagram (grouping) and Visible Learning (identifies growth and impact of teaching).  Data sets are analysed regularly in PLC meetings.</w:t>
      </w:r>
    </w:p>
    <w:p>
      <w:pPr>
        <w:pStyle w:val="ListParagraph"/>
        <w:numPr>
          <w:ilvl w:val="0"/>
          <w:numId w:val="1"/>
        </w:numPr>
        <w:tabs>
          <w:tab w:pos="1480" w:val="left" w:leader="none"/>
          <w:tab w:pos="1481" w:val="left" w:leader="none"/>
        </w:tabs>
        <w:spacing w:line="267" w:lineRule="exact" w:before="0" w:after="0"/>
        <w:ind w:left="1480" w:right="0" w:hanging="361"/>
        <w:jc w:val="left"/>
        <w:rPr>
          <w:sz w:val="22"/>
        </w:rPr>
      </w:pPr>
      <w:r>
        <w:rPr>
          <w:sz w:val="22"/>
        </w:rPr>
        <w:t>The school data schedule is reviewed and refined each year in consultation with</w:t>
      </w:r>
      <w:r>
        <w:rPr>
          <w:spacing w:val="-21"/>
          <w:sz w:val="22"/>
        </w:rPr>
        <w:t> </w:t>
      </w:r>
      <w:r>
        <w:rPr>
          <w:sz w:val="22"/>
        </w:rPr>
        <w:t>teachers.</w:t>
      </w:r>
    </w:p>
    <w:p>
      <w:pPr>
        <w:pStyle w:val="ListParagraph"/>
        <w:numPr>
          <w:ilvl w:val="0"/>
          <w:numId w:val="1"/>
        </w:numPr>
        <w:tabs>
          <w:tab w:pos="1530" w:val="left" w:leader="none"/>
          <w:tab w:pos="1531" w:val="left" w:leader="none"/>
        </w:tabs>
        <w:spacing w:line="240" w:lineRule="auto" w:before="0" w:after="0"/>
        <w:ind w:left="1480" w:right="812" w:hanging="360"/>
        <w:jc w:val="left"/>
        <w:rPr>
          <w:sz w:val="22"/>
        </w:rPr>
      </w:pPr>
      <w:r>
        <w:rPr/>
        <w:tab/>
      </w:r>
      <w:r>
        <w:rPr>
          <w:sz w:val="22"/>
        </w:rPr>
        <w:t>Class Profile discussions continue to provide teachers with the opportunity to demonstrate their knowledge and understanding of student growth and for the leadership team to gather data to target support and extension for</w:t>
      </w:r>
      <w:r>
        <w:rPr>
          <w:spacing w:val="-4"/>
          <w:sz w:val="22"/>
        </w:rPr>
        <w:t> </w:t>
      </w:r>
      <w:r>
        <w:rPr>
          <w:sz w:val="22"/>
        </w:rPr>
        <w:t>students.</w:t>
      </w:r>
    </w:p>
    <w:p>
      <w:pPr>
        <w:pStyle w:val="ListParagraph"/>
        <w:numPr>
          <w:ilvl w:val="0"/>
          <w:numId w:val="1"/>
        </w:numPr>
        <w:tabs>
          <w:tab w:pos="1480" w:val="left" w:leader="none"/>
          <w:tab w:pos="1481" w:val="left" w:leader="none"/>
        </w:tabs>
        <w:spacing w:line="240" w:lineRule="auto" w:before="1" w:after="0"/>
        <w:ind w:left="1480" w:right="882" w:hanging="360"/>
        <w:jc w:val="left"/>
        <w:rPr>
          <w:sz w:val="22"/>
        </w:rPr>
      </w:pPr>
      <w:r>
        <w:rPr>
          <w:sz w:val="22"/>
        </w:rPr>
        <w:t>Extensive discussion has occurred in relation to assessment and data collection in the preschool this year. Teachers have trialled a data collection spread sheet. Consideration has been given to adopting Brigance Preschool Screen as this will provide standardised information about student growth in their preschool</w:t>
      </w:r>
      <w:r>
        <w:rPr>
          <w:spacing w:val="-12"/>
          <w:sz w:val="22"/>
        </w:rPr>
        <w:t> </w:t>
      </w:r>
      <w:r>
        <w:rPr>
          <w:sz w:val="22"/>
        </w:rPr>
        <w:t>year.</w:t>
      </w:r>
    </w:p>
    <w:p>
      <w:pPr>
        <w:pStyle w:val="BodyText"/>
        <w:spacing w:before="11"/>
        <w:ind w:left="0"/>
        <w:rPr>
          <w:sz w:val="21"/>
        </w:rPr>
      </w:pPr>
    </w:p>
    <w:p>
      <w:pPr>
        <w:pStyle w:val="Heading4"/>
      </w:pPr>
      <w:r>
        <w:rPr/>
        <w:t>Formative Assessment</w:t>
      </w:r>
    </w:p>
    <w:p>
      <w:pPr>
        <w:pStyle w:val="ListParagraph"/>
        <w:numPr>
          <w:ilvl w:val="0"/>
          <w:numId w:val="1"/>
        </w:numPr>
        <w:tabs>
          <w:tab w:pos="1480" w:val="left" w:leader="none"/>
          <w:tab w:pos="1481" w:val="left" w:leader="none"/>
        </w:tabs>
        <w:spacing w:line="240" w:lineRule="auto" w:before="41" w:after="0"/>
        <w:ind w:left="1480" w:right="0" w:hanging="361"/>
        <w:jc w:val="left"/>
        <w:rPr>
          <w:sz w:val="22"/>
        </w:rPr>
      </w:pPr>
      <w:r>
        <w:rPr>
          <w:sz w:val="22"/>
        </w:rPr>
        <w:t>Continued to build teacher skill in writing Learning Intentions and Success</w:t>
      </w:r>
      <w:r>
        <w:rPr>
          <w:spacing w:val="-13"/>
          <w:sz w:val="22"/>
        </w:rPr>
        <w:t> </w:t>
      </w:r>
      <w:r>
        <w:rPr>
          <w:sz w:val="22"/>
        </w:rPr>
        <w:t>Criteria</w:t>
      </w:r>
    </w:p>
    <w:p>
      <w:pPr>
        <w:pStyle w:val="ListParagraph"/>
        <w:numPr>
          <w:ilvl w:val="0"/>
          <w:numId w:val="1"/>
        </w:numPr>
        <w:tabs>
          <w:tab w:pos="1480" w:val="left" w:leader="none"/>
          <w:tab w:pos="1481" w:val="left" w:leader="none"/>
        </w:tabs>
        <w:spacing w:line="240" w:lineRule="auto" w:before="0" w:after="0"/>
        <w:ind w:left="1480" w:right="856" w:hanging="360"/>
        <w:jc w:val="left"/>
        <w:rPr>
          <w:sz w:val="22"/>
        </w:rPr>
      </w:pPr>
      <w:r>
        <w:rPr>
          <w:sz w:val="22"/>
        </w:rPr>
        <w:t>Greater consistency of sharing Learning Intentions and Success Criteria with students during lessons to support student ownership of their</w:t>
      </w:r>
      <w:r>
        <w:rPr>
          <w:spacing w:val="-14"/>
          <w:sz w:val="22"/>
        </w:rPr>
        <w:t> </w:t>
      </w:r>
      <w:r>
        <w:rPr>
          <w:sz w:val="22"/>
        </w:rPr>
        <w:t>learning</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K-2 PLC developed agreed protocols for individualised goals in</w:t>
      </w:r>
      <w:r>
        <w:rPr>
          <w:spacing w:val="-19"/>
          <w:sz w:val="22"/>
        </w:rPr>
        <w:t> </w:t>
      </w:r>
      <w:r>
        <w:rPr>
          <w:sz w:val="22"/>
        </w:rPr>
        <w:t>Mathematics</w:t>
      </w:r>
    </w:p>
    <w:p>
      <w:pPr>
        <w:spacing w:after="0" w:line="240" w:lineRule="auto"/>
        <w:jc w:val="left"/>
        <w:rPr>
          <w:sz w:val="22"/>
        </w:rPr>
        <w:sectPr>
          <w:pgSz w:w="11910" w:h="16840"/>
          <w:pgMar w:header="0" w:footer="1046" w:top="1340" w:bottom="1320" w:left="680" w:right="660"/>
        </w:sectPr>
      </w:pPr>
    </w:p>
    <w:p>
      <w:pPr>
        <w:pStyle w:val="Heading4"/>
        <w:spacing w:before="41"/>
      </w:pPr>
      <w:r>
        <w:rPr/>
        <w:t>Deliver an innovative and relevant curriculum</w:t>
      </w:r>
    </w:p>
    <w:p>
      <w:pPr>
        <w:pStyle w:val="ListParagraph"/>
        <w:numPr>
          <w:ilvl w:val="0"/>
          <w:numId w:val="1"/>
        </w:numPr>
        <w:tabs>
          <w:tab w:pos="1480" w:val="left" w:leader="none"/>
          <w:tab w:pos="1481" w:val="left" w:leader="none"/>
        </w:tabs>
        <w:spacing w:line="237" w:lineRule="auto" w:before="43" w:after="0"/>
        <w:ind w:left="1480" w:right="1287" w:hanging="360"/>
        <w:jc w:val="left"/>
        <w:rPr>
          <w:sz w:val="22"/>
        </w:rPr>
      </w:pPr>
      <w:r>
        <w:rPr>
          <w:sz w:val="22"/>
        </w:rPr>
        <w:t>Introduction of Learning Assets has been positively received by students and staff – the focus in 2021 will be to proactively engage the school</w:t>
      </w:r>
      <w:r>
        <w:rPr>
          <w:spacing w:val="-12"/>
          <w:sz w:val="22"/>
        </w:rPr>
        <w:t> </w:t>
      </w:r>
      <w:r>
        <w:rPr>
          <w:sz w:val="22"/>
        </w:rPr>
        <w:t>community.</w:t>
      </w:r>
    </w:p>
    <w:p>
      <w:pPr>
        <w:pStyle w:val="ListParagraph"/>
        <w:numPr>
          <w:ilvl w:val="0"/>
          <w:numId w:val="1"/>
        </w:numPr>
        <w:tabs>
          <w:tab w:pos="1480" w:val="left" w:leader="none"/>
          <w:tab w:pos="1481" w:val="left" w:leader="none"/>
        </w:tabs>
        <w:spacing w:line="240" w:lineRule="auto" w:before="2" w:after="0"/>
        <w:ind w:left="1480" w:right="837" w:hanging="360"/>
        <w:jc w:val="left"/>
        <w:rPr>
          <w:sz w:val="22"/>
        </w:rPr>
      </w:pPr>
      <w:r>
        <w:rPr>
          <w:sz w:val="22"/>
        </w:rPr>
        <w:t>Developed new English and Mathematics fortnightly planning templates for implementation in</w:t>
      </w:r>
      <w:r>
        <w:rPr>
          <w:spacing w:val="-1"/>
          <w:sz w:val="22"/>
        </w:rPr>
        <w:t> </w:t>
      </w:r>
      <w:r>
        <w:rPr>
          <w:sz w:val="22"/>
        </w:rPr>
        <w:t>2021</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Focus on rich tasks and differentiation in K-2</w:t>
      </w:r>
      <w:r>
        <w:rPr>
          <w:spacing w:val="-8"/>
          <w:sz w:val="22"/>
        </w:rPr>
        <w:t> </w:t>
      </w:r>
      <w:r>
        <w:rPr>
          <w:sz w:val="22"/>
        </w:rPr>
        <w:t>Mathematics</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Developed and trialled a 5/6 spelling program. To be further refined in</w:t>
      </w:r>
      <w:r>
        <w:rPr>
          <w:spacing w:val="-16"/>
          <w:sz w:val="22"/>
        </w:rPr>
        <w:t> </w:t>
      </w:r>
      <w:r>
        <w:rPr>
          <w:sz w:val="22"/>
        </w:rPr>
        <w:t>2021</w:t>
      </w:r>
    </w:p>
    <w:p>
      <w:pPr>
        <w:pStyle w:val="ListParagraph"/>
        <w:numPr>
          <w:ilvl w:val="0"/>
          <w:numId w:val="1"/>
        </w:numPr>
        <w:tabs>
          <w:tab w:pos="1480" w:val="left" w:leader="none"/>
          <w:tab w:pos="1481" w:val="left" w:leader="none"/>
        </w:tabs>
        <w:spacing w:line="240" w:lineRule="auto" w:before="1" w:after="0"/>
        <w:ind w:left="1480" w:right="1018" w:hanging="360"/>
        <w:jc w:val="left"/>
        <w:rPr>
          <w:sz w:val="22"/>
        </w:rPr>
      </w:pPr>
      <w:r>
        <w:rPr>
          <w:sz w:val="22"/>
        </w:rPr>
        <w:t>Preschool EYLF – supporting documents developed to ensure a consistent approach to the resourcing and implementation of the EYLF Curriculum. Focus on early literacy skills, intentional teaching and the use of natural</w:t>
      </w:r>
      <w:r>
        <w:rPr>
          <w:spacing w:val="-10"/>
          <w:sz w:val="22"/>
        </w:rPr>
        <w:t> </w:t>
      </w:r>
      <w:r>
        <w:rPr>
          <w:sz w:val="22"/>
        </w:rPr>
        <w:t>resources.</w:t>
      </w:r>
    </w:p>
    <w:p>
      <w:pPr>
        <w:pStyle w:val="BodyText"/>
        <w:spacing w:before="9"/>
        <w:ind w:left="0"/>
        <w:rPr>
          <w:sz w:val="19"/>
        </w:rPr>
      </w:pPr>
    </w:p>
    <w:p>
      <w:pPr>
        <w:pStyle w:val="BodyText"/>
        <w:ind w:left="760"/>
        <w:rPr>
          <w:rFonts w:ascii="Arial"/>
        </w:rPr>
      </w:pPr>
      <w:r>
        <w:rPr>
          <w:rFonts w:ascii="Arial"/>
          <w:color w:val="1F4D78"/>
        </w:rPr>
        <w:t>Challenges we will address in our next Action Plan</w:t>
      </w:r>
    </w:p>
    <w:p>
      <w:pPr>
        <w:pStyle w:val="ListParagraph"/>
        <w:numPr>
          <w:ilvl w:val="0"/>
          <w:numId w:val="1"/>
        </w:numPr>
        <w:tabs>
          <w:tab w:pos="1480" w:val="left" w:leader="none"/>
          <w:tab w:pos="1481" w:val="left" w:leader="none"/>
        </w:tabs>
        <w:spacing w:line="240" w:lineRule="auto" w:before="118" w:after="0"/>
        <w:ind w:left="1480" w:right="0" w:hanging="361"/>
        <w:jc w:val="left"/>
        <w:rPr>
          <w:sz w:val="22"/>
        </w:rPr>
      </w:pPr>
      <w:r>
        <w:rPr>
          <w:sz w:val="22"/>
        </w:rPr>
        <w:t>Change to the leadership structure (1 Deputy in</w:t>
      </w:r>
      <w:r>
        <w:rPr>
          <w:spacing w:val="-4"/>
          <w:sz w:val="22"/>
        </w:rPr>
        <w:t> </w:t>
      </w:r>
      <w:r>
        <w:rPr>
          <w:sz w:val="22"/>
        </w:rPr>
        <w:t>2021)</w:t>
      </w:r>
    </w:p>
    <w:p>
      <w:pPr>
        <w:pStyle w:val="ListParagraph"/>
        <w:numPr>
          <w:ilvl w:val="0"/>
          <w:numId w:val="1"/>
        </w:numPr>
        <w:tabs>
          <w:tab w:pos="1480" w:val="left" w:leader="none"/>
          <w:tab w:pos="1481" w:val="left" w:leader="none"/>
        </w:tabs>
        <w:spacing w:line="240" w:lineRule="auto" w:before="1" w:after="0"/>
        <w:ind w:left="1480" w:right="0" w:hanging="361"/>
        <w:jc w:val="left"/>
        <w:rPr>
          <w:sz w:val="22"/>
        </w:rPr>
      </w:pPr>
      <w:r>
        <w:rPr>
          <w:sz w:val="22"/>
        </w:rPr>
        <w:t>Supporting and mentoring 50% of teachers in their first 5 years and two new</w:t>
      </w:r>
      <w:r>
        <w:rPr>
          <w:spacing w:val="-15"/>
          <w:sz w:val="22"/>
        </w:rPr>
        <w:t> </w:t>
      </w:r>
      <w:r>
        <w:rPr>
          <w:sz w:val="22"/>
        </w:rPr>
        <w:t>staff</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Integration of a student with physical</w:t>
      </w:r>
      <w:r>
        <w:rPr>
          <w:spacing w:val="-11"/>
          <w:sz w:val="22"/>
        </w:rPr>
        <w:t> </w:t>
      </w:r>
      <w:r>
        <w:rPr>
          <w:sz w:val="22"/>
        </w:rPr>
        <w:t>needs</w:t>
      </w:r>
    </w:p>
    <w:p>
      <w:pPr>
        <w:pStyle w:val="ListParagraph"/>
        <w:numPr>
          <w:ilvl w:val="0"/>
          <w:numId w:val="1"/>
        </w:numPr>
        <w:tabs>
          <w:tab w:pos="1480" w:val="left" w:leader="none"/>
          <w:tab w:pos="1481" w:val="left" w:leader="none"/>
        </w:tabs>
        <w:spacing w:line="240" w:lineRule="auto" w:before="1" w:after="0"/>
        <w:ind w:left="1480" w:right="912" w:hanging="360"/>
        <w:jc w:val="left"/>
        <w:rPr>
          <w:sz w:val="22"/>
        </w:rPr>
      </w:pPr>
      <w:r>
        <w:rPr>
          <w:sz w:val="22"/>
        </w:rPr>
        <w:t>Lack of funding for students with identified additional needs (7% of students are eligible for Learning Support</w:t>
      </w:r>
      <w:r>
        <w:rPr>
          <w:spacing w:val="-2"/>
          <w:sz w:val="22"/>
        </w:rPr>
        <w:t> </w:t>
      </w:r>
      <w:r>
        <w:rPr>
          <w:sz w:val="22"/>
        </w:rPr>
        <w:t>Centre)</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On-going impact of COVID on teaching, learning, wellbeing and community</w:t>
      </w:r>
      <w:r>
        <w:rPr>
          <w:spacing w:val="-12"/>
          <w:sz w:val="22"/>
        </w:rPr>
        <w:t> </w:t>
      </w:r>
      <w:r>
        <w:rPr>
          <w:sz w:val="22"/>
        </w:rPr>
        <w:t>engagement</w:t>
      </w:r>
    </w:p>
    <w:p>
      <w:pPr>
        <w:pStyle w:val="BodyText"/>
        <w:ind w:left="0"/>
        <w:rPr>
          <w:sz w:val="24"/>
        </w:rPr>
      </w:pPr>
    </w:p>
    <w:p>
      <w:pPr>
        <w:pStyle w:val="BodyText"/>
        <w:ind w:left="0"/>
        <w:rPr>
          <w:sz w:val="24"/>
        </w:rPr>
      </w:pPr>
    </w:p>
    <w:p>
      <w:pPr>
        <w:pStyle w:val="BodyText"/>
        <w:spacing w:before="7"/>
        <w:ind w:left="0"/>
        <w:rPr>
          <w:sz w:val="25"/>
        </w:rPr>
      </w:pPr>
    </w:p>
    <w:p>
      <w:pPr>
        <w:pStyle w:val="Heading2"/>
        <w:ind w:left="1893" w:right="851"/>
      </w:pPr>
      <w:r>
        <w:rPr>
          <w:rFonts w:ascii="Calibri"/>
          <w:color w:val="44536A"/>
        </w:rPr>
        <w:t>Priority 2</w:t>
      </w:r>
      <w:r>
        <w:rPr>
          <w:rFonts w:ascii="Calibri"/>
          <w:b w:val="0"/>
          <w:color w:val="44536A"/>
        </w:rPr>
        <w:t>: </w:t>
      </w:r>
      <w:r>
        <w:rPr>
          <w:color w:val="1F4E79"/>
        </w:rPr>
        <w:t>Build a positive and inclusive school culture to support student well- being and social emotional development and learning.</w:t>
      </w:r>
    </w:p>
    <w:p>
      <w:pPr>
        <w:pStyle w:val="Heading3"/>
        <w:spacing w:before="121"/>
      </w:pPr>
      <w:r>
        <w:rPr>
          <w:color w:val="1F4E79"/>
        </w:rPr>
        <w:t>Targets or measures</w:t>
      </w:r>
    </w:p>
    <w:p>
      <w:pPr>
        <w:pStyle w:val="BodyText"/>
        <w:spacing w:before="143"/>
        <w:ind w:left="760"/>
      </w:pPr>
      <w:r>
        <w:rPr/>
        <w:t>By the end of 2023 we will achieve:</w:t>
      </w:r>
    </w:p>
    <w:p>
      <w:pPr>
        <w:pStyle w:val="BodyText"/>
        <w:spacing w:before="118"/>
        <w:ind w:left="760" w:right="851"/>
      </w:pPr>
      <w:r>
        <w:rPr/>
        <w:t>Well Being / School Culture - year average meets or is above average of P-6 same ACT school type in the following student Satisfaction &amp; Climate Survey questions:</w:t>
      </w:r>
    </w:p>
    <w:p>
      <w:pPr>
        <w:pStyle w:val="BodyText"/>
        <w:spacing w:before="1"/>
        <w:ind w:left="0"/>
      </w:pPr>
    </w:p>
    <w:p>
      <w:pPr>
        <w:spacing w:line="276" w:lineRule="auto" w:before="0"/>
        <w:ind w:left="3311" w:right="5118" w:firstLine="0"/>
        <w:jc w:val="left"/>
        <w:rPr>
          <w:i/>
          <w:sz w:val="22"/>
        </w:rPr>
      </w:pPr>
      <w:r>
        <w:rPr>
          <w:i/>
          <w:sz w:val="22"/>
        </w:rPr>
        <w:t>I feel safe at this school </w:t>
      </w:r>
      <w:r>
        <w:rPr>
          <w:i/>
          <w:sz w:val="22"/>
        </w:rPr>
        <w:t>I like being at my</w:t>
      </w:r>
      <w:r>
        <w:rPr>
          <w:i/>
          <w:spacing w:val="3"/>
          <w:sz w:val="22"/>
        </w:rPr>
        <w:t> </w:t>
      </w:r>
      <w:r>
        <w:rPr>
          <w:i/>
          <w:spacing w:val="-3"/>
          <w:sz w:val="22"/>
        </w:rPr>
        <w:t>school</w:t>
      </w:r>
    </w:p>
    <w:p>
      <w:pPr>
        <w:spacing w:line="276" w:lineRule="auto" w:before="1"/>
        <w:ind w:left="3311" w:right="2935" w:firstLine="0"/>
        <w:jc w:val="left"/>
        <w:rPr>
          <w:i/>
          <w:sz w:val="22"/>
        </w:rPr>
      </w:pPr>
      <w:r>
        <w:rPr>
          <w:i/>
          <w:sz w:val="22"/>
        </w:rPr>
        <w:t>I can talk to my teachers about my concerns </w:t>
      </w:r>
      <w:r>
        <w:rPr>
          <w:i/>
          <w:sz w:val="22"/>
        </w:rPr>
        <w:t>Student behaviour is well managed at my school Staff take students concerns seriously</w:t>
      </w:r>
    </w:p>
    <w:p>
      <w:pPr>
        <w:pStyle w:val="BodyText"/>
        <w:spacing w:before="7"/>
        <w:ind w:left="0"/>
        <w:rPr>
          <w:i/>
          <w:sz w:val="23"/>
        </w:rPr>
      </w:pPr>
    </w:p>
    <w:p>
      <w:pPr>
        <w:pStyle w:val="BodyText"/>
        <w:spacing w:line="242" w:lineRule="auto"/>
        <w:ind w:left="760" w:right="906"/>
      </w:pPr>
      <w:r>
        <w:rPr/>
        <w:t>Parental Engagement </w:t>
      </w:r>
      <w:r>
        <w:rPr>
          <w:rFonts w:ascii="Times New Roman" w:hAnsi="Times New Roman"/>
          <w:b/>
          <w:sz w:val="24"/>
        </w:rPr>
        <w:t>/ </w:t>
      </w:r>
      <w:r>
        <w:rPr/>
        <w:t>Home – School partnership. Year average meets or is above average of P-6 same ACT school type in the following Parent Satisfaction &amp; Climate Survey questions:</w:t>
      </w:r>
    </w:p>
    <w:p>
      <w:pPr>
        <w:pStyle w:val="BodyText"/>
        <w:spacing w:before="8"/>
        <w:ind w:left="0"/>
        <w:rPr>
          <w:sz w:val="21"/>
        </w:rPr>
      </w:pPr>
    </w:p>
    <w:p>
      <w:pPr>
        <w:spacing w:before="0"/>
        <w:ind w:left="3360" w:right="0" w:firstLine="0"/>
        <w:jc w:val="left"/>
        <w:rPr>
          <w:i/>
          <w:sz w:val="22"/>
        </w:rPr>
      </w:pPr>
      <w:r>
        <w:rPr>
          <w:i/>
          <w:sz w:val="22"/>
        </w:rPr>
        <w:t>This school takes parent’s opinions seriously</w:t>
      </w:r>
    </w:p>
    <w:p>
      <w:pPr>
        <w:spacing w:line="276" w:lineRule="auto" w:before="41"/>
        <w:ind w:left="3321" w:right="2214" w:firstLine="0"/>
        <w:jc w:val="left"/>
        <w:rPr>
          <w:i/>
          <w:sz w:val="22"/>
        </w:rPr>
      </w:pPr>
      <w:r>
        <w:rPr>
          <w:i/>
          <w:sz w:val="22"/>
        </w:rPr>
        <w:t>This school works with me to support my child’s learning </w:t>
      </w:r>
      <w:r>
        <w:rPr>
          <w:i/>
          <w:sz w:val="22"/>
        </w:rPr>
        <w:t>My child’s learning needs are being met at this school Student behaviour is well managed at this school Teachers at this school treat students fairly</w:t>
      </w:r>
    </w:p>
    <w:p>
      <w:pPr>
        <w:pStyle w:val="BodyText"/>
        <w:spacing w:before="1"/>
        <w:ind w:left="0"/>
        <w:rPr>
          <w:i/>
        </w:rPr>
      </w:pPr>
    </w:p>
    <w:p>
      <w:pPr>
        <w:pStyle w:val="BodyText"/>
        <w:ind w:left="760"/>
      </w:pPr>
      <w:r>
        <w:rPr/>
        <w:t>PBL Data Sets and School Staff Survey shows positive impact of PBL Framework</w:t>
      </w:r>
    </w:p>
    <w:p>
      <w:pPr>
        <w:pStyle w:val="BodyText"/>
        <w:spacing w:before="1"/>
        <w:ind w:left="0"/>
      </w:pPr>
    </w:p>
    <w:p>
      <w:pPr>
        <w:spacing w:before="0"/>
        <w:ind w:left="760" w:right="0" w:firstLine="0"/>
        <w:jc w:val="left"/>
        <w:rPr>
          <w:sz w:val="22"/>
        </w:rPr>
      </w:pPr>
      <w:r>
        <w:rPr>
          <w:b/>
          <w:sz w:val="22"/>
        </w:rPr>
        <w:t>Source: </w:t>
      </w:r>
      <w:r>
        <w:rPr>
          <w:sz w:val="22"/>
        </w:rPr>
        <w:t>Sentral / School Survey</w:t>
      </w:r>
    </w:p>
    <w:p>
      <w:pPr>
        <w:spacing w:after="0"/>
        <w:jc w:val="left"/>
        <w:rPr>
          <w:sz w:val="22"/>
        </w:rPr>
        <w:sectPr>
          <w:pgSz w:w="11910" w:h="16840"/>
          <w:pgMar w:header="0" w:footer="1046" w:top="1380" w:bottom="1320" w:left="680" w:right="660"/>
        </w:sectPr>
      </w:pPr>
    </w:p>
    <w:p>
      <w:pPr>
        <w:pStyle w:val="BodyText"/>
        <w:spacing w:before="41"/>
        <w:ind w:left="760"/>
      </w:pPr>
      <w:r>
        <w:rPr/>
        <w:t>In 2020 we implemented this priority through the following strategies.</w:t>
      </w:r>
    </w:p>
    <w:p>
      <w:pPr>
        <w:pStyle w:val="ListParagraph"/>
        <w:numPr>
          <w:ilvl w:val="0"/>
          <w:numId w:val="4"/>
        </w:numPr>
        <w:tabs>
          <w:tab w:pos="1480" w:val="left" w:leader="none"/>
          <w:tab w:pos="1481" w:val="left" w:leader="none"/>
        </w:tabs>
        <w:spacing w:line="240" w:lineRule="auto" w:before="121" w:after="0"/>
        <w:ind w:left="1480" w:right="0" w:hanging="361"/>
        <w:jc w:val="left"/>
        <w:rPr>
          <w:sz w:val="22"/>
        </w:rPr>
      </w:pPr>
      <w:r>
        <w:rPr>
          <w:sz w:val="22"/>
        </w:rPr>
        <w:t>Implement and embed</w:t>
      </w:r>
      <w:r>
        <w:rPr>
          <w:spacing w:val="-5"/>
          <w:sz w:val="22"/>
        </w:rPr>
        <w:t> </w:t>
      </w:r>
      <w:r>
        <w:rPr>
          <w:sz w:val="22"/>
        </w:rPr>
        <w:t>PBL</w:t>
      </w:r>
    </w:p>
    <w:p>
      <w:pPr>
        <w:pStyle w:val="ListParagraph"/>
        <w:numPr>
          <w:ilvl w:val="0"/>
          <w:numId w:val="4"/>
        </w:numPr>
        <w:tabs>
          <w:tab w:pos="1480" w:val="left" w:leader="none"/>
          <w:tab w:pos="1481" w:val="left" w:leader="none"/>
        </w:tabs>
        <w:spacing w:line="256" w:lineRule="auto" w:before="22" w:after="0"/>
        <w:ind w:left="1480" w:right="985" w:hanging="360"/>
        <w:jc w:val="left"/>
        <w:rPr>
          <w:sz w:val="22"/>
        </w:rPr>
      </w:pPr>
      <w:r>
        <w:rPr>
          <w:sz w:val="22"/>
        </w:rPr>
        <w:t>Deliver an explicit SEL program P-6 and embed processes to ensure social emotional needs are identified and met for all</w:t>
      </w:r>
      <w:r>
        <w:rPr>
          <w:spacing w:val="-7"/>
          <w:sz w:val="22"/>
        </w:rPr>
        <w:t> </w:t>
      </w:r>
      <w:r>
        <w:rPr>
          <w:sz w:val="22"/>
        </w:rPr>
        <w:t>students</w:t>
      </w:r>
    </w:p>
    <w:p>
      <w:pPr>
        <w:pStyle w:val="ListParagraph"/>
        <w:numPr>
          <w:ilvl w:val="0"/>
          <w:numId w:val="4"/>
        </w:numPr>
        <w:tabs>
          <w:tab w:pos="1480" w:val="left" w:leader="none"/>
          <w:tab w:pos="1481" w:val="left" w:leader="none"/>
        </w:tabs>
        <w:spacing w:line="240" w:lineRule="auto" w:before="4" w:after="0"/>
        <w:ind w:left="1480" w:right="0" w:hanging="361"/>
        <w:jc w:val="left"/>
        <w:rPr>
          <w:sz w:val="22"/>
        </w:rPr>
      </w:pPr>
      <w:r>
        <w:rPr>
          <w:sz w:val="22"/>
        </w:rPr>
        <w:t>Strategically target school resources to meet the needs of students Preschool to Year</w:t>
      </w:r>
      <w:r>
        <w:rPr>
          <w:spacing w:val="-20"/>
          <w:sz w:val="22"/>
        </w:rPr>
        <w:t> </w:t>
      </w:r>
      <w:r>
        <w:rPr>
          <w:sz w:val="22"/>
        </w:rPr>
        <w:t>6</w:t>
      </w:r>
    </w:p>
    <w:p>
      <w:pPr>
        <w:pStyle w:val="ListParagraph"/>
        <w:numPr>
          <w:ilvl w:val="0"/>
          <w:numId w:val="4"/>
        </w:numPr>
        <w:tabs>
          <w:tab w:pos="1480" w:val="left" w:leader="none"/>
          <w:tab w:pos="1481" w:val="left" w:leader="none"/>
        </w:tabs>
        <w:spacing w:line="256" w:lineRule="auto" w:before="22" w:after="0"/>
        <w:ind w:left="1480" w:right="833" w:hanging="360"/>
        <w:jc w:val="left"/>
        <w:rPr>
          <w:sz w:val="22"/>
        </w:rPr>
      </w:pPr>
      <w:r>
        <w:rPr>
          <w:sz w:val="22"/>
        </w:rPr>
        <w:t>Enhance school /community partnerships and refine communication practices to strengthen connection and</w:t>
      </w:r>
      <w:r>
        <w:rPr>
          <w:spacing w:val="-4"/>
          <w:sz w:val="22"/>
        </w:rPr>
        <w:t> </w:t>
      </w:r>
      <w:r>
        <w:rPr>
          <w:sz w:val="22"/>
        </w:rPr>
        <w:t>well-being</w:t>
      </w:r>
    </w:p>
    <w:p>
      <w:pPr>
        <w:pStyle w:val="BodyText"/>
        <w:spacing w:before="1"/>
        <w:ind w:left="0"/>
        <w:rPr>
          <w:sz w:val="32"/>
        </w:rPr>
      </w:pPr>
    </w:p>
    <w:p>
      <w:pPr>
        <w:spacing w:before="1"/>
        <w:ind w:left="760" w:right="1363" w:firstLine="0"/>
        <w:jc w:val="left"/>
        <w:rPr>
          <w:i/>
          <w:sz w:val="22"/>
        </w:rPr>
      </w:pPr>
      <w:r>
        <w:rPr>
          <w:i/>
          <w:sz w:val="22"/>
        </w:rPr>
        <w:t>Below is our progress towards our five-year targets with an emphasis on the accumulation and </w:t>
      </w:r>
      <w:r>
        <w:rPr>
          <w:i/>
          <w:sz w:val="22"/>
        </w:rPr>
        <w:t>analysis of evidence over the term of our plan.</w:t>
      </w:r>
    </w:p>
    <w:p>
      <w:pPr>
        <w:pStyle w:val="BodyText"/>
        <w:ind w:left="0"/>
        <w:rPr>
          <w:i/>
        </w:rPr>
      </w:pPr>
    </w:p>
    <w:p>
      <w:pPr>
        <w:pStyle w:val="BodyText"/>
        <w:ind w:left="0"/>
        <w:rPr>
          <w:i/>
        </w:rPr>
      </w:pPr>
    </w:p>
    <w:p>
      <w:pPr>
        <w:pStyle w:val="BodyText"/>
        <w:spacing w:before="6"/>
        <w:ind w:left="0"/>
        <w:rPr>
          <w:i/>
          <w:sz w:val="19"/>
        </w:rPr>
      </w:pPr>
    </w:p>
    <w:p>
      <w:pPr>
        <w:spacing w:before="0"/>
        <w:ind w:left="760" w:right="0" w:firstLine="0"/>
        <w:jc w:val="left"/>
        <w:rPr>
          <w:rFonts w:ascii="Calibri Light"/>
          <w:b w:val="0"/>
          <w:i/>
          <w:sz w:val="22"/>
        </w:rPr>
      </w:pPr>
      <w:r>
        <w:rPr>
          <w:rFonts w:ascii="Calibri Light"/>
          <w:b w:val="0"/>
          <w:i/>
          <w:color w:val="1F4E79"/>
          <w:sz w:val="22"/>
        </w:rPr>
        <w:t>Perception Data </w:t>
      </w:r>
    </w:p>
    <w:p>
      <w:pPr>
        <w:pStyle w:val="BodyText"/>
        <w:ind w:left="0"/>
        <w:rPr>
          <w:rFonts w:ascii="Calibri Light"/>
          <w:b w:val="0"/>
          <w:i/>
          <w:sz w:val="20"/>
        </w:rPr>
      </w:pPr>
    </w:p>
    <w:p>
      <w:pPr>
        <w:pStyle w:val="BodyText"/>
        <w:spacing w:before="1"/>
        <w:ind w:left="0"/>
        <w:rPr>
          <w:rFonts w:ascii="Calibri Light"/>
          <w:b w:val="0"/>
          <w:i/>
          <w:sz w:val="17"/>
        </w:rPr>
      </w:pPr>
    </w:p>
    <w:tbl>
      <w:tblPr>
        <w:tblW w:w="0" w:type="auto"/>
        <w:jc w:val="left"/>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7"/>
        <w:gridCol w:w="1057"/>
        <w:gridCol w:w="1589"/>
        <w:gridCol w:w="1477"/>
      </w:tblGrid>
      <w:tr>
        <w:trPr>
          <w:trHeight w:val="650" w:hRule="atLeast"/>
        </w:trPr>
        <w:tc>
          <w:tcPr>
            <w:tcW w:w="4897" w:type="dxa"/>
            <w:shd w:val="clear" w:color="auto" w:fill="D9D9D9"/>
          </w:tcPr>
          <w:p>
            <w:pPr>
              <w:pStyle w:val="TableParagraph"/>
              <w:ind w:left="57"/>
              <w:rPr>
                <w:b/>
                <w:sz w:val="22"/>
              </w:rPr>
            </w:pPr>
            <w:r>
              <w:rPr>
                <w:b/>
                <w:sz w:val="22"/>
              </w:rPr>
              <w:t>Targets or Measures</w:t>
            </w:r>
          </w:p>
        </w:tc>
        <w:tc>
          <w:tcPr>
            <w:tcW w:w="1057" w:type="dxa"/>
            <w:shd w:val="clear" w:color="auto" w:fill="D9D9D9"/>
          </w:tcPr>
          <w:p>
            <w:pPr>
              <w:pStyle w:val="TableParagraph"/>
              <w:spacing w:line="237" w:lineRule="auto" w:before="59"/>
              <w:ind w:left="301" w:right="279" w:firstLine="9"/>
              <w:rPr>
                <w:b/>
                <w:sz w:val="22"/>
              </w:rPr>
            </w:pPr>
            <w:r>
              <w:rPr>
                <w:b/>
                <w:sz w:val="22"/>
              </w:rPr>
              <w:t>Base 2018</w:t>
            </w:r>
          </w:p>
        </w:tc>
        <w:tc>
          <w:tcPr>
            <w:tcW w:w="1589" w:type="dxa"/>
            <w:shd w:val="clear" w:color="auto" w:fill="D9D9D9"/>
          </w:tcPr>
          <w:p>
            <w:pPr>
              <w:pStyle w:val="TableParagraph"/>
              <w:spacing w:line="267" w:lineRule="exact"/>
              <w:ind w:left="485" w:right="480"/>
              <w:jc w:val="center"/>
              <w:rPr>
                <w:b/>
                <w:sz w:val="22"/>
              </w:rPr>
            </w:pPr>
            <w:r>
              <w:rPr>
                <w:b/>
                <w:sz w:val="22"/>
              </w:rPr>
              <w:t>Year 1</w:t>
            </w:r>
          </w:p>
          <w:p>
            <w:pPr>
              <w:pStyle w:val="TableParagraph"/>
              <w:spacing w:line="267" w:lineRule="exact" w:before="0"/>
              <w:ind w:left="483" w:right="480"/>
              <w:jc w:val="center"/>
              <w:rPr>
                <w:b/>
                <w:sz w:val="22"/>
              </w:rPr>
            </w:pPr>
            <w:r>
              <w:rPr>
                <w:b/>
                <w:sz w:val="22"/>
              </w:rPr>
              <w:t>2019</w:t>
            </w:r>
          </w:p>
        </w:tc>
        <w:tc>
          <w:tcPr>
            <w:tcW w:w="1477" w:type="dxa"/>
            <w:shd w:val="clear" w:color="auto" w:fill="D9D9D9"/>
          </w:tcPr>
          <w:p>
            <w:pPr>
              <w:pStyle w:val="TableParagraph"/>
              <w:spacing w:line="267" w:lineRule="exact"/>
              <w:ind w:left="385" w:right="382"/>
              <w:jc w:val="center"/>
              <w:rPr>
                <w:b/>
                <w:sz w:val="22"/>
              </w:rPr>
            </w:pPr>
            <w:r>
              <w:rPr>
                <w:b/>
                <w:sz w:val="22"/>
              </w:rPr>
              <w:t>Year 2</w:t>
            </w:r>
          </w:p>
          <w:p>
            <w:pPr>
              <w:pStyle w:val="TableParagraph"/>
              <w:spacing w:line="267" w:lineRule="exact" w:before="0"/>
              <w:ind w:left="387" w:right="382"/>
              <w:jc w:val="center"/>
              <w:rPr>
                <w:b/>
                <w:sz w:val="22"/>
              </w:rPr>
            </w:pPr>
            <w:r>
              <w:rPr>
                <w:b/>
                <w:sz w:val="22"/>
              </w:rPr>
              <w:t>2020</w:t>
            </w:r>
          </w:p>
        </w:tc>
      </w:tr>
      <w:tr>
        <w:trPr>
          <w:trHeight w:val="921" w:hRule="atLeast"/>
        </w:trPr>
        <w:tc>
          <w:tcPr>
            <w:tcW w:w="9020" w:type="dxa"/>
            <w:gridSpan w:val="4"/>
          </w:tcPr>
          <w:p>
            <w:pPr>
              <w:pStyle w:val="TableParagraph"/>
              <w:ind w:left="57" w:right="210"/>
              <w:rPr>
                <w:sz w:val="22"/>
              </w:rPr>
            </w:pPr>
            <w:r>
              <w:rPr>
                <w:sz w:val="22"/>
              </w:rPr>
              <w:t>Well Being / School Culture - year average meets or is above average of P-6 same ACT school type in the following student Satisfaction &amp; Climate Survey questions</w:t>
            </w:r>
          </w:p>
        </w:tc>
      </w:tr>
      <w:tr>
        <w:trPr>
          <w:trHeight w:val="381" w:hRule="atLeast"/>
        </w:trPr>
        <w:tc>
          <w:tcPr>
            <w:tcW w:w="4897" w:type="dxa"/>
          </w:tcPr>
          <w:p>
            <w:pPr>
              <w:pStyle w:val="TableParagraph"/>
              <w:spacing w:before="54"/>
              <w:ind w:left="57"/>
              <w:rPr>
                <w:i/>
                <w:sz w:val="22"/>
              </w:rPr>
            </w:pPr>
            <w:r>
              <w:rPr>
                <w:i/>
                <w:sz w:val="22"/>
              </w:rPr>
              <w:t>‘I feel safe at this school’</w:t>
            </w:r>
          </w:p>
        </w:tc>
        <w:tc>
          <w:tcPr>
            <w:tcW w:w="1057" w:type="dxa"/>
          </w:tcPr>
          <w:p>
            <w:pPr>
              <w:pStyle w:val="TableParagraph"/>
              <w:spacing w:before="54"/>
              <w:ind w:left="177" w:right="173"/>
              <w:jc w:val="center"/>
              <w:rPr>
                <w:sz w:val="22"/>
              </w:rPr>
            </w:pPr>
            <w:r>
              <w:rPr>
                <w:sz w:val="22"/>
              </w:rPr>
              <w:t>+6.66%</w:t>
            </w:r>
          </w:p>
        </w:tc>
        <w:tc>
          <w:tcPr>
            <w:tcW w:w="1589" w:type="dxa"/>
            <w:shd w:val="clear" w:color="auto" w:fill="C5DFB3"/>
          </w:tcPr>
          <w:p>
            <w:pPr>
              <w:pStyle w:val="TableParagraph"/>
              <w:spacing w:before="54"/>
              <w:ind w:left="485" w:right="479"/>
              <w:jc w:val="center"/>
              <w:rPr>
                <w:sz w:val="22"/>
              </w:rPr>
            </w:pPr>
            <w:r>
              <w:rPr>
                <w:sz w:val="22"/>
              </w:rPr>
              <w:t>+3.4%</w:t>
            </w:r>
          </w:p>
        </w:tc>
        <w:tc>
          <w:tcPr>
            <w:tcW w:w="1477" w:type="dxa"/>
            <w:shd w:val="clear" w:color="auto" w:fill="C5DFB3"/>
          </w:tcPr>
          <w:p>
            <w:pPr>
              <w:pStyle w:val="TableParagraph"/>
              <w:spacing w:before="54"/>
              <w:ind w:left="388" w:right="382"/>
              <w:jc w:val="center"/>
              <w:rPr>
                <w:sz w:val="22"/>
              </w:rPr>
            </w:pPr>
            <w:r>
              <w:rPr>
                <w:sz w:val="22"/>
              </w:rPr>
              <w:t>+9%</w:t>
            </w:r>
          </w:p>
        </w:tc>
      </w:tr>
      <w:tr>
        <w:trPr>
          <w:trHeight w:val="383" w:hRule="atLeast"/>
        </w:trPr>
        <w:tc>
          <w:tcPr>
            <w:tcW w:w="4897" w:type="dxa"/>
          </w:tcPr>
          <w:p>
            <w:pPr>
              <w:pStyle w:val="TableParagraph"/>
              <w:ind w:left="57"/>
              <w:rPr>
                <w:i/>
                <w:sz w:val="22"/>
              </w:rPr>
            </w:pPr>
            <w:r>
              <w:rPr>
                <w:i/>
                <w:sz w:val="22"/>
              </w:rPr>
              <w:t>‘I like being at my school’</w:t>
            </w:r>
          </w:p>
        </w:tc>
        <w:tc>
          <w:tcPr>
            <w:tcW w:w="1057" w:type="dxa"/>
          </w:tcPr>
          <w:p>
            <w:pPr>
              <w:pStyle w:val="TableParagraph"/>
              <w:ind w:left="177" w:right="171"/>
              <w:jc w:val="center"/>
              <w:rPr>
                <w:sz w:val="22"/>
              </w:rPr>
            </w:pPr>
            <w:r>
              <w:rPr>
                <w:sz w:val="22"/>
              </w:rPr>
              <w:t>-5%</w:t>
            </w:r>
          </w:p>
        </w:tc>
        <w:tc>
          <w:tcPr>
            <w:tcW w:w="1589" w:type="dxa"/>
            <w:shd w:val="clear" w:color="auto" w:fill="FFCCCC"/>
          </w:tcPr>
          <w:p>
            <w:pPr>
              <w:pStyle w:val="TableParagraph"/>
              <w:ind w:left="483" w:right="480"/>
              <w:jc w:val="center"/>
              <w:rPr>
                <w:sz w:val="22"/>
              </w:rPr>
            </w:pPr>
            <w:r>
              <w:rPr>
                <w:sz w:val="22"/>
              </w:rPr>
              <w:t>-6.4%</w:t>
            </w:r>
          </w:p>
        </w:tc>
        <w:tc>
          <w:tcPr>
            <w:tcW w:w="1477" w:type="dxa"/>
            <w:shd w:val="clear" w:color="auto" w:fill="C5DFB3"/>
          </w:tcPr>
          <w:p>
            <w:pPr>
              <w:pStyle w:val="TableParagraph"/>
              <w:ind w:left="388" w:right="382"/>
              <w:jc w:val="center"/>
              <w:rPr>
                <w:sz w:val="22"/>
              </w:rPr>
            </w:pPr>
            <w:r>
              <w:rPr>
                <w:sz w:val="22"/>
              </w:rPr>
              <w:t>+14.1%</w:t>
            </w:r>
          </w:p>
        </w:tc>
      </w:tr>
      <w:tr>
        <w:trPr>
          <w:trHeight w:val="381" w:hRule="atLeast"/>
        </w:trPr>
        <w:tc>
          <w:tcPr>
            <w:tcW w:w="4897" w:type="dxa"/>
          </w:tcPr>
          <w:p>
            <w:pPr>
              <w:pStyle w:val="TableParagraph"/>
              <w:ind w:left="57"/>
              <w:rPr>
                <w:i/>
                <w:sz w:val="22"/>
              </w:rPr>
            </w:pPr>
            <w:r>
              <w:rPr>
                <w:i/>
                <w:sz w:val="22"/>
              </w:rPr>
              <w:t>‘I can talk to my teachers about my concerns’</w:t>
            </w:r>
          </w:p>
        </w:tc>
        <w:tc>
          <w:tcPr>
            <w:tcW w:w="1057" w:type="dxa"/>
          </w:tcPr>
          <w:p>
            <w:pPr>
              <w:pStyle w:val="TableParagraph"/>
              <w:ind w:left="177" w:right="173"/>
              <w:jc w:val="center"/>
              <w:rPr>
                <w:sz w:val="22"/>
              </w:rPr>
            </w:pPr>
            <w:r>
              <w:rPr>
                <w:sz w:val="22"/>
              </w:rPr>
              <w:t>-5.96%</w:t>
            </w:r>
          </w:p>
        </w:tc>
        <w:tc>
          <w:tcPr>
            <w:tcW w:w="1589" w:type="dxa"/>
            <w:shd w:val="clear" w:color="auto" w:fill="C5DFB3"/>
          </w:tcPr>
          <w:p>
            <w:pPr>
              <w:pStyle w:val="TableParagraph"/>
              <w:ind w:left="485" w:right="479"/>
              <w:jc w:val="center"/>
              <w:rPr>
                <w:sz w:val="22"/>
              </w:rPr>
            </w:pPr>
            <w:r>
              <w:rPr>
                <w:sz w:val="22"/>
              </w:rPr>
              <w:t>+2.1%</w:t>
            </w:r>
          </w:p>
        </w:tc>
        <w:tc>
          <w:tcPr>
            <w:tcW w:w="1477" w:type="dxa"/>
            <w:shd w:val="clear" w:color="auto" w:fill="C5DFB3"/>
          </w:tcPr>
          <w:p>
            <w:pPr>
              <w:pStyle w:val="TableParagraph"/>
              <w:ind w:left="388" w:right="382"/>
              <w:jc w:val="center"/>
              <w:rPr>
                <w:sz w:val="22"/>
              </w:rPr>
            </w:pPr>
            <w:r>
              <w:rPr>
                <w:sz w:val="22"/>
              </w:rPr>
              <w:t>+22.2%</w:t>
            </w:r>
          </w:p>
        </w:tc>
      </w:tr>
      <w:tr>
        <w:trPr>
          <w:trHeight w:val="383" w:hRule="atLeast"/>
        </w:trPr>
        <w:tc>
          <w:tcPr>
            <w:tcW w:w="4897" w:type="dxa"/>
          </w:tcPr>
          <w:p>
            <w:pPr>
              <w:pStyle w:val="TableParagraph"/>
              <w:ind w:left="57"/>
              <w:rPr>
                <w:i/>
                <w:sz w:val="22"/>
              </w:rPr>
            </w:pPr>
            <w:r>
              <w:rPr>
                <w:i/>
                <w:sz w:val="22"/>
              </w:rPr>
              <w:t>‘Student behaviour is well managed at my school’</w:t>
            </w:r>
          </w:p>
        </w:tc>
        <w:tc>
          <w:tcPr>
            <w:tcW w:w="1057" w:type="dxa"/>
          </w:tcPr>
          <w:p>
            <w:pPr>
              <w:pStyle w:val="TableParagraph"/>
              <w:ind w:left="177" w:right="169"/>
              <w:jc w:val="center"/>
              <w:rPr>
                <w:sz w:val="22"/>
              </w:rPr>
            </w:pPr>
            <w:r>
              <w:rPr>
                <w:sz w:val="22"/>
              </w:rPr>
              <w:t>-10%</w:t>
            </w:r>
          </w:p>
        </w:tc>
        <w:tc>
          <w:tcPr>
            <w:tcW w:w="1589" w:type="dxa"/>
            <w:shd w:val="clear" w:color="auto" w:fill="C5DFB3"/>
          </w:tcPr>
          <w:p>
            <w:pPr>
              <w:pStyle w:val="TableParagraph"/>
              <w:ind w:left="484" w:right="480"/>
              <w:jc w:val="center"/>
              <w:rPr>
                <w:sz w:val="22"/>
              </w:rPr>
            </w:pPr>
            <w:r>
              <w:rPr>
                <w:sz w:val="22"/>
              </w:rPr>
              <w:t>+12%</w:t>
            </w:r>
          </w:p>
        </w:tc>
        <w:tc>
          <w:tcPr>
            <w:tcW w:w="1477" w:type="dxa"/>
            <w:shd w:val="clear" w:color="auto" w:fill="C5DFB3"/>
          </w:tcPr>
          <w:p>
            <w:pPr>
              <w:pStyle w:val="TableParagraph"/>
              <w:ind w:left="388" w:right="382"/>
              <w:jc w:val="center"/>
              <w:rPr>
                <w:sz w:val="22"/>
              </w:rPr>
            </w:pPr>
            <w:r>
              <w:rPr>
                <w:sz w:val="22"/>
              </w:rPr>
              <w:t>+38.1%</w:t>
            </w:r>
          </w:p>
        </w:tc>
      </w:tr>
      <w:tr>
        <w:trPr>
          <w:trHeight w:val="384" w:hRule="atLeast"/>
        </w:trPr>
        <w:tc>
          <w:tcPr>
            <w:tcW w:w="4897" w:type="dxa"/>
          </w:tcPr>
          <w:p>
            <w:pPr>
              <w:pStyle w:val="TableParagraph"/>
              <w:spacing w:before="57"/>
              <w:ind w:left="57"/>
              <w:rPr>
                <w:i/>
                <w:sz w:val="22"/>
              </w:rPr>
            </w:pPr>
            <w:r>
              <w:rPr>
                <w:i/>
                <w:sz w:val="22"/>
              </w:rPr>
              <w:t>‘Staff take students concerns seriously’</w:t>
            </w:r>
          </w:p>
        </w:tc>
        <w:tc>
          <w:tcPr>
            <w:tcW w:w="1057" w:type="dxa"/>
          </w:tcPr>
          <w:p>
            <w:pPr>
              <w:pStyle w:val="TableParagraph"/>
              <w:spacing w:before="57"/>
              <w:ind w:left="177" w:right="173"/>
              <w:jc w:val="center"/>
              <w:rPr>
                <w:sz w:val="22"/>
              </w:rPr>
            </w:pPr>
            <w:r>
              <w:rPr>
                <w:sz w:val="22"/>
              </w:rPr>
              <w:t>-0.49%</w:t>
            </w:r>
          </w:p>
        </w:tc>
        <w:tc>
          <w:tcPr>
            <w:tcW w:w="1589" w:type="dxa"/>
            <w:shd w:val="clear" w:color="auto" w:fill="C5DFB3"/>
          </w:tcPr>
          <w:p>
            <w:pPr>
              <w:pStyle w:val="TableParagraph"/>
              <w:spacing w:before="57"/>
              <w:ind w:left="485" w:right="479"/>
              <w:jc w:val="center"/>
              <w:rPr>
                <w:sz w:val="22"/>
              </w:rPr>
            </w:pPr>
            <w:r>
              <w:rPr>
                <w:sz w:val="22"/>
              </w:rPr>
              <w:t>+6.9%</w:t>
            </w:r>
          </w:p>
        </w:tc>
        <w:tc>
          <w:tcPr>
            <w:tcW w:w="1477" w:type="dxa"/>
            <w:shd w:val="clear" w:color="auto" w:fill="C5DFB3"/>
          </w:tcPr>
          <w:p>
            <w:pPr>
              <w:pStyle w:val="TableParagraph"/>
              <w:spacing w:before="57"/>
              <w:ind w:left="388" w:right="382"/>
              <w:jc w:val="center"/>
              <w:rPr>
                <w:sz w:val="22"/>
              </w:rPr>
            </w:pPr>
            <w:r>
              <w:rPr>
                <w:sz w:val="22"/>
              </w:rPr>
              <w:t>+21.5%</w:t>
            </w:r>
          </w:p>
        </w:tc>
      </w:tr>
    </w:tbl>
    <w:p>
      <w:pPr>
        <w:pStyle w:val="BodyText"/>
        <w:ind w:left="0"/>
        <w:rPr>
          <w:rFonts w:ascii="Calibri Light"/>
          <w:b w:val="0"/>
          <w:i/>
          <w:sz w:val="20"/>
        </w:rPr>
      </w:pPr>
    </w:p>
    <w:p>
      <w:pPr>
        <w:pStyle w:val="BodyText"/>
        <w:ind w:left="0"/>
        <w:rPr>
          <w:rFonts w:ascii="Calibri Light"/>
          <w:b w:val="0"/>
          <w:i/>
          <w:sz w:val="20"/>
        </w:rPr>
      </w:pPr>
    </w:p>
    <w:p>
      <w:pPr>
        <w:pStyle w:val="BodyText"/>
        <w:ind w:left="0"/>
        <w:rPr>
          <w:rFonts w:ascii="Calibri Light"/>
          <w:b w:val="0"/>
          <w:i/>
          <w:sz w:val="20"/>
        </w:rPr>
      </w:pPr>
    </w:p>
    <w:p>
      <w:pPr>
        <w:pStyle w:val="BodyText"/>
        <w:spacing w:before="6"/>
        <w:ind w:left="0"/>
        <w:rPr>
          <w:rFonts w:ascii="Calibri Light"/>
          <w:b w:val="0"/>
          <w:i/>
          <w:sz w:val="13"/>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1099"/>
        <w:gridCol w:w="965"/>
        <w:gridCol w:w="892"/>
      </w:tblGrid>
      <w:tr>
        <w:trPr>
          <w:trHeight w:val="537" w:hRule="atLeast"/>
        </w:trPr>
        <w:tc>
          <w:tcPr>
            <w:tcW w:w="6066" w:type="dxa"/>
            <w:shd w:val="clear" w:color="auto" w:fill="D9D9D9"/>
          </w:tcPr>
          <w:p>
            <w:pPr>
              <w:pStyle w:val="TableParagraph"/>
              <w:spacing w:line="268" w:lineRule="exact" w:before="0"/>
              <w:ind w:left="107"/>
              <w:rPr>
                <w:b/>
                <w:sz w:val="22"/>
              </w:rPr>
            </w:pPr>
            <w:r>
              <w:rPr>
                <w:b/>
                <w:sz w:val="22"/>
              </w:rPr>
              <w:t>Targets or Measures</w:t>
            </w:r>
          </w:p>
        </w:tc>
        <w:tc>
          <w:tcPr>
            <w:tcW w:w="1099" w:type="dxa"/>
            <w:shd w:val="clear" w:color="auto" w:fill="D9D9D9"/>
          </w:tcPr>
          <w:p>
            <w:pPr>
              <w:pStyle w:val="TableParagraph"/>
              <w:spacing w:line="268" w:lineRule="exact" w:before="0"/>
              <w:ind w:left="333"/>
              <w:rPr>
                <w:b/>
                <w:sz w:val="22"/>
              </w:rPr>
            </w:pPr>
            <w:r>
              <w:rPr>
                <w:b/>
                <w:sz w:val="22"/>
              </w:rPr>
              <w:t>Base</w:t>
            </w:r>
          </w:p>
          <w:p>
            <w:pPr>
              <w:pStyle w:val="TableParagraph"/>
              <w:spacing w:line="249" w:lineRule="exact" w:before="0"/>
              <w:ind w:left="325"/>
              <w:rPr>
                <w:b/>
                <w:sz w:val="22"/>
              </w:rPr>
            </w:pPr>
            <w:r>
              <w:rPr>
                <w:b/>
                <w:sz w:val="22"/>
              </w:rPr>
              <w:t>2018</w:t>
            </w:r>
          </w:p>
        </w:tc>
        <w:tc>
          <w:tcPr>
            <w:tcW w:w="965" w:type="dxa"/>
            <w:shd w:val="clear" w:color="auto" w:fill="D9D9D9"/>
          </w:tcPr>
          <w:p>
            <w:pPr>
              <w:pStyle w:val="TableParagraph"/>
              <w:spacing w:line="268" w:lineRule="exact" w:before="0"/>
              <w:ind w:left="194"/>
              <w:rPr>
                <w:b/>
                <w:sz w:val="22"/>
              </w:rPr>
            </w:pPr>
            <w:r>
              <w:rPr>
                <w:b/>
                <w:sz w:val="22"/>
              </w:rPr>
              <w:t>Year 1</w:t>
            </w:r>
          </w:p>
          <w:p>
            <w:pPr>
              <w:pStyle w:val="TableParagraph"/>
              <w:spacing w:line="249" w:lineRule="exact" w:before="0"/>
              <w:ind w:left="256"/>
              <w:rPr>
                <w:b/>
                <w:sz w:val="22"/>
              </w:rPr>
            </w:pPr>
            <w:r>
              <w:rPr>
                <w:b/>
                <w:sz w:val="22"/>
              </w:rPr>
              <w:t>2019</w:t>
            </w:r>
          </w:p>
        </w:tc>
        <w:tc>
          <w:tcPr>
            <w:tcW w:w="892" w:type="dxa"/>
            <w:shd w:val="clear" w:color="auto" w:fill="D9D9D9"/>
          </w:tcPr>
          <w:p>
            <w:pPr>
              <w:pStyle w:val="TableParagraph"/>
              <w:spacing w:line="268" w:lineRule="exact" w:before="0"/>
              <w:ind w:left="158"/>
              <w:rPr>
                <w:b/>
                <w:sz w:val="22"/>
              </w:rPr>
            </w:pPr>
            <w:r>
              <w:rPr>
                <w:b/>
                <w:sz w:val="22"/>
              </w:rPr>
              <w:t>Year 2</w:t>
            </w:r>
          </w:p>
          <w:p>
            <w:pPr>
              <w:pStyle w:val="TableParagraph"/>
              <w:spacing w:line="249" w:lineRule="exact" w:before="0"/>
              <w:ind w:left="223"/>
              <w:rPr>
                <w:b/>
                <w:sz w:val="22"/>
              </w:rPr>
            </w:pPr>
            <w:r>
              <w:rPr>
                <w:b/>
                <w:sz w:val="22"/>
              </w:rPr>
              <w:t>2020</w:t>
            </w:r>
          </w:p>
        </w:tc>
      </w:tr>
      <w:tr>
        <w:trPr>
          <w:trHeight w:val="1074" w:hRule="atLeast"/>
        </w:trPr>
        <w:tc>
          <w:tcPr>
            <w:tcW w:w="9022" w:type="dxa"/>
            <w:gridSpan w:val="4"/>
          </w:tcPr>
          <w:p>
            <w:pPr>
              <w:pStyle w:val="TableParagraph"/>
              <w:spacing w:before="0"/>
              <w:ind w:left="158" w:right="470" w:hanging="51"/>
              <w:rPr>
                <w:sz w:val="22"/>
              </w:rPr>
            </w:pPr>
            <w:r>
              <w:rPr>
                <w:sz w:val="22"/>
              </w:rPr>
              <w:t>Parental Engagement </w:t>
            </w:r>
            <w:r>
              <w:rPr>
                <w:b/>
                <w:sz w:val="22"/>
              </w:rPr>
              <w:t>/ </w:t>
            </w:r>
            <w:r>
              <w:rPr>
                <w:sz w:val="22"/>
              </w:rPr>
              <w:t>Home – School partnership. Year average meets or is above average of P-6 same ACT school type in the following Parent Satisfaction &amp; Climate Survey questions:</w:t>
            </w:r>
          </w:p>
        </w:tc>
      </w:tr>
      <w:tr>
        <w:trPr>
          <w:trHeight w:val="537" w:hRule="atLeast"/>
        </w:trPr>
        <w:tc>
          <w:tcPr>
            <w:tcW w:w="6066" w:type="dxa"/>
          </w:tcPr>
          <w:p>
            <w:pPr>
              <w:pStyle w:val="TableParagraph"/>
              <w:spacing w:line="268" w:lineRule="exact" w:before="0"/>
              <w:ind w:left="107"/>
              <w:rPr>
                <w:i/>
                <w:sz w:val="22"/>
              </w:rPr>
            </w:pPr>
            <w:r>
              <w:rPr>
                <w:b/>
                <w:sz w:val="22"/>
              </w:rPr>
              <w:t>‘</w:t>
            </w:r>
            <w:r>
              <w:rPr>
                <w:i/>
                <w:sz w:val="22"/>
              </w:rPr>
              <w:t>This school takes parent’s opinions seriously’</w:t>
            </w:r>
          </w:p>
        </w:tc>
        <w:tc>
          <w:tcPr>
            <w:tcW w:w="1099" w:type="dxa"/>
          </w:tcPr>
          <w:p>
            <w:pPr>
              <w:pStyle w:val="TableParagraph"/>
              <w:spacing w:line="268" w:lineRule="exact" w:before="0"/>
              <w:ind w:left="201" w:right="191"/>
              <w:jc w:val="center"/>
              <w:rPr>
                <w:sz w:val="22"/>
              </w:rPr>
            </w:pPr>
            <w:r>
              <w:rPr>
                <w:sz w:val="22"/>
              </w:rPr>
              <w:t>+2.14%</w:t>
            </w:r>
          </w:p>
        </w:tc>
        <w:tc>
          <w:tcPr>
            <w:tcW w:w="965" w:type="dxa"/>
            <w:shd w:val="clear" w:color="auto" w:fill="FFCCCC"/>
          </w:tcPr>
          <w:p>
            <w:pPr>
              <w:pStyle w:val="TableParagraph"/>
              <w:spacing w:line="268" w:lineRule="exact" w:before="0"/>
              <w:ind w:left="227"/>
              <w:rPr>
                <w:sz w:val="22"/>
              </w:rPr>
            </w:pPr>
            <w:r>
              <w:rPr>
                <w:sz w:val="22"/>
              </w:rPr>
              <w:t>-1.1%</w:t>
            </w:r>
          </w:p>
        </w:tc>
        <w:tc>
          <w:tcPr>
            <w:tcW w:w="892" w:type="dxa"/>
            <w:shd w:val="clear" w:color="auto" w:fill="FFCCCC"/>
          </w:tcPr>
          <w:p>
            <w:pPr>
              <w:pStyle w:val="TableParagraph"/>
              <w:spacing w:line="268" w:lineRule="exact" w:before="0"/>
              <w:ind w:left="194"/>
              <w:rPr>
                <w:sz w:val="22"/>
              </w:rPr>
            </w:pPr>
            <w:r>
              <w:rPr>
                <w:sz w:val="22"/>
              </w:rPr>
              <w:t>-7.8%</w:t>
            </w:r>
          </w:p>
        </w:tc>
      </w:tr>
      <w:tr>
        <w:trPr>
          <w:trHeight w:val="537" w:hRule="atLeast"/>
        </w:trPr>
        <w:tc>
          <w:tcPr>
            <w:tcW w:w="6066" w:type="dxa"/>
          </w:tcPr>
          <w:p>
            <w:pPr>
              <w:pStyle w:val="TableParagraph"/>
              <w:spacing w:line="268" w:lineRule="exact" w:before="0"/>
              <w:ind w:left="107"/>
              <w:rPr>
                <w:i/>
                <w:sz w:val="22"/>
              </w:rPr>
            </w:pPr>
            <w:r>
              <w:rPr>
                <w:sz w:val="22"/>
              </w:rPr>
              <w:t>‘</w:t>
            </w:r>
            <w:r>
              <w:rPr>
                <w:i/>
                <w:sz w:val="22"/>
              </w:rPr>
              <w:t>This school works with me to support my child’s learning’</w:t>
            </w:r>
          </w:p>
        </w:tc>
        <w:tc>
          <w:tcPr>
            <w:tcW w:w="1099" w:type="dxa"/>
          </w:tcPr>
          <w:p>
            <w:pPr>
              <w:pStyle w:val="TableParagraph"/>
              <w:spacing w:line="268" w:lineRule="exact" w:before="0"/>
              <w:ind w:left="201" w:right="191"/>
              <w:jc w:val="center"/>
              <w:rPr>
                <w:sz w:val="22"/>
              </w:rPr>
            </w:pPr>
            <w:r>
              <w:rPr>
                <w:sz w:val="22"/>
              </w:rPr>
              <w:t>-0.64%</w:t>
            </w:r>
          </w:p>
        </w:tc>
        <w:tc>
          <w:tcPr>
            <w:tcW w:w="965" w:type="dxa"/>
            <w:shd w:val="clear" w:color="auto" w:fill="C5DFB3"/>
          </w:tcPr>
          <w:p>
            <w:pPr>
              <w:pStyle w:val="TableParagraph"/>
              <w:spacing w:line="268" w:lineRule="exact" w:before="0"/>
              <w:ind w:left="208"/>
              <w:rPr>
                <w:sz w:val="22"/>
              </w:rPr>
            </w:pPr>
            <w:r>
              <w:rPr>
                <w:sz w:val="22"/>
              </w:rPr>
              <w:t>+1.5%</w:t>
            </w:r>
          </w:p>
        </w:tc>
        <w:tc>
          <w:tcPr>
            <w:tcW w:w="892" w:type="dxa"/>
            <w:shd w:val="clear" w:color="auto" w:fill="FFCCCC"/>
          </w:tcPr>
          <w:p>
            <w:pPr>
              <w:pStyle w:val="TableParagraph"/>
              <w:spacing w:line="268" w:lineRule="exact" w:before="0"/>
              <w:ind w:left="194"/>
              <w:rPr>
                <w:sz w:val="22"/>
              </w:rPr>
            </w:pPr>
            <w:r>
              <w:rPr>
                <w:sz w:val="22"/>
              </w:rPr>
              <w:t>-3.3%</w:t>
            </w:r>
          </w:p>
        </w:tc>
      </w:tr>
      <w:tr>
        <w:trPr>
          <w:trHeight w:val="537" w:hRule="atLeast"/>
        </w:trPr>
        <w:tc>
          <w:tcPr>
            <w:tcW w:w="6066" w:type="dxa"/>
          </w:tcPr>
          <w:p>
            <w:pPr>
              <w:pStyle w:val="TableParagraph"/>
              <w:spacing w:line="268" w:lineRule="exact" w:before="0"/>
              <w:ind w:left="107"/>
              <w:rPr>
                <w:i/>
                <w:sz w:val="22"/>
              </w:rPr>
            </w:pPr>
            <w:r>
              <w:rPr>
                <w:i/>
                <w:sz w:val="22"/>
              </w:rPr>
              <w:t>‘My child’s learning needs are being met at this school’</w:t>
            </w:r>
          </w:p>
        </w:tc>
        <w:tc>
          <w:tcPr>
            <w:tcW w:w="1099" w:type="dxa"/>
          </w:tcPr>
          <w:p>
            <w:pPr>
              <w:pStyle w:val="TableParagraph"/>
              <w:spacing w:line="268" w:lineRule="exact" w:before="0"/>
              <w:ind w:left="201" w:right="191"/>
              <w:jc w:val="center"/>
              <w:rPr>
                <w:sz w:val="22"/>
              </w:rPr>
            </w:pPr>
            <w:r>
              <w:rPr>
                <w:sz w:val="22"/>
              </w:rPr>
              <w:t>+1.60%</w:t>
            </w:r>
          </w:p>
        </w:tc>
        <w:tc>
          <w:tcPr>
            <w:tcW w:w="965" w:type="dxa"/>
            <w:shd w:val="clear" w:color="auto" w:fill="C5DFB3"/>
          </w:tcPr>
          <w:p>
            <w:pPr>
              <w:pStyle w:val="TableParagraph"/>
              <w:spacing w:line="268" w:lineRule="exact" w:before="0"/>
              <w:ind w:left="208"/>
              <w:rPr>
                <w:sz w:val="22"/>
              </w:rPr>
            </w:pPr>
            <w:r>
              <w:rPr>
                <w:sz w:val="22"/>
              </w:rPr>
              <w:t>+2.8%</w:t>
            </w:r>
          </w:p>
        </w:tc>
        <w:tc>
          <w:tcPr>
            <w:tcW w:w="892" w:type="dxa"/>
            <w:shd w:val="clear" w:color="auto" w:fill="C5DFB3"/>
          </w:tcPr>
          <w:p>
            <w:pPr>
              <w:pStyle w:val="TableParagraph"/>
              <w:spacing w:line="268" w:lineRule="exact" w:before="0"/>
              <w:ind w:left="172"/>
              <w:rPr>
                <w:sz w:val="22"/>
              </w:rPr>
            </w:pPr>
            <w:r>
              <w:rPr>
                <w:sz w:val="22"/>
              </w:rPr>
              <w:t>+2.8%</w:t>
            </w:r>
          </w:p>
        </w:tc>
      </w:tr>
      <w:tr>
        <w:trPr>
          <w:trHeight w:val="537" w:hRule="atLeast"/>
        </w:trPr>
        <w:tc>
          <w:tcPr>
            <w:tcW w:w="6066" w:type="dxa"/>
          </w:tcPr>
          <w:p>
            <w:pPr>
              <w:pStyle w:val="TableParagraph"/>
              <w:spacing w:line="268" w:lineRule="exact" w:before="0"/>
              <w:ind w:left="107"/>
              <w:rPr>
                <w:i/>
                <w:sz w:val="22"/>
              </w:rPr>
            </w:pPr>
            <w:r>
              <w:rPr>
                <w:i/>
                <w:sz w:val="22"/>
              </w:rPr>
              <w:t>‘Student behaviour is well managed at this school’</w:t>
            </w:r>
          </w:p>
        </w:tc>
        <w:tc>
          <w:tcPr>
            <w:tcW w:w="1099" w:type="dxa"/>
          </w:tcPr>
          <w:p>
            <w:pPr>
              <w:pStyle w:val="TableParagraph"/>
              <w:spacing w:line="268" w:lineRule="exact" w:before="0"/>
              <w:ind w:left="201" w:right="191"/>
              <w:jc w:val="center"/>
              <w:rPr>
                <w:sz w:val="22"/>
              </w:rPr>
            </w:pPr>
            <w:r>
              <w:rPr>
                <w:sz w:val="22"/>
              </w:rPr>
              <w:t>+2.95%</w:t>
            </w:r>
          </w:p>
        </w:tc>
        <w:tc>
          <w:tcPr>
            <w:tcW w:w="965" w:type="dxa"/>
            <w:shd w:val="clear" w:color="auto" w:fill="C5DFB3"/>
          </w:tcPr>
          <w:p>
            <w:pPr>
              <w:pStyle w:val="TableParagraph"/>
              <w:spacing w:line="268" w:lineRule="exact" w:before="0"/>
              <w:ind w:left="208"/>
              <w:rPr>
                <w:sz w:val="22"/>
              </w:rPr>
            </w:pPr>
            <w:r>
              <w:rPr>
                <w:sz w:val="22"/>
              </w:rPr>
              <w:t>+3.4%</w:t>
            </w:r>
          </w:p>
        </w:tc>
        <w:tc>
          <w:tcPr>
            <w:tcW w:w="892" w:type="dxa"/>
            <w:shd w:val="clear" w:color="auto" w:fill="FFCCCC"/>
          </w:tcPr>
          <w:p>
            <w:pPr>
              <w:pStyle w:val="TableParagraph"/>
              <w:spacing w:line="268" w:lineRule="exact" w:before="0"/>
              <w:ind w:left="194"/>
              <w:rPr>
                <w:sz w:val="22"/>
              </w:rPr>
            </w:pPr>
            <w:r>
              <w:rPr>
                <w:sz w:val="22"/>
              </w:rPr>
              <w:t>-6.4%</w:t>
            </w:r>
          </w:p>
        </w:tc>
      </w:tr>
      <w:tr>
        <w:trPr>
          <w:trHeight w:val="537" w:hRule="atLeast"/>
        </w:trPr>
        <w:tc>
          <w:tcPr>
            <w:tcW w:w="6066" w:type="dxa"/>
          </w:tcPr>
          <w:p>
            <w:pPr>
              <w:pStyle w:val="TableParagraph"/>
              <w:spacing w:line="268" w:lineRule="exact" w:before="0"/>
              <w:ind w:left="107"/>
              <w:rPr>
                <w:i/>
                <w:sz w:val="22"/>
              </w:rPr>
            </w:pPr>
            <w:r>
              <w:rPr>
                <w:i/>
                <w:sz w:val="22"/>
              </w:rPr>
              <w:t>‘Teachers at this school treat students fairly’</w:t>
            </w:r>
          </w:p>
        </w:tc>
        <w:tc>
          <w:tcPr>
            <w:tcW w:w="1099" w:type="dxa"/>
          </w:tcPr>
          <w:p>
            <w:pPr>
              <w:pStyle w:val="TableParagraph"/>
              <w:spacing w:line="268" w:lineRule="exact" w:before="0"/>
              <w:ind w:left="201" w:right="191"/>
              <w:jc w:val="center"/>
              <w:rPr>
                <w:sz w:val="22"/>
              </w:rPr>
            </w:pPr>
            <w:r>
              <w:rPr>
                <w:sz w:val="22"/>
              </w:rPr>
              <w:t>-3.92%</w:t>
            </w:r>
          </w:p>
        </w:tc>
        <w:tc>
          <w:tcPr>
            <w:tcW w:w="965" w:type="dxa"/>
            <w:shd w:val="clear" w:color="auto" w:fill="C5DFB3"/>
          </w:tcPr>
          <w:p>
            <w:pPr>
              <w:pStyle w:val="TableParagraph"/>
              <w:spacing w:line="268" w:lineRule="exact" w:before="0"/>
              <w:ind w:left="208"/>
              <w:rPr>
                <w:sz w:val="22"/>
              </w:rPr>
            </w:pPr>
            <w:r>
              <w:rPr>
                <w:sz w:val="22"/>
              </w:rPr>
              <w:t>+3.2%</w:t>
            </w:r>
          </w:p>
        </w:tc>
        <w:tc>
          <w:tcPr>
            <w:tcW w:w="892" w:type="dxa"/>
            <w:shd w:val="clear" w:color="auto" w:fill="FFCCCC"/>
          </w:tcPr>
          <w:p>
            <w:pPr>
              <w:pStyle w:val="TableParagraph"/>
              <w:spacing w:line="268" w:lineRule="exact" w:before="0"/>
              <w:ind w:left="194"/>
              <w:rPr>
                <w:sz w:val="22"/>
              </w:rPr>
            </w:pPr>
            <w:r>
              <w:rPr>
                <w:sz w:val="22"/>
              </w:rPr>
              <w:t>-5.2%</w:t>
            </w:r>
          </w:p>
        </w:tc>
      </w:tr>
    </w:tbl>
    <w:p>
      <w:pPr>
        <w:spacing w:after="0" w:line="268" w:lineRule="exact"/>
        <w:rPr>
          <w:sz w:val="22"/>
        </w:rPr>
        <w:sectPr>
          <w:pgSz w:w="11910" w:h="16840"/>
          <w:pgMar w:header="0" w:footer="1046" w:top="1380" w:bottom="1320" w:left="680" w:right="660"/>
        </w:sectPr>
      </w:pPr>
    </w:p>
    <w:p>
      <w:pPr>
        <w:spacing w:before="41"/>
        <w:ind w:left="760" w:right="0" w:firstLine="0"/>
        <w:jc w:val="left"/>
        <w:rPr>
          <w:rFonts w:ascii="Calibri Light"/>
          <w:b w:val="0"/>
          <w:i/>
          <w:sz w:val="22"/>
        </w:rPr>
      </w:pPr>
      <w:r>
        <w:rPr>
          <w:rFonts w:ascii="Calibri Light"/>
          <w:b w:val="0"/>
          <w:i/>
          <w:color w:val="1F4E79"/>
          <w:sz w:val="22"/>
        </w:rPr>
        <w:t>School program and process data </w:t>
      </w:r>
    </w:p>
    <w:p>
      <w:pPr>
        <w:pStyle w:val="BodyText"/>
        <w:ind w:left="0"/>
        <w:rPr>
          <w:rFonts w:ascii="Calibri Light"/>
          <w:b w:val="0"/>
          <w:i/>
          <w:sz w:val="20"/>
        </w:rPr>
      </w:pPr>
    </w:p>
    <w:p>
      <w:pPr>
        <w:pStyle w:val="BodyText"/>
        <w:spacing w:before="10"/>
        <w:ind w:left="0"/>
        <w:rPr>
          <w:rFonts w:ascii="Calibri Light"/>
          <w:b w:val="0"/>
          <w:i/>
          <w:sz w:val="16"/>
        </w:rPr>
      </w:pPr>
    </w:p>
    <w:tbl>
      <w:tblPr>
        <w:tblW w:w="0" w:type="auto"/>
        <w:jc w:val="left"/>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8"/>
        <w:gridCol w:w="1063"/>
        <w:gridCol w:w="946"/>
        <w:gridCol w:w="881"/>
      </w:tblGrid>
      <w:tr>
        <w:trPr>
          <w:trHeight w:val="652" w:hRule="atLeast"/>
        </w:trPr>
        <w:tc>
          <w:tcPr>
            <w:tcW w:w="6128" w:type="dxa"/>
            <w:shd w:val="clear" w:color="auto" w:fill="D9D9D9"/>
          </w:tcPr>
          <w:p>
            <w:pPr>
              <w:pStyle w:val="TableParagraph"/>
              <w:ind w:left="57"/>
              <w:rPr>
                <w:b/>
                <w:sz w:val="22"/>
              </w:rPr>
            </w:pPr>
            <w:r>
              <w:rPr>
                <w:b/>
                <w:sz w:val="22"/>
              </w:rPr>
              <w:t>Targets or Measures</w:t>
            </w:r>
          </w:p>
        </w:tc>
        <w:tc>
          <w:tcPr>
            <w:tcW w:w="1063" w:type="dxa"/>
            <w:shd w:val="clear" w:color="auto" w:fill="D9D9D9"/>
          </w:tcPr>
          <w:p>
            <w:pPr>
              <w:pStyle w:val="TableParagraph"/>
              <w:ind w:left="139" w:right="127"/>
              <w:jc w:val="center"/>
              <w:rPr>
                <w:b/>
                <w:sz w:val="22"/>
              </w:rPr>
            </w:pPr>
            <w:r>
              <w:rPr>
                <w:b/>
                <w:sz w:val="22"/>
              </w:rPr>
              <w:t>Base</w:t>
            </w:r>
          </w:p>
        </w:tc>
        <w:tc>
          <w:tcPr>
            <w:tcW w:w="946" w:type="dxa"/>
            <w:shd w:val="clear" w:color="auto" w:fill="D9D9D9"/>
          </w:tcPr>
          <w:p>
            <w:pPr>
              <w:pStyle w:val="TableParagraph"/>
              <w:ind w:left="184"/>
              <w:rPr>
                <w:b/>
                <w:sz w:val="22"/>
              </w:rPr>
            </w:pPr>
            <w:r>
              <w:rPr>
                <w:b/>
                <w:sz w:val="22"/>
              </w:rPr>
              <w:t>Year 1</w:t>
            </w:r>
          </w:p>
          <w:p>
            <w:pPr>
              <w:pStyle w:val="TableParagraph"/>
              <w:spacing w:before="1"/>
              <w:ind w:left="249"/>
              <w:rPr>
                <w:b/>
                <w:sz w:val="22"/>
              </w:rPr>
            </w:pPr>
            <w:r>
              <w:rPr>
                <w:b/>
                <w:sz w:val="22"/>
              </w:rPr>
              <w:t>2019</w:t>
            </w:r>
          </w:p>
        </w:tc>
        <w:tc>
          <w:tcPr>
            <w:tcW w:w="881" w:type="dxa"/>
            <w:shd w:val="clear" w:color="auto" w:fill="D9D9D9"/>
          </w:tcPr>
          <w:p>
            <w:pPr>
              <w:pStyle w:val="TableParagraph"/>
              <w:ind w:left="153"/>
              <w:rPr>
                <w:b/>
                <w:sz w:val="22"/>
              </w:rPr>
            </w:pPr>
            <w:r>
              <w:rPr>
                <w:b/>
                <w:sz w:val="22"/>
              </w:rPr>
              <w:t>Year 2</w:t>
            </w:r>
          </w:p>
          <w:p>
            <w:pPr>
              <w:pStyle w:val="TableParagraph"/>
              <w:spacing w:before="1"/>
              <w:ind w:left="216"/>
              <w:rPr>
                <w:b/>
                <w:sz w:val="22"/>
              </w:rPr>
            </w:pPr>
            <w:r>
              <w:rPr>
                <w:b/>
                <w:sz w:val="22"/>
              </w:rPr>
              <w:t>2020</w:t>
            </w:r>
          </w:p>
        </w:tc>
      </w:tr>
      <w:tr>
        <w:trPr>
          <w:trHeight w:val="650" w:hRule="atLeast"/>
        </w:trPr>
        <w:tc>
          <w:tcPr>
            <w:tcW w:w="6128" w:type="dxa"/>
          </w:tcPr>
          <w:p>
            <w:pPr>
              <w:pStyle w:val="TableParagraph"/>
              <w:spacing w:line="237" w:lineRule="auto" w:before="59"/>
              <w:ind w:left="57" w:right="48"/>
              <w:rPr>
                <w:sz w:val="22"/>
              </w:rPr>
            </w:pPr>
            <w:r>
              <w:rPr>
                <w:sz w:val="22"/>
              </w:rPr>
              <w:t>PBL Data Sets and School Staff Survey shows positive impact of PBL Framework</w:t>
            </w:r>
          </w:p>
        </w:tc>
        <w:tc>
          <w:tcPr>
            <w:tcW w:w="1063" w:type="dxa"/>
          </w:tcPr>
          <w:p>
            <w:pPr>
              <w:pStyle w:val="TableParagraph"/>
              <w:ind w:left="139" w:right="128"/>
              <w:jc w:val="center"/>
              <w:rPr>
                <w:sz w:val="22"/>
              </w:rPr>
            </w:pPr>
            <w:r>
              <w:rPr>
                <w:sz w:val="22"/>
              </w:rPr>
              <w:t>SET 92%</w:t>
            </w:r>
          </w:p>
        </w:tc>
        <w:tc>
          <w:tcPr>
            <w:tcW w:w="946" w:type="dxa"/>
          </w:tcPr>
          <w:p>
            <w:pPr>
              <w:pStyle w:val="TableParagraph"/>
              <w:ind w:left="176" w:right="168"/>
              <w:jc w:val="center"/>
              <w:rPr>
                <w:sz w:val="22"/>
              </w:rPr>
            </w:pPr>
            <w:r>
              <w:rPr>
                <w:sz w:val="22"/>
              </w:rPr>
              <w:t>100%</w:t>
            </w:r>
          </w:p>
        </w:tc>
        <w:tc>
          <w:tcPr>
            <w:tcW w:w="881" w:type="dxa"/>
          </w:tcPr>
          <w:p>
            <w:pPr>
              <w:pStyle w:val="TableParagraph"/>
              <w:ind w:left="194"/>
              <w:rPr>
                <w:sz w:val="22"/>
              </w:rPr>
            </w:pPr>
            <w:r>
              <w:rPr>
                <w:sz w:val="22"/>
              </w:rPr>
              <w:t>100%</w:t>
            </w:r>
          </w:p>
        </w:tc>
      </w:tr>
      <w:tr>
        <w:trPr>
          <w:trHeight w:val="921" w:hRule="atLeast"/>
        </w:trPr>
        <w:tc>
          <w:tcPr>
            <w:tcW w:w="6128" w:type="dxa"/>
          </w:tcPr>
          <w:p>
            <w:pPr>
              <w:pStyle w:val="TableParagraph"/>
              <w:ind w:left="57" w:right="233"/>
              <w:rPr>
                <w:sz w:val="22"/>
              </w:rPr>
            </w:pPr>
            <w:r>
              <w:rPr>
                <w:sz w:val="22"/>
              </w:rPr>
              <w:t>% positive student responses to a school Well-being Survey Years 3-6</w:t>
            </w:r>
          </w:p>
          <w:p>
            <w:pPr>
              <w:pStyle w:val="TableParagraph"/>
              <w:spacing w:before="1"/>
              <w:ind w:left="755"/>
              <w:rPr>
                <w:i/>
                <w:sz w:val="22"/>
              </w:rPr>
            </w:pPr>
            <w:r>
              <w:rPr>
                <w:i/>
                <w:sz w:val="22"/>
              </w:rPr>
              <w:t>1=Not true, 2= Somewhat true, 3= Very true</w:t>
            </w:r>
          </w:p>
        </w:tc>
        <w:tc>
          <w:tcPr>
            <w:tcW w:w="2890" w:type="dxa"/>
            <w:gridSpan w:val="3"/>
          </w:tcPr>
          <w:p>
            <w:pPr>
              <w:pStyle w:val="TableParagraph"/>
              <w:ind w:left="883" w:right="835" w:firstLine="50"/>
              <w:rPr>
                <w:sz w:val="22"/>
              </w:rPr>
            </w:pPr>
            <w:r>
              <w:rPr>
                <w:sz w:val="22"/>
              </w:rPr>
              <w:t>% based on 3 = very true New in 2019</w:t>
            </w:r>
          </w:p>
        </w:tc>
      </w:tr>
      <w:tr>
        <w:trPr>
          <w:trHeight w:val="381" w:hRule="atLeast"/>
        </w:trPr>
        <w:tc>
          <w:tcPr>
            <w:tcW w:w="6128" w:type="dxa"/>
          </w:tcPr>
          <w:p>
            <w:pPr>
              <w:pStyle w:val="TableParagraph"/>
              <w:spacing w:before="54"/>
              <w:ind w:left="57"/>
              <w:rPr>
                <w:i/>
                <w:sz w:val="22"/>
              </w:rPr>
            </w:pPr>
            <w:r>
              <w:rPr>
                <w:b/>
                <w:sz w:val="22"/>
              </w:rPr>
              <w:t>‘</w:t>
            </w:r>
            <w:r>
              <w:rPr>
                <w:i/>
                <w:sz w:val="22"/>
              </w:rPr>
              <w:t>I feel I belong at this school</w:t>
            </w:r>
          </w:p>
        </w:tc>
        <w:tc>
          <w:tcPr>
            <w:tcW w:w="1063" w:type="dxa"/>
            <w:shd w:val="clear" w:color="auto" w:fill="D9D9D9"/>
          </w:tcPr>
          <w:p>
            <w:pPr>
              <w:pStyle w:val="TableParagraph"/>
              <w:spacing w:before="0"/>
              <w:rPr>
                <w:rFonts w:ascii="Times New Roman"/>
                <w:sz w:val="20"/>
              </w:rPr>
            </w:pPr>
          </w:p>
        </w:tc>
        <w:tc>
          <w:tcPr>
            <w:tcW w:w="946" w:type="dxa"/>
          </w:tcPr>
          <w:p>
            <w:pPr>
              <w:pStyle w:val="TableParagraph"/>
              <w:spacing w:before="54"/>
              <w:ind w:left="179" w:right="168"/>
              <w:jc w:val="center"/>
              <w:rPr>
                <w:sz w:val="22"/>
              </w:rPr>
            </w:pPr>
            <w:r>
              <w:rPr>
                <w:sz w:val="22"/>
              </w:rPr>
              <w:t>47.1%</w:t>
            </w:r>
          </w:p>
        </w:tc>
        <w:tc>
          <w:tcPr>
            <w:tcW w:w="881" w:type="dxa"/>
            <w:shd w:val="clear" w:color="auto" w:fill="C5DFB3"/>
          </w:tcPr>
          <w:p>
            <w:pPr>
              <w:pStyle w:val="TableParagraph"/>
              <w:spacing w:before="54"/>
              <w:ind w:left="165"/>
              <w:rPr>
                <w:sz w:val="22"/>
              </w:rPr>
            </w:pPr>
            <w:r>
              <w:rPr>
                <w:sz w:val="22"/>
              </w:rPr>
              <w:t>70.8%</w:t>
            </w:r>
          </w:p>
        </w:tc>
      </w:tr>
      <w:tr>
        <w:trPr>
          <w:trHeight w:val="383" w:hRule="atLeast"/>
        </w:trPr>
        <w:tc>
          <w:tcPr>
            <w:tcW w:w="6128" w:type="dxa"/>
          </w:tcPr>
          <w:p>
            <w:pPr>
              <w:pStyle w:val="TableParagraph"/>
              <w:ind w:left="57"/>
              <w:rPr>
                <w:i/>
                <w:sz w:val="22"/>
              </w:rPr>
            </w:pPr>
            <w:r>
              <w:rPr>
                <w:sz w:val="22"/>
              </w:rPr>
              <w:t>‘</w:t>
            </w:r>
            <w:r>
              <w:rPr>
                <w:i/>
                <w:sz w:val="22"/>
              </w:rPr>
              <w:t>Students at this school get along with each other’</w:t>
            </w:r>
          </w:p>
        </w:tc>
        <w:tc>
          <w:tcPr>
            <w:tcW w:w="1063" w:type="dxa"/>
            <w:shd w:val="clear" w:color="auto" w:fill="D9D9D9"/>
          </w:tcPr>
          <w:p>
            <w:pPr>
              <w:pStyle w:val="TableParagraph"/>
              <w:spacing w:before="0"/>
              <w:rPr>
                <w:rFonts w:ascii="Times New Roman"/>
                <w:sz w:val="20"/>
              </w:rPr>
            </w:pPr>
          </w:p>
        </w:tc>
        <w:tc>
          <w:tcPr>
            <w:tcW w:w="946" w:type="dxa"/>
          </w:tcPr>
          <w:p>
            <w:pPr>
              <w:pStyle w:val="TableParagraph"/>
              <w:ind w:left="179" w:right="168"/>
              <w:jc w:val="center"/>
              <w:rPr>
                <w:sz w:val="22"/>
              </w:rPr>
            </w:pPr>
            <w:r>
              <w:rPr>
                <w:sz w:val="22"/>
              </w:rPr>
              <w:t>11.2%</w:t>
            </w:r>
          </w:p>
        </w:tc>
        <w:tc>
          <w:tcPr>
            <w:tcW w:w="881" w:type="dxa"/>
            <w:shd w:val="clear" w:color="auto" w:fill="C5DFB3"/>
          </w:tcPr>
          <w:p>
            <w:pPr>
              <w:pStyle w:val="TableParagraph"/>
              <w:ind w:left="165"/>
              <w:rPr>
                <w:sz w:val="22"/>
              </w:rPr>
            </w:pPr>
            <w:r>
              <w:rPr>
                <w:sz w:val="22"/>
              </w:rPr>
              <w:t>34.2%</w:t>
            </w:r>
          </w:p>
        </w:tc>
      </w:tr>
      <w:tr>
        <w:trPr>
          <w:trHeight w:val="381" w:hRule="atLeast"/>
        </w:trPr>
        <w:tc>
          <w:tcPr>
            <w:tcW w:w="6128" w:type="dxa"/>
          </w:tcPr>
          <w:p>
            <w:pPr>
              <w:pStyle w:val="TableParagraph"/>
              <w:ind w:left="57"/>
              <w:rPr>
                <w:i/>
                <w:sz w:val="22"/>
              </w:rPr>
            </w:pPr>
            <w:r>
              <w:rPr>
                <w:i/>
                <w:sz w:val="22"/>
              </w:rPr>
              <w:t>‘Students at my school respect each other’</w:t>
            </w:r>
          </w:p>
        </w:tc>
        <w:tc>
          <w:tcPr>
            <w:tcW w:w="1063" w:type="dxa"/>
            <w:shd w:val="clear" w:color="auto" w:fill="D9D9D9"/>
          </w:tcPr>
          <w:p>
            <w:pPr>
              <w:pStyle w:val="TableParagraph"/>
              <w:spacing w:before="0"/>
              <w:rPr>
                <w:rFonts w:ascii="Times New Roman"/>
                <w:sz w:val="20"/>
              </w:rPr>
            </w:pPr>
          </w:p>
        </w:tc>
        <w:tc>
          <w:tcPr>
            <w:tcW w:w="946" w:type="dxa"/>
          </w:tcPr>
          <w:p>
            <w:pPr>
              <w:pStyle w:val="TableParagraph"/>
              <w:ind w:left="179" w:right="168"/>
              <w:jc w:val="center"/>
              <w:rPr>
                <w:sz w:val="22"/>
              </w:rPr>
            </w:pPr>
            <w:r>
              <w:rPr>
                <w:sz w:val="22"/>
              </w:rPr>
              <w:t>14.8%</w:t>
            </w:r>
          </w:p>
        </w:tc>
        <w:tc>
          <w:tcPr>
            <w:tcW w:w="881" w:type="dxa"/>
            <w:shd w:val="clear" w:color="auto" w:fill="C5DFB3"/>
          </w:tcPr>
          <w:p>
            <w:pPr>
              <w:pStyle w:val="TableParagraph"/>
              <w:ind w:left="165"/>
              <w:rPr>
                <w:sz w:val="22"/>
              </w:rPr>
            </w:pPr>
            <w:r>
              <w:rPr>
                <w:sz w:val="22"/>
              </w:rPr>
              <w:t>26.7%</w:t>
            </w:r>
          </w:p>
        </w:tc>
      </w:tr>
      <w:tr>
        <w:trPr>
          <w:trHeight w:val="384" w:hRule="atLeast"/>
        </w:trPr>
        <w:tc>
          <w:tcPr>
            <w:tcW w:w="6128" w:type="dxa"/>
          </w:tcPr>
          <w:p>
            <w:pPr>
              <w:pStyle w:val="TableParagraph"/>
              <w:spacing w:before="57"/>
              <w:ind w:left="57"/>
              <w:rPr>
                <w:i/>
                <w:sz w:val="22"/>
              </w:rPr>
            </w:pPr>
            <w:r>
              <w:rPr>
                <w:i/>
                <w:sz w:val="22"/>
              </w:rPr>
              <w:t>‘I don’t give up when things are difficult’</w:t>
            </w:r>
          </w:p>
        </w:tc>
        <w:tc>
          <w:tcPr>
            <w:tcW w:w="1063" w:type="dxa"/>
            <w:shd w:val="clear" w:color="auto" w:fill="D9D9D9"/>
          </w:tcPr>
          <w:p>
            <w:pPr>
              <w:pStyle w:val="TableParagraph"/>
              <w:spacing w:before="0"/>
              <w:rPr>
                <w:rFonts w:ascii="Times New Roman"/>
                <w:sz w:val="20"/>
              </w:rPr>
            </w:pPr>
          </w:p>
        </w:tc>
        <w:tc>
          <w:tcPr>
            <w:tcW w:w="946" w:type="dxa"/>
          </w:tcPr>
          <w:p>
            <w:pPr>
              <w:pStyle w:val="TableParagraph"/>
              <w:spacing w:before="57"/>
              <w:ind w:left="179" w:right="168"/>
              <w:jc w:val="center"/>
              <w:rPr>
                <w:sz w:val="22"/>
              </w:rPr>
            </w:pPr>
            <w:r>
              <w:rPr>
                <w:sz w:val="22"/>
              </w:rPr>
              <w:t>58.7%</w:t>
            </w:r>
          </w:p>
        </w:tc>
        <w:tc>
          <w:tcPr>
            <w:tcW w:w="881" w:type="dxa"/>
            <w:shd w:val="clear" w:color="auto" w:fill="C5DFB3"/>
          </w:tcPr>
          <w:p>
            <w:pPr>
              <w:pStyle w:val="TableParagraph"/>
              <w:spacing w:before="57"/>
              <w:ind w:left="165"/>
              <w:rPr>
                <w:sz w:val="22"/>
              </w:rPr>
            </w:pPr>
            <w:r>
              <w:rPr>
                <w:sz w:val="22"/>
              </w:rPr>
              <w:t>59.2%</w:t>
            </w:r>
          </w:p>
        </w:tc>
      </w:tr>
      <w:tr>
        <w:trPr>
          <w:trHeight w:val="381" w:hRule="atLeast"/>
        </w:trPr>
        <w:tc>
          <w:tcPr>
            <w:tcW w:w="6128" w:type="dxa"/>
          </w:tcPr>
          <w:p>
            <w:pPr>
              <w:pStyle w:val="TableParagraph"/>
              <w:ind w:left="57"/>
              <w:rPr>
                <w:i/>
                <w:sz w:val="22"/>
              </w:rPr>
            </w:pPr>
            <w:r>
              <w:rPr>
                <w:i/>
                <w:sz w:val="22"/>
              </w:rPr>
              <w:t>‘I know how to manage my emotions when things are difficult’</w:t>
            </w:r>
          </w:p>
        </w:tc>
        <w:tc>
          <w:tcPr>
            <w:tcW w:w="1063" w:type="dxa"/>
            <w:shd w:val="clear" w:color="auto" w:fill="D9D9D9"/>
          </w:tcPr>
          <w:p>
            <w:pPr>
              <w:pStyle w:val="TableParagraph"/>
              <w:spacing w:before="0"/>
              <w:rPr>
                <w:rFonts w:ascii="Times New Roman"/>
                <w:sz w:val="20"/>
              </w:rPr>
            </w:pPr>
          </w:p>
        </w:tc>
        <w:tc>
          <w:tcPr>
            <w:tcW w:w="946" w:type="dxa"/>
          </w:tcPr>
          <w:p>
            <w:pPr>
              <w:pStyle w:val="TableParagraph"/>
              <w:ind w:left="179" w:right="168"/>
              <w:jc w:val="center"/>
              <w:rPr>
                <w:sz w:val="22"/>
              </w:rPr>
            </w:pPr>
            <w:r>
              <w:rPr>
                <w:sz w:val="22"/>
              </w:rPr>
              <w:t>40%</w:t>
            </w:r>
          </w:p>
        </w:tc>
        <w:tc>
          <w:tcPr>
            <w:tcW w:w="881" w:type="dxa"/>
            <w:shd w:val="clear" w:color="auto" w:fill="C5DFB3"/>
          </w:tcPr>
          <w:p>
            <w:pPr>
              <w:pStyle w:val="TableParagraph"/>
              <w:ind w:left="165"/>
              <w:rPr>
                <w:sz w:val="22"/>
              </w:rPr>
            </w:pPr>
            <w:r>
              <w:rPr>
                <w:sz w:val="22"/>
              </w:rPr>
              <w:t>72.5%</w:t>
            </w:r>
          </w:p>
        </w:tc>
      </w:tr>
      <w:tr>
        <w:trPr>
          <w:trHeight w:val="383" w:hRule="atLeast"/>
        </w:trPr>
        <w:tc>
          <w:tcPr>
            <w:tcW w:w="6128" w:type="dxa"/>
          </w:tcPr>
          <w:p>
            <w:pPr>
              <w:pStyle w:val="TableParagraph"/>
              <w:ind w:left="57"/>
              <w:rPr>
                <w:sz w:val="22"/>
              </w:rPr>
            </w:pPr>
            <w:r>
              <w:rPr>
                <w:sz w:val="22"/>
              </w:rPr>
              <w:t>% families engaging with SeeSaw P-Yr6</w:t>
            </w:r>
          </w:p>
        </w:tc>
        <w:tc>
          <w:tcPr>
            <w:tcW w:w="1063" w:type="dxa"/>
            <w:shd w:val="clear" w:color="auto" w:fill="D9D9D9"/>
          </w:tcPr>
          <w:p>
            <w:pPr>
              <w:pStyle w:val="TableParagraph"/>
              <w:spacing w:before="0"/>
              <w:rPr>
                <w:rFonts w:ascii="Times New Roman"/>
                <w:sz w:val="20"/>
              </w:rPr>
            </w:pPr>
          </w:p>
        </w:tc>
        <w:tc>
          <w:tcPr>
            <w:tcW w:w="946" w:type="dxa"/>
          </w:tcPr>
          <w:p>
            <w:pPr>
              <w:pStyle w:val="TableParagraph"/>
              <w:ind w:left="179" w:right="168"/>
              <w:jc w:val="center"/>
              <w:rPr>
                <w:sz w:val="22"/>
              </w:rPr>
            </w:pPr>
            <w:r>
              <w:rPr>
                <w:sz w:val="22"/>
              </w:rPr>
              <w:t>76%</w:t>
            </w:r>
          </w:p>
        </w:tc>
        <w:tc>
          <w:tcPr>
            <w:tcW w:w="881" w:type="dxa"/>
            <w:shd w:val="clear" w:color="auto" w:fill="C5DFB3"/>
          </w:tcPr>
          <w:p>
            <w:pPr>
              <w:pStyle w:val="TableParagraph"/>
              <w:ind w:left="194"/>
              <w:rPr>
                <w:sz w:val="22"/>
              </w:rPr>
            </w:pPr>
            <w:r>
              <w:rPr>
                <w:sz w:val="22"/>
              </w:rPr>
              <w:t>100%</w:t>
            </w:r>
          </w:p>
        </w:tc>
      </w:tr>
    </w:tbl>
    <w:p>
      <w:pPr>
        <w:pStyle w:val="BodyText"/>
        <w:ind w:left="0"/>
        <w:rPr>
          <w:rFonts w:ascii="Calibri Light"/>
          <w:b w:val="0"/>
          <w:i/>
          <w:sz w:val="20"/>
        </w:rPr>
      </w:pPr>
    </w:p>
    <w:p>
      <w:pPr>
        <w:pStyle w:val="BodyText"/>
        <w:spacing w:before="8"/>
        <w:ind w:left="0"/>
        <w:rPr>
          <w:rFonts w:ascii="Calibri Light"/>
          <w:b w:val="0"/>
          <w:i/>
          <w:sz w:val="21"/>
        </w:rPr>
      </w:pPr>
    </w:p>
    <w:p>
      <w:pPr>
        <w:pStyle w:val="BodyText"/>
        <w:ind w:left="760"/>
        <w:rPr>
          <w:rFonts w:ascii="Arial"/>
        </w:rPr>
      </w:pPr>
      <w:r>
        <w:rPr>
          <w:rFonts w:ascii="Arial"/>
          <w:color w:val="1F4D78"/>
        </w:rPr>
        <w:t>What this evidence tells us</w:t>
      </w:r>
    </w:p>
    <w:p>
      <w:pPr>
        <w:pStyle w:val="BodyText"/>
        <w:spacing w:before="118"/>
        <w:ind w:left="760"/>
      </w:pPr>
      <w:r>
        <w:rPr>
          <w:color w:val="4471C4"/>
        </w:rPr>
        <w:t>Perception Data</w:t>
      </w:r>
    </w:p>
    <w:p>
      <w:pPr>
        <w:pStyle w:val="ListParagraph"/>
        <w:numPr>
          <w:ilvl w:val="0"/>
          <w:numId w:val="1"/>
        </w:numPr>
        <w:tabs>
          <w:tab w:pos="1480" w:val="left" w:leader="none"/>
          <w:tab w:pos="1481" w:val="left" w:leader="none"/>
        </w:tabs>
        <w:spacing w:line="240" w:lineRule="auto" w:before="183" w:after="0"/>
        <w:ind w:left="1480" w:right="1129" w:hanging="360"/>
        <w:jc w:val="left"/>
        <w:rPr>
          <w:sz w:val="22"/>
        </w:rPr>
      </w:pPr>
      <w:r>
        <w:rPr>
          <w:sz w:val="22"/>
        </w:rPr>
        <w:t>In regard to student responses to wellbeing and school culture - behaviour management, enjoying being at school, feeling safe at school, being able to talk to a teacher about concerns and staff taking concerns seriously – the school exceeded the ACT</w:t>
      </w:r>
      <w:r>
        <w:rPr>
          <w:spacing w:val="-19"/>
          <w:sz w:val="22"/>
        </w:rPr>
        <w:t> </w:t>
      </w:r>
      <w:r>
        <w:rPr>
          <w:sz w:val="22"/>
        </w:rPr>
        <w:t>average</w:t>
      </w:r>
    </w:p>
    <w:p>
      <w:pPr>
        <w:pStyle w:val="ListParagraph"/>
        <w:numPr>
          <w:ilvl w:val="0"/>
          <w:numId w:val="1"/>
        </w:numPr>
        <w:tabs>
          <w:tab w:pos="1480" w:val="left" w:leader="none"/>
          <w:tab w:pos="1481" w:val="left" w:leader="none"/>
        </w:tabs>
        <w:spacing w:line="240" w:lineRule="auto" w:before="0" w:after="0"/>
        <w:ind w:left="1480" w:right="812" w:hanging="360"/>
        <w:jc w:val="left"/>
        <w:rPr>
          <w:sz w:val="22"/>
        </w:rPr>
      </w:pPr>
      <w:r>
        <w:rPr>
          <w:sz w:val="22"/>
        </w:rPr>
        <w:t>In relation to Parental Engagement and the Home School partnership – there was a significant impact on the school’s ability to progress this work due to COVID 19. While the School Improvement and Climate Survey data indicates the school’s, result is below the ACT average, only 77 members of the community completed the survey which is significantly less than last year and therefore is not fully representational of the school</w:t>
      </w:r>
      <w:r>
        <w:rPr>
          <w:spacing w:val="-13"/>
          <w:sz w:val="22"/>
        </w:rPr>
        <w:t> </w:t>
      </w:r>
      <w:r>
        <w:rPr>
          <w:sz w:val="22"/>
        </w:rPr>
        <w:t>community.</w:t>
      </w:r>
    </w:p>
    <w:p>
      <w:pPr>
        <w:pStyle w:val="BodyText"/>
        <w:ind w:left="0"/>
      </w:pPr>
    </w:p>
    <w:p>
      <w:pPr>
        <w:pStyle w:val="BodyText"/>
        <w:ind w:left="0"/>
      </w:pPr>
    </w:p>
    <w:p>
      <w:pPr>
        <w:pStyle w:val="BodyText"/>
        <w:ind w:left="760"/>
      </w:pPr>
      <w:r>
        <w:rPr>
          <w:color w:val="4471C4"/>
        </w:rPr>
        <w:t>School Program &amp; Process data</w:t>
      </w:r>
    </w:p>
    <w:p>
      <w:pPr>
        <w:pStyle w:val="ListParagraph"/>
        <w:numPr>
          <w:ilvl w:val="0"/>
          <w:numId w:val="1"/>
        </w:numPr>
        <w:tabs>
          <w:tab w:pos="1480" w:val="left" w:leader="none"/>
          <w:tab w:pos="1481" w:val="left" w:leader="none"/>
        </w:tabs>
        <w:spacing w:line="240" w:lineRule="auto" w:before="181" w:after="0"/>
        <w:ind w:left="1480" w:right="1098" w:hanging="360"/>
        <w:jc w:val="left"/>
        <w:rPr>
          <w:sz w:val="22"/>
        </w:rPr>
      </w:pPr>
      <w:r>
        <w:rPr>
          <w:sz w:val="22"/>
        </w:rPr>
        <w:t>PBL continues to be highly successful. The school achieved a 100% School Evaluation Tool (SET) score for the second consecutive</w:t>
      </w:r>
      <w:r>
        <w:rPr>
          <w:spacing w:val="-4"/>
          <w:sz w:val="22"/>
        </w:rPr>
        <w:t> </w:t>
      </w:r>
      <w:r>
        <w:rPr>
          <w:sz w:val="22"/>
        </w:rPr>
        <w:t>year.</w:t>
      </w:r>
    </w:p>
    <w:p>
      <w:pPr>
        <w:pStyle w:val="ListParagraph"/>
        <w:numPr>
          <w:ilvl w:val="0"/>
          <w:numId w:val="1"/>
        </w:numPr>
        <w:tabs>
          <w:tab w:pos="1480" w:val="left" w:leader="none"/>
          <w:tab w:pos="1481" w:val="left" w:leader="none"/>
        </w:tabs>
        <w:spacing w:line="240" w:lineRule="auto" w:before="0" w:after="0"/>
        <w:ind w:left="1480" w:right="908" w:hanging="360"/>
        <w:jc w:val="left"/>
        <w:rPr>
          <w:sz w:val="22"/>
        </w:rPr>
      </w:pPr>
      <w:r>
        <w:rPr>
          <w:sz w:val="22"/>
        </w:rPr>
        <w:t>Parent engagement through Seesaw has continued to grow and all parents were connected in</w:t>
      </w:r>
      <w:r>
        <w:rPr>
          <w:spacing w:val="-1"/>
          <w:sz w:val="22"/>
        </w:rPr>
        <w:t> </w:t>
      </w:r>
      <w:r>
        <w:rPr>
          <w:sz w:val="22"/>
        </w:rPr>
        <w:t>2020.</w:t>
      </w:r>
    </w:p>
    <w:p>
      <w:pPr>
        <w:pStyle w:val="ListParagraph"/>
        <w:numPr>
          <w:ilvl w:val="0"/>
          <w:numId w:val="1"/>
        </w:numPr>
        <w:tabs>
          <w:tab w:pos="1480" w:val="left" w:leader="none"/>
          <w:tab w:pos="1481" w:val="left" w:leader="none"/>
        </w:tabs>
        <w:spacing w:line="240" w:lineRule="auto" w:before="1" w:after="0"/>
        <w:ind w:left="1480" w:right="861" w:hanging="360"/>
        <w:jc w:val="left"/>
        <w:rPr>
          <w:sz w:val="22"/>
        </w:rPr>
      </w:pPr>
      <w:r>
        <w:rPr>
          <w:sz w:val="22"/>
        </w:rPr>
        <w:t>The results against all five statements selected from our school developed Wellbeing Survey show significant improvement in</w:t>
      </w:r>
      <w:r>
        <w:rPr>
          <w:spacing w:val="-2"/>
          <w:sz w:val="22"/>
        </w:rPr>
        <w:t> </w:t>
      </w:r>
      <w:r>
        <w:rPr>
          <w:sz w:val="22"/>
        </w:rPr>
        <w:t>2020.</w:t>
      </w:r>
    </w:p>
    <w:p>
      <w:pPr>
        <w:pStyle w:val="BodyText"/>
        <w:spacing w:before="11"/>
        <w:ind w:left="0"/>
        <w:rPr>
          <w:sz w:val="21"/>
        </w:rPr>
      </w:pPr>
    </w:p>
    <w:p>
      <w:pPr>
        <w:pStyle w:val="BodyText"/>
        <w:ind w:left="760"/>
      </w:pPr>
      <w:r>
        <w:rPr/>
        <w:t>2020 outcomes have highlighted the following for the school’s 2021 Action Plan:</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Continue the implementation of PBL, specifically complete Phase</w:t>
      </w:r>
      <w:r>
        <w:rPr>
          <w:spacing w:val="-8"/>
          <w:sz w:val="22"/>
        </w:rPr>
        <w:t> </w:t>
      </w:r>
      <w:r>
        <w:rPr>
          <w:sz w:val="22"/>
        </w:rPr>
        <w:t>2</w:t>
      </w:r>
    </w:p>
    <w:p>
      <w:pPr>
        <w:pStyle w:val="ListParagraph"/>
        <w:numPr>
          <w:ilvl w:val="0"/>
          <w:numId w:val="1"/>
        </w:numPr>
        <w:tabs>
          <w:tab w:pos="1480" w:val="left" w:leader="none"/>
          <w:tab w:pos="1481" w:val="left" w:leader="none"/>
        </w:tabs>
        <w:spacing w:line="240" w:lineRule="auto" w:before="0" w:after="0"/>
        <w:ind w:left="1480" w:right="846" w:hanging="360"/>
        <w:jc w:val="left"/>
        <w:rPr>
          <w:sz w:val="22"/>
        </w:rPr>
      </w:pPr>
      <w:r>
        <w:rPr>
          <w:sz w:val="22"/>
        </w:rPr>
        <w:t>Social Emotional Learning (SEL) and a focus on self-management and resilience will continue in 2021 and will be delivered by SLCs in a team-teaching manner together with class teachers</w:t>
      </w:r>
    </w:p>
    <w:p>
      <w:pPr>
        <w:pStyle w:val="ListParagraph"/>
        <w:numPr>
          <w:ilvl w:val="0"/>
          <w:numId w:val="1"/>
        </w:numPr>
        <w:tabs>
          <w:tab w:pos="1480" w:val="left" w:leader="none"/>
          <w:tab w:pos="1481" w:val="left" w:leader="none"/>
        </w:tabs>
        <w:spacing w:line="240" w:lineRule="auto" w:before="1" w:after="0"/>
        <w:ind w:left="1480" w:right="0" w:hanging="361"/>
        <w:jc w:val="left"/>
        <w:rPr>
          <w:sz w:val="22"/>
        </w:rPr>
      </w:pPr>
      <w:r>
        <w:rPr>
          <w:sz w:val="22"/>
        </w:rPr>
        <w:t>Enhance home/school communication strategies using a new newsletter</w:t>
      </w:r>
      <w:r>
        <w:rPr>
          <w:spacing w:val="-6"/>
          <w:sz w:val="22"/>
        </w:rPr>
        <w:t> </w:t>
      </w:r>
      <w:r>
        <w:rPr>
          <w:sz w:val="22"/>
        </w:rPr>
        <w:t>format</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Increase direct teacher/parent contact through phone calls and</w:t>
      </w:r>
      <w:r>
        <w:rPr>
          <w:spacing w:val="-5"/>
          <w:sz w:val="22"/>
        </w:rPr>
        <w:t> </w:t>
      </w:r>
      <w:r>
        <w:rPr>
          <w:sz w:val="22"/>
        </w:rPr>
        <w:t>Seesaw</w:t>
      </w:r>
    </w:p>
    <w:p>
      <w:pPr>
        <w:spacing w:after="0" w:line="240" w:lineRule="auto"/>
        <w:jc w:val="left"/>
        <w:rPr>
          <w:sz w:val="22"/>
        </w:rPr>
        <w:sectPr>
          <w:pgSz w:w="11910" w:h="16840"/>
          <w:pgMar w:header="0" w:footer="1046" w:top="1380" w:bottom="1320" w:left="680" w:right="660"/>
        </w:sectPr>
      </w:pPr>
    </w:p>
    <w:p>
      <w:pPr>
        <w:pStyle w:val="BodyText"/>
        <w:spacing w:before="81"/>
        <w:ind w:left="760"/>
        <w:rPr>
          <w:rFonts w:ascii="Arial"/>
        </w:rPr>
      </w:pPr>
      <w:r>
        <w:rPr>
          <w:rFonts w:ascii="Arial"/>
          <w:color w:val="1F4D78"/>
        </w:rPr>
        <w:t>Our achievements for this priority</w:t>
      </w:r>
    </w:p>
    <w:p>
      <w:pPr>
        <w:pStyle w:val="ListParagraph"/>
        <w:numPr>
          <w:ilvl w:val="0"/>
          <w:numId w:val="1"/>
        </w:numPr>
        <w:tabs>
          <w:tab w:pos="1480" w:val="left" w:leader="none"/>
          <w:tab w:pos="1481" w:val="left" w:leader="none"/>
        </w:tabs>
        <w:spacing w:line="240" w:lineRule="auto" w:before="119" w:after="0"/>
        <w:ind w:left="1480" w:right="1220" w:hanging="360"/>
        <w:jc w:val="left"/>
        <w:rPr>
          <w:sz w:val="22"/>
        </w:rPr>
      </w:pPr>
      <w:r>
        <w:rPr>
          <w:sz w:val="22"/>
        </w:rPr>
        <w:t>Highly successful implementation of PBL Phase 2. We again received excellent feedback from the Directorate PBL team with the school being referred to as a ‘lighthouse’</w:t>
      </w:r>
      <w:r>
        <w:rPr>
          <w:spacing w:val="-20"/>
          <w:sz w:val="22"/>
        </w:rPr>
        <w:t> </w:t>
      </w:r>
      <w:r>
        <w:rPr>
          <w:sz w:val="22"/>
        </w:rPr>
        <w:t>school</w:t>
      </w:r>
    </w:p>
    <w:p>
      <w:pPr>
        <w:pStyle w:val="ListParagraph"/>
        <w:numPr>
          <w:ilvl w:val="0"/>
          <w:numId w:val="1"/>
        </w:numPr>
        <w:tabs>
          <w:tab w:pos="1480" w:val="left" w:leader="none"/>
          <w:tab w:pos="1481" w:val="left" w:leader="none"/>
        </w:tabs>
        <w:spacing w:line="240" w:lineRule="auto" w:before="1" w:after="0"/>
        <w:ind w:left="1480" w:right="0" w:hanging="361"/>
        <w:jc w:val="left"/>
        <w:rPr>
          <w:sz w:val="22"/>
        </w:rPr>
      </w:pPr>
      <w:r>
        <w:rPr>
          <w:sz w:val="22"/>
        </w:rPr>
        <w:t>A PBL focus has been embedded in preschool fortnightly</w:t>
      </w:r>
      <w:r>
        <w:rPr>
          <w:spacing w:val="-4"/>
          <w:sz w:val="22"/>
        </w:rPr>
        <w:t> </w:t>
      </w:r>
      <w:r>
        <w:rPr>
          <w:sz w:val="22"/>
        </w:rPr>
        <w:t>planning</w:t>
      </w:r>
    </w:p>
    <w:p>
      <w:pPr>
        <w:pStyle w:val="ListParagraph"/>
        <w:numPr>
          <w:ilvl w:val="0"/>
          <w:numId w:val="1"/>
        </w:numPr>
        <w:tabs>
          <w:tab w:pos="1480" w:val="left" w:leader="none"/>
          <w:tab w:pos="1481" w:val="left" w:leader="none"/>
        </w:tabs>
        <w:spacing w:line="240" w:lineRule="auto" w:before="0" w:after="0"/>
        <w:ind w:left="1480" w:right="1071" w:hanging="360"/>
        <w:jc w:val="left"/>
        <w:rPr>
          <w:sz w:val="22"/>
        </w:rPr>
      </w:pPr>
      <w:r>
        <w:rPr>
          <w:sz w:val="22"/>
        </w:rPr>
        <w:t>Social Emotional Learning Program P-6 supported student well-being and development of social</w:t>
      </w:r>
      <w:r>
        <w:rPr>
          <w:spacing w:val="-1"/>
          <w:sz w:val="22"/>
        </w:rPr>
        <w:t> </w:t>
      </w:r>
      <w:r>
        <w:rPr>
          <w:sz w:val="22"/>
        </w:rPr>
        <w:t>skills</w:t>
      </w:r>
    </w:p>
    <w:p>
      <w:pPr>
        <w:pStyle w:val="ListParagraph"/>
        <w:numPr>
          <w:ilvl w:val="0"/>
          <w:numId w:val="1"/>
        </w:numPr>
        <w:tabs>
          <w:tab w:pos="1480" w:val="left" w:leader="none"/>
          <w:tab w:pos="1481" w:val="left" w:leader="none"/>
        </w:tabs>
        <w:spacing w:line="240" w:lineRule="auto" w:before="0" w:after="0"/>
        <w:ind w:left="1480" w:right="800" w:hanging="360"/>
        <w:jc w:val="left"/>
        <w:rPr>
          <w:sz w:val="22"/>
        </w:rPr>
      </w:pPr>
      <w:r>
        <w:rPr>
          <w:sz w:val="22"/>
        </w:rPr>
        <w:t>Learning Assistance has been targeted – informed by teacher recommendations and class profile meetings. Student Support Team identified and monitored students requiring additional support. NSET has been engaged to support high needs students. Psychologist has been very proactive in assessments and referrals – focus on early intervention</w:t>
      </w:r>
      <w:r>
        <w:rPr>
          <w:spacing w:val="-17"/>
          <w:sz w:val="22"/>
        </w:rPr>
        <w:t> </w:t>
      </w:r>
      <w:r>
        <w:rPr>
          <w:sz w:val="22"/>
        </w:rPr>
        <w:t>(preschool)</w:t>
      </w:r>
    </w:p>
    <w:p>
      <w:pPr>
        <w:pStyle w:val="ListParagraph"/>
        <w:numPr>
          <w:ilvl w:val="0"/>
          <w:numId w:val="1"/>
        </w:numPr>
        <w:tabs>
          <w:tab w:pos="1480" w:val="left" w:leader="none"/>
          <w:tab w:pos="1481" w:val="left" w:leader="none"/>
        </w:tabs>
        <w:spacing w:line="267" w:lineRule="exact" w:before="0" w:after="0"/>
        <w:ind w:left="1480" w:right="0" w:hanging="361"/>
        <w:jc w:val="left"/>
        <w:rPr>
          <w:sz w:val="22"/>
        </w:rPr>
      </w:pPr>
      <w:r>
        <w:rPr>
          <w:sz w:val="22"/>
        </w:rPr>
        <w:t>Learning Assistants have been moved to classes/units on a needs</w:t>
      </w:r>
      <w:r>
        <w:rPr>
          <w:spacing w:val="-10"/>
          <w:sz w:val="22"/>
        </w:rPr>
        <w:t> </w:t>
      </w:r>
      <w:r>
        <w:rPr>
          <w:sz w:val="22"/>
        </w:rPr>
        <w:t>basis</w:t>
      </w:r>
    </w:p>
    <w:p>
      <w:pPr>
        <w:pStyle w:val="ListParagraph"/>
        <w:numPr>
          <w:ilvl w:val="0"/>
          <w:numId w:val="1"/>
        </w:numPr>
        <w:tabs>
          <w:tab w:pos="1480" w:val="left" w:leader="none"/>
          <w:tab w:pos="1481" w:val="left" w:leader="none"/>
        </w:tabs>
        <w:spacing w:line="240" w:lineRule="auto" w:before="1" w:after="0"/>
        <w:ind w:left="1480" w:right="1252" w:hanging="360"/>
        <w:jc w:val="left"/>
        <w:rPr>
          <w:sz w:val="22"/>
        </w:rPr>
      </w:pPr>
      <w:r>
        <w:rPr>
          <w:sz w:val="22"/>
        </w:rPr>
        <w:t>Facebook highly active, featuring a wide range of activities and learning from across the school (P-6) as well as key</w:t>
      </w:r>
      <w:r>
        <w:rPr>
          <w:spacing w:val="-10"/>
          <w:sz w:val="22"/>
        </w:rPr>
        <w:t> </w:t>
      </w:r>
      <w:r>
        <w:rPr>
          <w:sz w:val="22"/>
        </w:rPr>
        <w:t>messaging</w:t>
      </w:r>
    </w:p>
    <w:p>
      <w:pPr>
        <w:pStyle w:val="ListParagraph"/>
        <w:numPr>
          <w:ilvl w:val="0"/>
          <w:numId w:val="1"/>
        </w:numPr>
        <w:tabs>
          <w:tab w:pos="1480" w:val="left" w:leader="none"/>
          <w:tab w:pos="1481" w:val="left" w:leader="none"/>
        </w:tabs>
        <w:spacing w:line="240" w:lineRule="auto" w:before="0" w:after="0"/>
        <w:ind w:left="1480" w:right="0" w:hanging="361"/>
        <w:jc w:val="left"/>
        <w:rPr>
          <w:sz w:val="22"/>
        </w:rPr>
      </w:pPr>
      <w:r>
        <w:rPr>
          <w:sz w:val="22"/>
        </w:rPr>
        <w:t>Our partnership with Woolworths is successful with daily donations of</w:t>
      </w:r>
      <w:r>
        <w:rPr>
          <w:spacing w:val="-11"/>
          <w:sz w:val="22"/>
        </w:rPr>
        <w:t> </w:t>
      </w:r>
      <w:r>
        <w:rPr>
          <w:sz w:val="22"/>
        </w:rPr>
        <w:t>fruit</w:t>
      </w:r>
    </w:p>
    <w:p>
      <w:pPr>
        <w:pStyle w:val="ListParagraph"/>
        <w:numPr>
          <w:ilvl w:val="0"/>
          <w:numId w:val="1"/>
        </w:numPr>
        <w:tabs>
          <w:tab w:pos="1480" w:val="left" w:leader="none"/>
          <w:tab w:pos="1481" w:val="left" w:leader="none"/>
        </w:tabs>
        <w:spacing w:line="240" w:lineRule="auto" w:before="0" w:after="0"/>
        <w:ind w:left="1480" w:right="811" w:hanging="360"/>
        <w:jc w:val="left"/>
        <w:rPr>
          <w:sz w:val="22"/>
        </w:rPr>
      </w:pPr>
      <w:r>
        <w:rPr>
          <w:sz w:val="22"/>
        </w:rPr>
        <w:t>Our partnership with the Smith Family and the School Volunteer Program ACT has continued to support our families in</w:t>
      </w:r>
      <w:r>
        <w:rPr>
          <w:spacing w:val="-3"/>
          <w:sz w:val="22"/>
        </w:rPr>
        <w:t> </w:t>
      </w:r>
      <w:r>
        <w:rPr>
          <w:sz w:val="22"/>
        </w:rPr>
        <w:t>need</w:t>
      </w:r>
    </w:p>
    <w:p>
      <w:pPr>
        <w:pStyle w:val="BodyText"/>
        <w:ind w:left="0"/>
      </w:pPr>
    </w:p>
    <w:p>
      <w:pPr>
        <w:pStyle w:val="BodyText"/>
        <w:spacing w:before="185"/>
        <w:ind w:left="760"/>
        <w:rPr>
          <w:rFonts w:ascii="Arial"/>
        </w:rPr>
      </w:pPr>
      <w:r>
        <w:rPr>
          <w:rFonts w:ascii="Arial"/>
          <w:color w:val="1F4D78"/>
        </w:rPr>
        <w:t>Challenges we will address in our next Action Plan</w:t>
      </w:r>
    </w:p>
    <w:p>
      <w:pPr>
        <w:pStyle w:val="ListParagraph"/>
        <w:numPr>
          <w:ilvl w:val="0"/>
          <w:numId w:val="5"/>
        </w:numPr>
        <w:tabs>
          <w:tab w:pos="1480" w:val="left" w:leader="none"/>
          <w:tab w:pos="1481" w:val="left" w:leader="none"/>
        </w:tabs>
        <w:spacing w:line="259" w:lineRule="auto" w:before="118" w:after="0"/>
        <w:ind w:left="1480" w:right="943" w:hanging="360"/>
        <w:jc w:val="left"/>
        <w:rPr>
          <w:sz w:val="22"/>
        </w:rPr>
      </w:pPr>
      <w:r>
        <w:rPr>
          <w:sz w:val="22"/>
        </w:rPr>
        <w:t>Due to COVID 19 meeting the needs of students and their families experiencing anxiety, trauma and financial hardship increased significantly – continue the implementation of PBL Phase 2, offer additional structured activities during breaks, further enhance actions which support inclusivity and</w:t>
      </w:r>
      <w:r>
        <w:rPr>
          <w:spacing w:val="-3"/>
          <w:sz w:val="22"/>
        </w:rPr>
        <w:t> </w:t>
      </w:r>
      <w:r>
        <w:rPr>
          <w:sz w:val="22"/>
        </w:rPr>
        <w:t>equity</w:t>
      </w:r>
    </w:p>
    <w:p>
      <w:pPr>
        <w:pStyle w:val="ListParagraph"/>
        <w:numPr>
          <w:ilvl w:val="0"/>
          <w:numId w:val="5"/>
        </w:numPr>
        <w:tabs>
          <w:tab w:pos="1480" w:val="left" w:leader="none"/>
          <w:tab w:pos="1481" w:val="left" w:leader="none"/>
        </w:tabs>
        <w:spacing w:line="259" w:lineRule="auto" w:before="0" w:after="0"/>
        <w:ind w:left="1480" w:right="978" w:hanging="360"/>
        <w:jc w:val="left"/>
        <w:rPr>
          <w:sz w:val="22"/>
        </w:rPr>
      </w:pPr>
      <w:r>
        <w:rPr>
          <w:sz w:val="22"/>
        </w:rPr>
        <w:t>Engaging all families through Seesaw – build teacher capacity and consistency in the use of Seesaw</w:t>
      </w:r>
    </w:p>
    <w:p>
      <w:pPr>
        <w:pStyle w:val="BodyText"/>
        <w:ind w:left="0"/>
      </w:pPr>
    </w:p>
    <w:p>
      <w:pPr>
        <w:pStyle w:val="BodyText"/>
        <w:spacing w:before="7"/>
        <w:ind w:left="0"/>
        <w:rPr>
          <w:sz w:val="21"/>
        </w:rPr>
      </w:pPr>
    </w:p>
    <w:p>
      <w:pPr>
        <w:pStyle w:val="Heading3"/>
      </w:pPr>
      <w:r>
        <w:rPr>
          <w:color w:val="1F4E79"/>
        </w:rPr>
        <w:t>Reporting on preschool improvement</w:t>
      </w:r>
    </w:p>
    <w:p>
      <w:pPr>
        <w:pStyle w:val="BodyText"/>
        <w:spacing w:before="141"/>
        <w:ind w:left="760" w:right="1063"/>
      </w:pPr>
      <w:r>
        <w:rPr/>
        <w:t>All schools with a preschool setting are required to annually review and update their Quality Improvement Plan*. Schools have a choice to either report against their QIP using the Directorate template or to report progress here.</w:t>
      </w:r>
    </w:p>
    <w:p>
      <w:pPr>
        <w:spacing w:before="118"/>
        <w:ind w:left="760" w:right="0" w:firstLine="0"/>
        <w:jc w:val="left"/>
        <w:rPr>
          <w:i/>
          <w:sz w:val="22"/>
        </w:rPr>
      </w:pPr>
      <w:r>
        <w:rPr>
          <w:i/>
          <w:sz w:val="22"/>
        </w:rPr>
        <w:t>*A copy of the QIP is available for viewing at the school.</w:t>
      </w:r>
    </w:p>
    <w:sectPr>
      <w:pgSz w:w="11910" w:h="16840"/>
      <w:pgMar w:header="0" w:footer="1046" w:top="1340" w:bottom="132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Calibri Light">
    <w:altName w:val="Calibri Light"/>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51.300003pt;margin-top:774.639465pt;width:187.5pt;height:13.15pt;mso-position-horizontal-relative:page;mso-position-vertical-relative:page;z-index:-252934144" type="#_x0000_t202" filled="false" stroked="false">
          <v:textbox inset="0,0,0,0">
            <w:txbxContent>
              <w:p>
                <w:pPr>
                  <w:spacing w:before="12"/>
                  <w:ind w:left="20" w:right="0" w:firstLine="0"/>
                  <w:jc w:val="left"/>
                  <w:rPr>
                    <w:rFonts w:ascii="Arial"/>
                    <w:sz w:val="20"/>
                  </w:rPr>
                </w:pPr>
                <w:r>
                  <w:rPr>
                    <w:rFonts w:ascii="Arial"/>
                    <w:color w:val="808080"/>
                    <w:sz w:val="20"/>
                  </w:rPr>
                  <w:t>Last saved: Wednesday, 3 February 2021</w:t>
                </w:r>
              </w:p>
            </w:txbxContent>
          </v:textbox>
          <w10:wrap type="none"/>
        </v:shape>
      </w:pict>
    </w:r>
    <w:r>
      <w:rPr/>
      <w:pict>
        <v:shape style="position:absolute;margin-left:399.51001pt;margin-top:774.639465pt;width:46.5pt;height:13.15pt;mso-position-horizontal-relative:page;mso-position-vertical-relative:page;z-index:-252933120" type="#_x0000_t202" filled="false" stroked="false">
          <v:textbox inset="0,0,0,0">
            <w:txbxContent>
              <w:p>
                <w:pPr>
                  <w:spacing w:before="12"/>
                  <w:ind w:left="20" w:right="0" w:firstLine="0"/>
                  <w:jc w:val="left"/>
                  <w:rPr>
                    <w:rFonts w:ascii="Arial"/>
                    <w:sz w:val="20"/>
                  </w:rPr>
                </w:pPr>
                <w:r>
                  <w:rPr>
                    <w:rFonts w:ascii="Arial"/>
                    <w:color w:val="808080"/>
                    <w:sz w:val="20"/>
                  </w:rPr>
                  <w:t>Page | </w:t>
                </w:r>
                <w:r>
                  <w:rPr/>
                  <w:fldChar w:fldCharType="begin"/>
                </w:r>
                <w:r>
                  <w:rPr>
                    <w:rFonts w:ascii="Arial"/>
                    <w:color w:val="808080"/>
                    <w:sz w:val="20"/>
                  </w:rPr>
                  <w:instrText> PAGE </w:instrText>
                </w:r>
                <w:r>
                  <w:rPr/>
                  <w:fldChar w:fldCharType="separate"/>
                </w:r>
                <w:r>
                  <w:rPr/>
                  <w:t>10</w:t>
                </w:r>
                <w:r>
                  <w:rPr/>
                  <w:fldChar w:fldCharType="end"/>
                </w:r>
              </w:p>
            </w:txbxContent>
          </v:textbox>
          <w10:wrap type="none"/>
        </v:shape>
      </w:pict>
    </w:r>
    <w:r>
      <w:rPr/>
      <w:pict>
        <v:shape style="position:absolute;margin-left:152.139999pt;margin-top:792.232727pt;width:293.650pt;height:15.45pt;mso-position-horizontal-relative:page;mso-position-vertical-relative:page;z-index:-252932096" type="#_x0000_t202" filled="false" stroked="false">
          <v:textbox inset="0,0,0,0">
            <w:txbxContent>
              <w:p>
                <w:pPr>
                  <w:spacing w:before="12"/>
                  <w:ind w:left="20" w:right="-10" w:firstLine="0"/>
                  <w:jc w:val="left"/>
                  <w:rPr>
                    <w:b/>
                    <w:sz w:val="16"/>
                  </w:rPr>
                </w:pPr>
                <w:r>
                  <w:rPr>
                    <w:rFonts w:ascii="Arial" w:hAnsi="Arial"/>
                    <w:b/>
                    <w:w w:val="110"/>
                    <w:sz w:val="18"/>
                  </w:rPr>
                  <w:t>Analysis</w:t>
                </w:r>
                <w:r>
                  <w:rPr>
                    <w:rFonts w:ascii="Arial" w:hAnsi="Arial"/>
                    <w:b/>
                    <w:spacing w:val="-30"/>
                    <w:w w:val="110"/>
                    <w:sz w:val="18"/>
                  </w:rPr>
                  <w:t> </w:t>
                </w:r>
                <w:r>
                  <w:rPr>
                    <w:rFonts w:ascii="Wingdings" w:hAnsi="Wingdings"/>
                    <w:color w:val="A6A6A6"/>
                    <w:w w:val="170"/>
                    <w:sz w:val="18"/>
                  </w:rPr>
                  <w:t>→</w:t>
                </w:r>
                <w:r>
                  <w:rPr>
                    <w:rFonts w:ascii="Times New Roman" w:hAnsi="Times New Roman"/>
                    <w:color w:val="A6A6A6"/>
                    <w:spacing w:val="-49"/>
                    <w:w w:val="170"/>
                    <w:sz w:val="18"/>
                  </w:rPr>
                  <w:t> </w:t>
                </w:r>
                <w:r>
                  <w:rPr>
                    <w:rFonts w:ascii="Arial" w:hAnsi="Arial"/>
                    <w:b/>
                    <w:w w:val="110"/>
                    <w:sz w:val="18"/>
                  </w:rPr>
                  <w:t>Priorities</w:t>
                </w:r>
                <w:r>
                  <w:rPr>
                    <w:rFonts w:ascii="Arial" w:hAnsi="Arial"/>
                    <w:b/>
                    <w:spacing w:val="-22"/>
                    <w:w w:val="110"/>
                    <w:sz w:val="18"/>
                  </w:rPr>
                  <w:t> </w:t>
                </w:r>
                <w:r>
                  <w:rPr>
                    <w:rFonts w:ascii="Wingdings" w:hAnsi="Wingdings"/>
                    <w:color w:val="A6A6A6"/>
                    <w:w w:val="170"/>
                    <w:sz w:val="18"/>
                  </w:rPr>
                  <w:t>→</w:t>
                </w:r>
                <w:r>
                  <w:rPr>
                    <w:rFonts w:ascii="Times New Roman" w:hAnsi="Times New Roman"/>
                    <w:color w:val="A6A6A6"/>
                    <w:spacing w:val="-49"/>
                    <w:w w:val="170"/>
                    <w:sz w:val="18"/>
                  </w:rPr>
                  <w:t> </w:t>
                </w:r>
                <w:r>
                  <w:rPr>
                    <w:rFonts w:ascii="Arial" w:hAnsi="Arial"/>
                    <w:b/>
                    <w:w w:val="110"/>
                    <w:sz w:val="18"/>
                  </w:rPr>
                  <w:t>Strategies</w:t>
                </w:r>
                <w:r>
                  <w:rPr>
                    <w:rFonts w:ascii="Arial" w:hAnsi="Arial"/>
                    <w:b/>
                    <w:spacing w:val="-29"/>
                    <w:w w:val="110"/>
                    <w:sz w:val="18"/>
                  </w:rPr>
                  <w:t> </w:t>
                </w:r>
                <w:r>
                  <w:rPr>
                    <w:rFonts w:ascii="Wingdings" w:hAnsi="Wingdings"/>
                    <w:color w:val="A6A6A6"/>
                    <w:w w:val="170"/>
                    <w:sz w:val="18"/>
                  </w:rPr>
                  <w:t>→</w:t>
                </w:r>
                <w:r>
                  <w:rPr>
                    <w:rFonts w:ascii="Times New Roman" w:hAnsi="Times New Roman"/>
                    <w:color w:val="A6A6A6"/>
                    <w:spacing w:val="-49"/>
                    <w:w w:val="170"/>
                    <w:sz w:val="18"/>
                  </w:rPr>
                  <w:t> </w:t>
                </w:r>
                <w:r>
                  <w:rPr>
                    <w:rFonts w:ascii="Arial" w:hAnsi="Arial"/>
                    <w:b/>
                    <w:w w:val="110"/>
                    <w:sz w:val="18"/>
                  </w:rPr>
                  <w:t>Actions</w:t>
                </w:r>
                <w:r>
                  <w:rPr>
                    <w:rFonts w:ascii="Arial" w:hAnsi="Arial"/>
                    <w:b/>
                    <w:spacing w:val="-29"/>
                    <w:w w:val="110"/>
                    <w:sz w:val="18"/>
                  </w:rPr>
                  <w:t> </w:t>
                </w:r>
                <w:r>
                  <w:rPr>
                    <w:rFonts w:ascii="Wingdings" w:hAnsi="Wingdings"/>
                    <w:color w:val="A6A6A6"/>
                    <w:w w:val="170"/>
                    <w:sz w:val="18"/>
                  </w:rPr>
                  <w:t>→</w:t>
                </w:r>
                <w:r>
                  <w:rPr>
                    <w:rFonts w:ascii="Times New Roman" w:hAnsi="Times New Roman"/>
                    <w:color w:val="A6A6A6"/>
                    <w:spacing w:val="-50"/>
                    <w:w w:val="170"/>
                    <w:sz w:val="18"/>
                  </w:rPr>
                  <w:t> </w:t>
                </w:r>
                <w:r>
                  <w:rPr>
                    <w:rFonts w:ascii="Arial" w:hAnsi="Arial"/>
                    <w:b/>
                    <w:color w:val="FF0000"/>
                    <w:w w:val="110"/>
                    <w:sz w:val="24"/>
                  </w:rPr>
                  <w:t>Impact</w:t>
                </w:r>
                <w:r>
                  <w:rPr>
                    <w:rFonts w:ascii="Arial" w:hAnsi="Arial"/>
                    <w:b/>
                    <w:color w:val="FF0000"/>
                    <w:spacing w:val="-53"/>
                    <w:w w:val="110"/>
                    <w:sz w:val="24"/>
                  </w:rPr>
                  <w:t> </w:t>
                </w:r>
                <w:r>
                  <w:rPr>
                    <w:b/>
                    <w:color w:val="FF0000"/>
                    <w:spacing w:val="-24"/>
                    <w:w w:val="110"/>
                    <w:sz w:val="16"/>
                  </w:rPr>
                  <w:t>(for </w:t>
                </w:r>
                <w:r>
                  <w:rPr>
                    <w:b/>
                    <w:color w:val="FF0000"/>
                    <w:spacing w:val="-62"/>
                    <w:w w:val="110"/>
                    <w:sz w:val="16"/>
                  </w:rPr>
                  <w:t>student)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480" w:hanging="360"/>
      </w:pPr>
      <w:rPr>
        <w:rFonts w:hint="default" w:ascii="Symbol" w:hAnsi="Symbol" w:eastAsia="Symbol" w:cs="Symbol"/>
        <w:w w:val="100"/>
        <w:sz w:val="22"/>
        <w:szCs w:val="22"/>
        <w:lang w:val="en-au" w:eastAsia="en-au" w:bidi="en-au"/>
      </w:rPr>
    </w:lvl>
    <w:lvl w:ilvl="1">
      <w:start w:val="0"/>
      <w:numFmt w:val="bullet"/>
      <w:lvlText w:val="•"/>
      <w:lvlJc w:val="left"/>
      <w:pPr>
        <w:ind w:left="2388" w:hanging="360"/>
      </w:pPr>
      <w:rPr>
        <w:rFonts w:hint="default"/>
        <w:lang w:val="en-au" w:eastAsia="en-au" w:bidi="en-au"/>
      </w:rPr>
    </w:lvl>
    <w:lvl w:ilvl="2">
      <w:start w:val="0"/>
      <w:numFmt w:val="bullet"/>
      <w:lvlText w:val="•"/>
      <w:lvlJc w:val="left"/>
      <w:pPr>
        <w:ind w:left="3297" w:hanging="360"/>
      </w:pPr>
      <w:rPr>
        <w:rFonts w:hint="default"/>
        <w:lang w:val="en-au" w:eastAsia="en-au" w:bidi="en-au"/>
      </w:rPr>
    </w:lvl>
    <w:lvl w:ilvl="3">
      <w:start w:val="0"/>
      <w:numFmt w:val="bullet"/>
      <w:lvlText w:val="•"/>
      <w:lvlJc w:val="left"/>
      <w:pPr>
        <w:ind w:left="4205" w:hanging="360"/>
      </w:pPr>
      <w:rPr>
        <w:rFonts w:hint="default"/>
        <w:lang w:val="en-au" w:eastAsia="en-au" w:bidi="en-au"/>
      </w:rPr>
    </w:lvl>
    <w:lvl w:ilvl="4">
      <w:start w:val="0"/>
      <w:numFmt w:val="bullet"/>
      <w:lvlText w:val="•"/>
      <w:lvlJc w:val="left"/>
      <w:pPr>
        <w:ind w:left="5114" w:hanging="360"/>
      </w:pPr>
      <w:rPr>
        <w:rFonts w:hint="default"/>
        <w:lang w:val="en-au" w:eastAsia="en-au" w:bidi="en-au"/>
      </w:rPr>
    </w:lvl>
    <w:lvl w:ilvl="5">
      <w:start w:val="0"/>
      <w:numFmt w:val="bullet"/>
      <w:lvlText w:val="•"/>
      <w:lvlJc w:val="left"/>
      <w:pPr>
        <w:ind w:left="6023" w:hanging="360"/>
      </w:pPr>
      <w:rPr>
        <w:rFonts w:hint="default"/>
        <w:lang w:val="en-au" w:eastAsia="en-au" w:bidi="en-au"/>
      </w:rPr>
    </w:lvl>
    <w:lvl w:ilvl="6">
      <w:start w:val="0"/>
      <w:numFmt w:val="bullet"/>
      <w:lvlText w:val="•"/>
      <w:lvlJc w:val="left"/>
      <w:pPr>
        <w:ind w:left="6931" w:hanging="360"/>
      </w:pPr>
      <w:rPr>
        <w:rFonts w:hint="default"/>
        <w:lang w:val="en-au" w:eastAsia="en-au" w:bidi="en-au"/>
      </w:rPr>
    </w:lvl>
    <w:lvl w:ilvl="7">
      <w:start w:val="0"/>
      <w:numFmt w:val="bullet"/>
      <w:lvlText w:val="•"/>
      <w:lvlJc w:val="left"/>
      <w:pPr>
        <w:ind w:left="7840" w:hanging="360"/>
      </w:pPr>
      <w:rPr>
        <w:rFonts w:hint="default"/>
        <w:lang w:val="en-au" w:eastAsia="en-au" w:bidi="en-au"/>
      </w:rPr>
    </w:lvl>
    <w:lvl w:ilvl="8">
      <w:start w:val="0"/>
      <w:numFmt w:val="bullet"/>
      <w:lvlText w:val="•"/>
      <w:lvlJc w:val="left"/>
      <w:pPr>
        <w:ind w:left="8749" w:hanging="360"/>
      </w:pPr>
      <w:rPr>
        <w:rFonts w:hint="default"/>
        <w:lang w:val="en-au" w:eastAsia="en-au" w:bidi="en-au"/>
      </w:rPr>
    </w:lvl>
  </w:abstractNum>
  <w:abstractNum w:abstractNumId="3">
    <w:multiLevelType w:val="hybridMultilevel"/>
    <w:lvl w:ilvl="0">
      <w:start w:val="0"/>
      <w:numFmt w:val="bullet"/>
      <w:lvlText w:val=""/>
      <w:lvlJc w:val="left"/>
      <w:pPr>
        <w:ind w:left="1480" w:hanging="360"/>
      </w:pPr>
      <w:rPr>
        <w:rFonts w:hint="default" w:ascii="Symbol" w:hAnsi="Symbol" w:eastAsia="Symbol" w:cs="Symbol"/>
        <w:w w:val="100"/>
        <w:sz w:val="22"/>
        <w:szCs w:val="22"/>
        <w:lang w:val="en-au" w:eastAsia="en-au" w:bidi="en-au"/>
      </w:rPr>
    </w:lvl>
    <w:lvl w:ilvl="1">
      <w:start w:val="0"/>
      <w:numFmt w:val="bullet"/>
      <w:lvlText w:val="•"/>
      <w:lvlJc w:val="left"/>
      <w:pPr>
        <w:ind w:left="2388" w:hanging="360"/>
      </w:pPr>
      <w:rPr>
        <w:rFonts w:hint="default"/>
        <w:lang w:val="en-au" w:eastAsia="en-au" w:bidi="en-au"/>
      </w:rPr>
    </w:lvl>
    <w:lvl w:ilvl="2">
      <w:start w:val="0"/>
      <w:numFmt w:val="bullet"/>
      <w:lvlText w:val="•"/>
      <w:lvlJc w:val="left"/>
      <w:pPr>
        <w:ind w:left="3297" w:hanging="360"/>
      </w:pPr>
      <w:rPr>
        <w:rFonts w:hint="default"/>
        <w:lang w:val="en-au" w:eastAsia="en-au" w:bidi="en-au"/>
      </w:rPr>
    </w:lvl>
    <w:lvl w:ilvl="3">
      <w:start w:val="0"/>
      <w:numFmt w:val="bullet"/>
      <w:lvlText w:val="•"/>
      <w:lvlJc w:val="left"/>
      <w:pPr>
        <w:ind w:left="4205" w:hanging="360"/>
      </w:pPr>
      <w:rPr>
        <w:rFonts w:hint="default"/>
        <w:lang w:val="en-au" w:eastAsia="en-au" w:bidi="en-au"/>
      </w:rPr>
    </w:lvl>
    <w:lvl w:ilvl="4">
      <w:start w:val="0"/>
      <w:numFmt w:val="bullet"/>
      <w:lvlText w:val="•"/>
      <w:lvlJc w:val="left"/>
      <w:pPr>
        <w:ind w:left="5114" w:hanging="360"/>
      </w:pPr>
      <w:rPr>
        <w:rFonts w:hint="default"/>
        <w:lang w:val="en-au" w:eastAsia="en-au" w:bidi="en-au"/>
      </w:rPr>
    </w:lvl>
    <w:lvl w:ilvl="5">
      <w:start w:val="0"/>
      <w:numFmt w:val="bullet"/>
      <w:lvlText w:val="•"/>
      <w:lvlJc w:val="left"/>
      <w:pPr>
        <w:ind w:left="6023" w:hanging="360"/>
      </w:pPr>
      <w:rPr>
        <w:rFonts w:hint="default"/>
        <w:lang w:val="en-au" w:eastAsia="en-au" w:bidi="en-au"/>
      </w:rPr>
    </w:lvl>
    <w:lvl w:ilvl="6">
      <w:start w:val="0"/>
      <w:numFmt w:val="bullet"/>
      <w:lvlText w:val="•"/>
      <w:lvlJc w:val="left"/>
      <w:pPr>
        <w:ind w:left="6931" w:hanging="360"/>
      </w:pPr>
      <w:rPr>
        <w:rFonts w:hint="default"/>
        <w:lang w:val="en-au" w:eastAsia="en-au" w:bidi="en-au"/>
      </w:rPr>
    </w:lvl>
    <w:lvl w:ilvl="7">
      <w:start w:val="0"/>
      <w:numFmt w:val="bullet"/>
      <w:lvlText w:val="•"/>
      <w:lvlJc w:val="left"/>
      <w:pPr>
        <w:ind w:left="7840" w:hanging="360"/>
      </w:pPr>
      <w:rPr>
        <w:rFonts w:hint="default"/>
        <w:lang w:val="en-au" w:eastAsia="en-au" w:bidi="en-au"/>
      </w:rPr>
    </w:lvl>
    <w:lvl w:ilvl="8">
      <w:start w:val="0"/>
      <w:numFmt w:val="bullet"/>
      <w:lvlText w:val="•"/>
      <w:lvlJc w:val="left"/>
      <w:pPr>
        <w:ind w:left="8749" w:hanging="360"/>
      </w:pPr>
      <w:rPr>
        <w:rFonts w:hint="default"/>
        <w:lang w:val="en-au" w:eastAsia="en-au" w:bidi="en-au"/>
      </w:rPr>
    </w:lvl>
  </w:abstractNum>
  <w:abstractNum w:abstractNumId="2">
    <w:multiLevelType w:val="hybridMultilevel"/>
    <w:lvl w:ilvl="0">
      <w:start w:val="0"/>
      <w:numFmt w:val="bullet"/>
      <w:lvlText w:val=""/>
      <w:lvlJc w:val="left"/>
      <w:pPr>
        <w:ind w:left="1480" w:hanging="360"/>
      </w:pPr>
      <w:rPr>
        <w:rFonts w:hint="default" w:ascii="Wingdings" w:hAnsi="Wingdings" w:eastAsia="Wingdings" w:cs="Wingdings"/>
        <w:w w:val="100"/>
        <w:sz w:val="22"/>
        <w:szCs w:val="22"/>
        <w:lang w:val="en-au" w:eastAsia="en-au" w:bidi="en-au"/>
      </w:rPr>
    </w:lvl>
    <w:lvl w:ilvl="1">
      <w:start w:val="0"/>
      <w:numFmt w:val="bullet"/>
      <w:lvlText w:val="•"/>
      <w:lvlJc w:val="left"/>
      <w:pPr>
        <w:ind w:left="2388" w:hanging="360"/>
      </w:pPr>
      <w:rPr>
        <w:rFonts w:hint="default"/>
        <w:lang w:val="en-au" w:eastAsia="en-au" w:bidi="en-au"/>
      </w:rPr>
    </w:lvl>
    <w:lvl w:ilvl="2">
      <w:start w:val="0"/>
      <w:numFmt w:val="bullet"/>
      <w:lvlText w:val="•"/>
      <w:lvlJc w:val="left"/>
      <w:pPr>
        <w:ind w:left="3297" w:hanging="360"/>
      </w:pPr>
      <w:rPr>
        <w:rFonts w:hint="default"/>
        <w:lang w:val="en-au" w:eastAsia="en-au" w:bidi="en-au"/>
      </w:rPr>
    </w:lvl>
    <w:lvl w:ilvl="3">
      <w:start w:val="0"/>
      <w:numFmt w:val="bullet"/>
      <w:lvlText w:val="•"/>
      <w:lvlJc w:val="left"/>
      <w:pPr>
        <w:ind w:left="4205" w:hanging="360"/>
      </w:pPr>
      <w:rPr>
        <w:rFonts w:hint="default"/>
        <w:lang w:val="en-au" w:eastAsia="en-au" w:bidi="en-au"/>
      </w:rPr>
    </w:lvl>
    <w:lvl w:ilvl="4">
      <w:start w:val="0"/>
      <w:numFmt w:val="bullet"/>
      <w:lvlText w:val="•"/>
      <w:lvlJc w:val="left"/>
      <w:pPr>
        <w:ind w:left="5114" w:hanging="360"/>
      </w:pPr>
      <w:rPr>
        <w:rFonts w:hint="default"/>
        <w:lang w:val="en-au" w:eastAsia="en-au" w:bidi="en-au"/>
      </w:rPr>
    </w:lvl>
    <w:lvl w:ilvl="5">
      <w:start w:val="0"/>
      <w:numFmt w:val="bullet"/>
      <w:lvlText w:val="•"/>
      <w:lvlJc w:val="left"/>
      <w:pPr>
        <w:ind w:left="6023" w:hanging="360"/>
      </w:pPr>
      <w:rPr>
        <w:rFonts w:hint="default"/>
        <w:lang w:val="en-au" w:eastAsia="en-au" w:bidi="en-au"/>
      </w:rPr>
    </w:lvl>
    <w:lvl w:ilvl="6">
      <w:start w:val="0"/>
      <w:numFmt w:val="bullet"/>
      <w:lvlText w:val="•"/>
      <w:lvlJc w:val="left"/>
      <w:pPr>
        <w:ind w:left="6931" w:hanging="360"/>
      </w:pPr>
      <w:rPr>
        <w:rFonts w:hint="default"/>
        <w:lang w:val="en-au" w:eastAsia="en-au" w:bidi="en-au"/>
      </w:rPr>
    </w:lvl>
    <w:lvl w:ilvl="7">
      <w:start w:val="0"/>
      <w:numFmt w:val="bullet"/>
      <w:lvlText w:val="•"/>
      <w:lvlJc w:val="left"/>
      <w:pPr>
        <w:ind w:left="7840" w:hanging="360"/>
      </w:pPr>
      <w:rPr>
        <w:rFonts w:hint="default"/>
        <w:lang w:val="en-au" w:eastAsia="en-au" w:bidi="en-au"/>
      </w:rPr>
    </w:lvl>
    <w:lvl w:ilvl="8">
      <w:start w:val="0"/>
      <w:numFmt w:val="bullet"/>
      <w:lvlText w:val="•"/>
      <w:lvlJc w:val="left"/>
      <w:pPr>
        <w:ind w:left="8749" w:hanging="360"/>
      </w:pPr>
      <w:rPr>
        <w:rFonts w:hint="default"/>
        <w:lang w:val="en-au" w:eastAsia="en-au" w:bidi="en-au"/>
      </w:rPr>
    </w:lvl>
  </w:abstractNum>
  <w:abstractNum w:abstractNumId="1">
    <w:multiLevelType w:val="hybridMultilevel"/>
    <w:lvl w:ilvl="0">
      <w:start w:val="0"/>
      <w:numFmt w:val="bullet"/>
      <w:lvlText w:val=""/>
      <w:lvlJc w:val="left"/>
      <w:pPr>
        <w:ind w:left="1480" w:hanging="360"/>
      </w:pPr>
      <w:rPr>
        <w:rFonts w:hint="default" w:ascii="Symbol" w:hAnsi="Symbol" w:eastAsia="Symbol" w:cs="Symbol"/>
        <w:w w:val="100"/>
        <w:sz w:val="22"/>
        <w:szCs w:val="22"/>
        <w:lang w:val="en-au" w:eastAsia="en-au" w:bidi="en-au"/>
      </w:rPr>
    </w:lvl>
    <w:lvl w:ilvl="1">
      <w:start w:val="0"/>
      <w:numFmt w:val="bullet"/>
      <w:lvlText w:val="o"/>
      <w:lvlJc w:val="left"/>
      <w:pPr>
        <w:ind w:left="2279" w:hanging="526"/>
      </w:pPr>
      <w:rPr>
        <w:rFonts w:hint="default" w:ascii="Courier New" w:hAnsi="Courier New" w:eastAsia="Courier New" w:cs="Courier New"/>
        <w:w w:val="100"/>
        <w:sz w:val="22"/>
        <w:szCs w:val="22"/>
        <w:lang w:val="en-au" w:eastAsia="en-au" w:bidi="en-au"/>
      </w:rPr>
    </w:lvl>
    <w:lvl w:ilvl="2">
      <w:start w:val="0"/>
      <w:numFmt w:val="bullet"/>
      <w:lvlText w:val="•"/>
      <w:lvlJc w:val="left"/>
      <w:pPr>
        <w:ind w:left="3200" w:hanging="526"/>
      </w:pPr>
      <w:rPr>
        <w:rFonts w:hint="default"/>
        <w:lang w:val="en-au" w:eastAsia="en-au" w:bidi="en-au"/>
      </w:rPr>
    </w:lvl>
    <w:lvl w:ilvl="3">
      <w:start w:val="0"/>
      <w:numFmt w:val="bullet"/>
      <w:lvlText w:val="•"/>
      <w:lvlJc w:val="left"/>
      <w:pPr>
        <w:ind w:left="4121" w:hanging="526"/>
      </w:pPr>
      <w:rPr>
        <w:rFonts w:hint="default"/>
        <w:lang w:val="en-au" w:eastAsia="en-au" w:bidi="en-au"/>
      </w:rPr>
    </w:lvl>
    <w:lvl w:ilvl="4">
      <w:start w:val="0"/>
      <w:numFmt w:val="bullet"/>
      <w:lvlText w:val="•"/>
      <w:lvlJc w:val="left"/>
      <w:pPr>
        <w:ind w:left="5042" w:hanging="526"/>
      </w:pPr>
      <w:rPr>
        <w:rFonts w:hint="default"/>
        <w:lang w:val="en-au" w:eastAsia="en-au" w:bidi="en-au"/>
      </w:rPr>
    </w:lvl>
    <w:lvl w:ilvl="5">
      <w:start w:val="0"/>
      <w:numFmt w:val="bullet"/>
      <w:lvlText w:val="•"/>
      <w:lvlJc w:val="left"/>
      <w:pPr>
        <w:ind w:left="5962" w:hanging="526"/>
      </w:pPr>
      <w:rPr>
        <w:rFonts w:hint="default"/>
        <w:lang w:val="en-au" w:eastAsia="en-au" w:bidi="en-au"/>
      </w:rPr>
    </w:lvl>
    <w:lvl w:ilvl="6">
      <w:start w:val="0"/>
      <w:numFmt w:val="bullet"/>
      <w:lvlText w:val="•"/>
      <w:lvlJc w:val="left"/>
      <w:pPr>
        <w:ind w:left="6883" w:hanging="526"/>
      </w:pPr>
      <w:rPr>
        <w:rFonts w:hint="default"/>
        <w:lang w:val="en-au" w:eastAsia="en-au" w:bidi="en-au"/>
      </w:rPr>
    </w:lvl>
    <w:lvl w:ilvl="7">
      <w:start w:val="0"/>
      <w:numFmt w:val="bullet"/>
      <w:lvlText w:val="•"/>
      <w:lvlJc w:val="left"/>
      <w:pPr>
        <w:ind w:left="7804" w:hanging="526"/>
      </w:pPr>
      <w:rPr>
        <w:rFonts w:hint="default"/>
        <w:lang w:val="en-au" w:eastAsia="en-au" w:bidi="en-au"/>
      </w:rPr>
    </w:lvl>
    <w:lvl w:ilvl="8">
      <w:start w:val="0"/>
      <w:numFmt w:val="bullet"/>
      <w:lvlText w:val="•"/>
      <w:lvlJc w:val="left"/>
      <w:pPr>
        <w:ind w:left="8724" w:hanging="526"/>
      </w:pPr>
      <w:rPr>
        <w:rFonts w:hint="default"/>
        <w:lang w:val="en-au" w:eastAsia="en-au" w:bidi="en-au"/>
      </w:rPr>
    </w:lvl>
  </w:abstractNum>
  <w:abstractNum w:abstractNumId="0">
    <w:multiLevelType w:val="hybridMultilevel"/>
    <w:lvl w:ilvl="0">
      <w:start w:val="0"/>
      <w:numFmt w:val="bullet"/>
      <w:lvlText w:val=""/>
      <w:lvlJc w:val="left"/>
      <w:pPr>
        <w:ind w:left="1468" w:hanging="437"/>
      </w:pPr>
      <w:rPr>
        <w:rFonts w:hint="default" w:ascii="Wingdings" w:hAnsi="Wingdings" w:eastAsia="Wingdings" w:cs="Wingdings"/>
        <w:w w:val="100"/>
        <w:sz w:val="22"/>
        <w:szCs w:val="22"/>
        <w:lang w:val="en-au" w:eastAsia="en-au" w:bidi="en-au"/>
      </w:rPr>
    </w:lvl>
    <w:lvl w:ilvl="1">
      <w:start w:val="0"/>
      <w:numFmt w:val="bullet"/>
      <w:lvlText w:val="•"/>
      <w:lvlJc w:val="left"/>
      <w:pPr>
        <w:ind w:left="3320" w:hanging="437"/>
      </w:pPr>
      <w:rPr>
        <w:rFonts w:hint="default"/>
        <w:lang w:val="en-au" w:eastAsia="en-au" w:bidi="en-au"/>
      </w:rPr>
    </w:lvl>
    <w:lvl w:ilvl="2">
      <w:start w:val="0"/>
      <w:numFmt w:val="bullet"/>
      <w:lvlText w:val="•"/>
      <w:lvlJc w:val="left"/>
      <w:pPr>
        <w:ind w:left="4125" w:hanging="437"/>
      </w:pPr>
      <w:rPr>
        <w:rFonts w:hint="default"/>
        <w:lang w:val="en-au" w:eastAsia="en-au" w:bidi="en-au"/>
      </w:rPr>
    </w:lvl>
    <w:lvl w:ilvl="3">
      <w:start w:val="0"/>
      <w:numFmt w:val="bullet"/>
      <w:lvlText w:val="•"/>
      <w:lvlJc w:val="left"/>
      <w:pPr>
        <w:ind w:left="4930" w:hanging="437"/>
      </w:pPr>
      <w:rPr>
        <w:rFonts w:hint="default"/>
        <w:lang w:val="en-au" w:eastAsia="en-au" w:bidi="en-au"/>
      </w:rPr>
    </w:lvl>
    <w:lvl w:ilvl="4">
      <w:start w:val="0"/>
      <w:numFmt w:val="bullet"/>
      <w:lvlText w:val="•"/>
      <w:lvlJc w:val="left"/>
      <w:pPr>
        <w:ind w:left="5735" w:hanging="437"/>
      </w:pPr>
      <w:rPr>
        <w:rFonts w:hint="default"/>
        <w:lang w:val="en-au" w:eastAsia="en-au" w:bidi="en-au"/>
      </w:rPr>
    </w:lvl>
    <w:lvl w:ilvl="5">
      <w:start w:val="0"/>
      <w:numFmt w:val="bullet"/>
      <w:lvlText w:val="•"/>
      <w:lvlJc w:val="left"/>
      <w:pPr>
        <w:ind w:left="6540" w:hanging="437"/>
      </w:pPr>
      <w:rPr>
        <w:rFonts w:hint="default"/>
        <w:lang w:val="en-au" w:eastAsia="en-au" w:bidi="en-au"/>
      </w:rPr>
    </w:lvl>
    <w:lvl w:ilvl="6">
      <w:start w:val="0"/>
      <w:numFmt w:val="bullet"/>
      <w:lvlText w:val="•"/>
      <w:lvlJc w:val="left"/>
      <w:pPr>
        <w:ind w:left="7345" w:hanging="437"/>
      </w:pPr>
      <w:rPr>
        <w:rFonts w:hint="default"/>
        <w:lang w:val="en-au" w:eastAsia="en-au" w:bidi="en-au"/>
      </w:rPr>
    </w:lvl>
    <w:lvl w:ilvl="7">
      <w:start w:val="0"/>
      <w:numFmt w:val="bullet"/>
      <w:lvlText w:val="•"/>
      <w:lvlJc w:val="left"/>
      <w:pPr>
        <w:ind w:left="8150" w:hanging="437"/>
      </w:pPr>
      <w:rPr>
        <w:rFonts w:hint="default"/>
        <w:lang w:val="en-au" w:eastAsia="en-au" w:bidi="en-au"/>
      </w:rPr>
    </w:lvl>
    <w:lvl w:ilvl="8">
      <w:start w:val="0"/>
      <w:numFmt w:val="bullet"/>
      <w:lvlText w:val="•"/>
      <w:lvlJc w:val="left"/>
      <w:pPr>
        <w:ind w:left="8956" w:hanging="437"/>
      </w:pPr>
      <w:rPr>
        <w:rFonts w:hint="default"/>
        <w:lang w:val="en-au" w:eastAsia="en-au" w:bidi="en-au"/>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ind w:left="1480"/>
    </w:pPr>
    <w:rPr>
      <w:rFonts w:ascii="Calibri" w:hAnsi="Calibri" w:eastAsia="Calibri" w:cs="Calibri"/>
      <w:sz w:val="22"/>
      <w:szCs w:val="22"/>
      <w:lang w:val="en-au" w:eastAsia="en-au" w:bidi="en-au"/>
    </w:rPr>
  </w:style>
  <w:style w:styleId="Heading1" w:type="paragraph">
    <w:name w:val="Heading 1"/>
    <w:basedOn w:val="Normal"/>
    <w:uiPriority w:val="1"/>
    <w:qFormat/>
    <w:pPr>
      <w:ind w:left="760"/>
      <w:outlineLvl w:val="1"/>
    </w:pPr>
    <w:rPr>
      <w:rFonts w:ascii="Arial" w:hAnsi="Arial" w:eastAsia="Arial" w:cs="Arial"/>
      <w:sz w:val="28"/>
      <w:szCs w:val="28"/>
      <w:lang w:val="en-au" w:eastAsia="en-au" w:bidi="en-au"/>
    </w:rPr>
  </w:style>
  <w:style w:styleId="Heading2" w:type="paragraph">
    <w:name w:val="Heading 2"/>
    <w:basedOn w:val="Normal"/>
    <w:uiPriority w:val="1"/>
    <w:qFormat/>
    <w:pPr>
      <w:ind w:left="760" w:hanging="1133"/>
      <w:outlineLvl w:val="2"/>
    </w:pPr>
    <w:rPr>
      <w:rFonts w:ascii="Arial" w:hAnsi="Arial" w:eastAsia="Arial" w:cs="Arial"/>
      <w:b/>
      <w:bCs/>
      <w:sz w:val="24"/>
      <w:szCs w:val="24"/>
      <w:lang w:val="en-au" w:eastAsia="en-au" w:bidi="en-au"/>
    </w:rPr>
  </w:style>
  <w:style w:styleId="Heading3" w:type="paragraph">
    <w:name w:val="Heading 3"/>
    <w:basedOn w:val="Normal"/>
    <w:uiPriority w:val="1"/>
    <w:qFormat/>
    <w:pPr>
      <w:ind w:left="760"/>
      <w:outlineLvl w:val="3"/>
    </w:pPr>
    <w:rPr>
      <w:rFonts w:ascii="Arial" w:hAnsi="Arial" w:eastAsia="Arial" w:cs="Arial"/>
      <w:sz w:val="24"/>
      <w:szCs w:val="24"/>
      <w:lang w:val="en-au" w:eastAsia="en-au" w:bidi="en-au"/>
    </w:rPr>
  </w:style>
  <w:style w:styleId="Heading4" w:type="paragraph">
    <w:name w:val="Heading 4"/>
    <w:basedOn w:val="Normal"/>
    <w:uiPriority w:val="1"/>
    <w:qFormat/>
    <w:pPr>
      <w:spacing w:before="1"/>
      <w:ind w:left="760"/>
      <w:outlineLvl w:val="4"/>
    </w:pPr>
    <w:rPr>
      <w:rFonts w:ascii="Calibri" w:hAnsi="Calibri" w:eastAsia="Calibri" w:cs="Calibri"/>
      <w:b/>
      <w:bCs/>
      <w:sz w:val="22"/>
      <w:szCs w:val="22"/>
      <w:lang w:val="en-au" w:eastAsia="en-au" w:bidi="en-au"/>
    </w:rPr>
  </w:style>
  <w:style w:styleId="ListParagraph" w:type="paragraph">
    <w:name w:val="List Paragraph"/>
    <w:basedOn w:val="Normal"/>
    <w:uiPriority w:val="1"/>
    <w:qFormat/>
    <w:pPr>
      <w:ind w:left="1480" w:hanging="360"/>
    </w:pPr>
    <w:rPr>
      <w:rFonts w:ascii="Calibri" w:hAnsi="Calibri" w:eastAsia="Calibri" w:cs="Calibri"/>
      <w:lang w:val="en-au" w:eastAsia="en-au" w:bidi="en-au"/>
    </w:rPr>
  </w:style>
  <w:style w:styleId="TableParagraph" w:type="paragraph">
    <w:name w:val="Table Paragraph"/>
    <w:basedOn w:val="Normal"/>
    <w:uiPriority w:val="1"/>
    <w:qFormat/>
    <w:pPr>
      <w:spacing w:before="56"/>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2021-02-03T03:24:52Z</dcterms:created>
  <dcterms:modified xsi:type="dcterms:W3CDTF">2021-02-03T03:24:52Z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for Microsoft 365</vt:lpwstr>
  </property>
  <property fmtid="{D5CDD505-2E9C-101B-9397-08002B2CF9AE}" pid="4" name="LastSaved">
    <vt:filetime>2021-02-03T00:00:00Z</vt:filetime>
  </property>
</Properties>
</file>