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FFECEF9" w:rsidR="00FE1945" w:rsidRPr="00563A3D" w:rsidRDefault="00D353EF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Arawang Primary School</w:t>
          </w:r>
        </w:p>
      </w:sdtContent>
    </w:sdt>
    <w:p w14:paraId="63330FCF" w14:textId="48387464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353EF">
            <w:t>South Canberra/ Weston</w:t>
          </w:r>
        </w:sdtContent>
      </w:sdt>
    </w:p>
    <w:p w14:paraId="38F253B0" w14:textId="07D78106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353EF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60B73026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DA46CF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  <w:r w:rsidR="006725EF">
        <w:t xml:space="preserve"> </w:t>
      </w:r>
      <w:r w:rsidR="00F74884">
        <w:t>Please note that</w:t>
      </w:r>
    </w:p>
    <w:p w14:paraId="5946BD4F" w14:textId="77777777" w:rsidR="00CE5293" w:rsidRDefault="00CE5293" w:rsidP="001B2E33">
      <w:pPr>
        <w:pStyle w:val="Heading1"/>
      </w:pPr>
    </w:p>
    <w:p w14:paraId="653DD0FA" w14:textId="46161C41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576BFC3D" w:rsidR="00300F72" w:rsidRPr="00CE5293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766B4554" w:rsidR="00846E51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DA46C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010252">
        <w:t>1</w:t>
      </w:r>
      <w:r w:rsidR="00930C91">
        <w:t xml:space="preserve"> and 2</w:t>
      </w:r>
      <w:r w:rsidRPr="00132917">
        <w:t xml:space="preserve"> (see reporting for detail):</w:t>
      </w:r>
    </w:p>
    <w:p w14:paraId="5A96EAC1" w14:textId="20B9C186" w:rsidR="004E67DE" w:rsidRDefault="00930C91" w:rsidP="00CE7597">
      <w:pPr>
        <w:pStyle w:val="ListBullet"/>
      </w:pPr>
      <w:r>
        <w:t>Further develop</w:t>
      </w:r>
      <w:r w:rsidR="00F4123D">
        <w:t>ed</w:t>
      </w:r>
      <w:r>
        <w:t xml:space="preserve"> teacher capacity to identify and plan for individual student learning needs in writing and mathematics. </w:t>
      </w:r>
    </w:p>
    <w:p w14:paraId="5D64F474" w14:textId="1964DF4D" w:rsidR="00930C91" w:rsidRDefault="00930C91" w:rsidP="00CE7597">
      <w:pPr>
        <w:pStyle w:val="ListBullet"/>
      </w:pPr>
      <w:r>
        <w:t>Continue</w:t>
      </w:r>
      <w:r w:rsidR="00F4123D">
        <w:t>d</w:t>
      </w:r>
      <w:r>
        <w:t xml:space="preserve"> implementing </w:t>
      </w:r>
      <w:proofErr w:type="spellStart"/>
      <w:r>
        <w:t>MiniLit</w:t>
      </w:r>
      <w:proofErr w:type="spellEnd"/>
      <w:r>
        <w:t xml:space="preserve"> to support students who require literacy intervention. 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71AEBBEA" w:rsidR="00300F72" w:rsidRPr="00CE5293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7D068196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010252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D0EEA">
        <w:t xml:space="preserve">1 and </w:t>
      </w:r>
      <w:r w:rsidR="00010252">
        <w:t>2</w:t>
      </w:r>
      <w:r w:rsidRPr="00132917">
        <w:t xml:space="preserve"> (see reporting for detail):</w:t>
      </w:r>
    </w:p>
    <w:p w14:paraId="3219AB53" w14:textId="59A76138" w:rsidR="00300F72" w:rsidRDefault="004E67DE" w:rsidP="00300F72">
      <w:pPr>
        <w:pStyle w:val="ListBullet"/>
      </w:pPr>
      <w:r>
        <w:t>Implement</w:t>
      </w:r>
      <w:r w:rsidR="00F4123D">
        <w:t>ed</w:t>
      </w:r>
      <w:r>
        <w:t xml:space="preserve"> consistent lesson structure in mathematics emphasizing opportunities for students to talk about their maths thinking.</w:t>
      </w:r>
    </w:p>
    <w:p w14:paraId="7EBF384F" w14:textId="37B0582C" w:rsidR="004E67DE" w:rsidRDefault="004E67DE" w:rsidP="00300F72">
      <w:pPr>
        <w:pStyle w:val="ListBullet"/>
      </w:pPr>
      <w:r>
        <w:t>Buil</w:t>
      </w:r>
      <w:r w:rsidR="00F4123D">
        <w:t>t</w:t>
      </w:r>
      <w:r>
        <w:t xml:space="preserve"> staff capacity using formative assessment to identify student need</w:t>
      </w:r>
      <w:r w:rsidR="00902FFB">
        <w:t>.</w:t>
      </w:r>
    </w:p>
    <w:p w14:paraId="42B6268A" w14:textId="0333616F" w:rsidR="002D0EEA" w:rsidRPr="00300F72" w:rsidRDefault="002D0EEA" w:rsidP="00300F72">
      <w:pPr>
        <w:pStyle w:val="ListBullet"/>
      </w:pPr>
      <w:r>
        <w:t>Participate</w:t>
      </w:r>
      <w:r w:rsidR="00F4123D">
        <w:t>d</w:t>
      </w:r>
      <w:r>
        <w:t xml:space="preserve"> in Learning Walks with the Education Directorates Instructional Mentors. 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09D9556C" w:rsidR="00300F72" w:rsidRPr="00CE5293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6F2910D4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4E67DE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4E67DE">
        <w:t>1 and 2</w:t>
      </w:r>
      <w:r w:rsidRPr="00132917">
        <w:t xml:space="preserve"> (see reporting for detail):</w:t>
      </w:r>
    </w:p>
    <w:p w14:paraId="560116F6" w14:textId="77777777" w:rsidR="002D0EEA" w:rsidRDefault="004E67DE" w:rsidP="00902FFB">
      <w:pPr>
        <w:pStyle w:val="ListBullet"/>
      </w:pPr>
      <w:r>
        <w:t>Used the Helen Timperley Spiral of Inquiry to identify student need, plan interventions and review outcomes.</w:t>
      </w:r>
    </w:p>
    <w:p w14:paraId="58D89BE3" w14:textId="4B59777B" w:rsidR="002D0EEA" w:rsidRDefault="002D0EEA" w:rsidP="002D0EEA">
      <w:pPr>
        <w:pStyle w:val="ListBullet"/>
      </w:pPr>
      <w:r>
        <w:t>Continue</w:t>
      </w:r>
      <w:r w:rsidR="00C97BE1">
        <w:t>d</w:t>
      </w:r>
      <w:r>
        <w:t xml:space="preserve"> to implement Positive Behaviour for Learning, focusing on classroom settings. </w:t>
      </w:r>
    </w:p>
    <w:p w14:paraId="59777CE8" w14:textId="17649315" w:rsidR="00300F72" w:rsidRPr="001B26EA" w:rsidRDefault="002D0EEA" w:rsidP="002D0EEA">
      <w:pPr>
        <w:pStyle w:val="ListBullet"/>
      </w:pPr>
      <w:r>
        <w:t>Focus</w:t>
      </w:r>
      <w:r w:rsidR="00C97BE1">
        <w:t>ed</w:t>
      </w:r>
      <w:r>
        <w:t xml:space="preserve"> on student wellbeing through Circle Time </w:t>
      </w:r>
      <w:r w:rsidR="009646B8">
        <w:t>and Mindfulness</w:t>
      </w:r>
      <w:r w:rsidR="00300F72"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51D71B78" w:rsidR="00837137" w:rsidRPr="00CA2D6E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rFonts w:asciiTheme="minorHAnsi" w:hAnsiTheme="minorHAnsi" w:cstheme="minorBidi"/>
          <w:color w:val="auto"/>
          <w:sz w:val="22"/>
        </w:rPr>
      </w:pPr>
      <w:r w:rsidRPr="000F0410">
        <w:t>Priority 1:</w:t>
      </w:r>
      <w:r w:rsidRPr="000F0410">
        <w:rPr>
          <w:color w:val="auto"/>
        </w:rPr>
        <w:tab/>
      </w:r>
      <w:r w:rsidR="00CA2D6E" w:rsidRPr="00CA2D6E">
        <w:rPr>
          <w:rFonts w:asciiTheme="minorHAnsi" w:hAnsiTheme="minorHAnsi" w:cstheme="minorBidi"/>
          <w:color w:val="auto"/>
          <w:sz w:val="22"/>
        </w:rPr>
        <w:t>Increase growth in student performance in writing across all year levels.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76E6F644" w:rsidR="000031B5" w:rsidRDefault="00481BD2" w:rsidP="0058339C">
      <w:pPr>
        <w:pStyle w:val="BodyText"/>
      </w:pPr>
      <w:r>
        <w:t xml:space="preserve">By the end of </w:t>
      </w:r>
      <w:r w:rsidR="00D4537E">
        <w:t>20</w:t>
      </w:r>
      <w:r w:rsidR="00CC2E0C">
        <w:t>24</w:t>
      </w:r>
      <w:r w:rsidR="000031B5">
        <w:t xml:space="preserve"> we will achieve:</w:t>
      </w:r>
    </w:p>
    <w:p w14:paraId="7275A7F0" w14:textId="26B8A8E9" w:rsidR="00CC2E0C" w:rsidRDefault="00CC2E0C" w:rsidP="00CC2E0C">
      <w:pPr>
        <w:pStyle w:val="ListBullet"/>
      </w:pPr>
      <w:r>
        <w:t>An increase in the percentage of year 5 students in the top two bands of writing to 19% or more.</w:t>
      </w:r>
    </w:p>
    <w:p w14:paraId="12BD76A1" w14:textId="2C28EFD9" w:rsidR="00997CD0" w:rsidRPr="00837137" w:rsidRDefault="00CC2E0C" w:rsidP="00CC2E0C">
      <w:pPr>
        <w:pStyle w:val="ListBullet"/>
      </w:pPr>
      <w:r>
        <w:t xml:space="preserve">A decrease in the percentage of year 5 students in the bottom two bands of writing to 13% or less. </w:t>
      </w:r>
    </w:p>
    <w:p w14:paraId="097CC839" w14:textId="4C02149C" w:rsidR="00997CD0" w:rsidRDefault="00CC2E0C" w:rsidP="00837137">
      <w:pPr>
        <w:pStyle w:val="ListBullet"/>
      </w:pPr>
      <w:r>
        <w:t>An</w:t>
      </w:r>
      <w:r w:rsidRPr="0069166A">
        <w:t xml:space="preserve"> improve</w:t>
      </w:r>
      <w:r>
        <w:t>ment in</w:t>
      </w:r>
      <w:r w:rsidRPr="0069166A">
        <w:t xml:space="preserve"> the percentage of students who strongly agree and agree that ‘teachers give useful feedback’ to 8</w:t>
      </w:r>
      <w:r>
        <w:t>0</w:t>
      </w:r>
      <w:r w:rsidRPr="0069166A">
        <w:t>%</w:t>
      </w:r>
      <w:r>
        <w:t>.</w:t>
      </w:r>
    </w:p>
    <w:p w14:paraId="06DD772C" w14:textId="7F156D49" w:rsidR="00CC2E0C" w:rsidRPr="00837137" w:rsidRDefault="00CC2E0C" w:rsidP="00837137">
      <w:pPr>
        <w:pStyle w:val="ListBullet"/>
      </w:pPr>
      <w:r>
        <w:t>An</w:t>
      </w:r>
      <w:r w:rsidRPr="0069166A">
        <w:t xml:space="preserve"> improve</w:t>
      </w:r>
      <w:r>
        <w:t>ment in</w:t>
      </w:r>
      <w:r w:rsidRPr="0069166A">
        <w:t xml:space="preserve"> </w:t>
      </w:r>
      <w:r>
        <w:t>results from a teacher survey around the use of conferencing to improve writing results. Target to be determined after baseline data is collected.</w:t>
      </w:r>
    </w:p>
    <w:p w14:paraId="1319DBFF" w14:textId="4E92F042" w:rsidR="004D5E45" w:rsidRPr="00373DC0" w:rsidRDefault="004D5E45" w:rsidP="00837137">
      <w:pPr>
        <w:pStyle w:val="BodyText"/>
      </w:pPr>
      <w:r w:rsidRPr="00373DC0">
        <w:t xml:space="preserve">In </w:t>
      </w:r>
      <w:r w:rsidR="00D4537E">
        <w:t>20</w:t>
      </w:r>
      <w:r w:rsidR="00CC2E0C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15B056A8" w14:textId="44B0744F" w:rsidR="00CC2E0C" w:rsidRPr="00CC2E0C" w:rsidRDefault="00CC2E0C" w:rsidP="00CC2E0C">
      <w:pPr>
        <w:pStyle w:val="ListBullet"/>
      </w:pPr>
      <w:r w:rsidRPr="00CC2E0C">
        <w:t>Develop</w:t>
      </w:r>
      <w:r w:rsidR="00DD7043">
        <w:t>ed</w:t>
      </w:r>
      <w:r w:rsidRPr="00CC2E0C">
        <w:t xml:space="preserve"> and implement</w:t>
      </w:r>
      <w:r w:rsidR="00DD7043">
        <w:t>ed</w:t>
      </w:r>
      <w:r w:rsidRPr="00CC2E0C">
        <w:t xml:space="preserve"> a consistent approach to the teaching of writing and reading. </w:t>
      </w:r>
    </w:p>
    <w:p w14:paraId="28F93164" w14:textId="7FAF1D4A" w:rsidR="00CC2E0C" w:rsidRPr="00CC2E0C" w:rsidRDefault="00DD7043" w:rsidP="00CC2E0C">
      <w:pPr>
        <w:pStyle w:val="ListBullet"/>
      </w:pPr>
      <w:r>
        <w:t>Used l</w:t>
      </w:r>
      <w:r w:rsidR="00CC2E0C" w:rsidRPr="00CC2E0C">
        <w:t xml:space="preserve">earning walks to support and evaluate achievement of teacher goals and provide feedback. </w:t>
      </w:r>
    </w:p>
    <w:p w14:paraId="7DFF073D" w14:textId="2DE675E8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7D461394" w14:textId="046A0DDB" w:rsidR="00B2157A" w:rsidRDefault="00B2157A" w:rsidP="00997CD0">
      <w:pPr>
        <w:pStyle w:val="PlainText"/>
        <w:rPr>
          <w:noProof/>
        </w:rPr>
      </w:pPr>
    </w:p>
    <w:p w14:paraId="73A22C0C" w14:textId="07BF9A9F" w:rsidR="00B2157A" w:rsidRPr="00B2157A" w:rsidRDefault="00B2157A" w:rsidP="00997CD0">
      <w:pPr>
        <w:pStyle w:val="PlainText"/>
        <w:rPr>
          <w:i/>
          <w:iCs/>
          <w:color w:val="538135"/>
        </w:rPr>
      </w:pPr>
      <w:r w:rsidRPr="00552FBC">
        <w:rPr>
          <w:i/>
          <w:iCs/>
          <w:color w:val="538135"/>
        </w:rPr>
        <w:t>Please note, due to the events of 2020 the data collection cycles of some measures were interrupted. Where this has occurred an N/A or 0 (zero) entry has been used.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9"/>
        <w:gridCol w:w="781"/>
        <w:gridCol w:w="957"/>
        <w:gridCol w:w="780"/>
        <w:gridCol w:w="780"/>
        <w:gridCol w:w="780"/>
        <w:gridCol w:w="78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0DBDB423" w:rsidR="006D2F6B" w:rsidRPr="00D03B0C" w:rsidRDefault="00110116" w:rsidP="00086002">
            <w:pPr>
              <w:pStyle w:val="ListBullet"/>
              <w:numPr>
                <w:ilvl w:val="0"/>
                <w:numId w:val="0"/>
              </w:numPr>
            </w:pPr>
            <w:r>
              <w:t>An increase in the percentage of year 5 students in the top two bands of writing to 19% or more.</w:t>
            </w:r>
          </w:p>
        </w:tc>
        <w:tc>
          <w:tcPr>
            <w:tcW w:w="790" w:type="dxa"/>
            <w:shd w:val="clear" w:color="auto" w:fill="auto"/>
          </w:tcPr>
          <w:p w14:paraId="6F51F004" w14:textId="43AB9732" w:rsidR="006D2F6B" w:rsidRPr="00D03B0C" w:rsidRDefault="00086002" w:rsidP="00D03B0C">
            <w:r>
              <w:t>14%</w:t>
            </w:r>
          </w:p>
        </w:tc>
        <w:tc>
          <w:tcPr>
            <w:tcW w:w="790" w:type="dxa"/>
            <w:shd w:val="clear" w:color="auto" w:fill="auto"/>
          </w:tcPr>
          <w:p w14:paraId="3571C78F" w14:textId="423D9D86" w:rsidR="006D2F6B" w:rsidRPr="00D03B0C" w:rsidRDefault="00086002" w:rsidP="00D03B0C">
            <w:proofErr w:type="gramStart"/>
            <w:r>
              <w:t>NAPLAN  cancelled</w:t>
            </w:r>
            <w:proofErr w:type="gramEnd"/>
            <w:r>
              <w:t xml:space="preserve"> due to COVID</w:t>
            </w: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10DECB1" w14:textId="77777777" w:rsidR="00086002" w:rsidRPr="00837137" w:rsidRDefault="00086002" w:rsidP="00086002">
            <w:pPr>
              <w:pStyle w:val="ListBullet"/>
              <w:numPr>
                <w:ilvl w:val="0"/>
                <w:numId w:val="0"/>
              </w:numPr>
            </w:pPr>
            <w:r>
              <w:t xml:space="preserve">A decrease in the percentage of year 5 students in the bottom two bands of writing to 13% or less. </w:t>
            </w:r>
          </w:p>
          <w:p w14:paraId="3C7AC1FF" w14:textId="45F4BBCA" w:rsidR="006D2F6B" w:rsidRPr="00D03B0C" w:rsidRDefault="006D2F6B" w:rsidP="006D2F6B"/>
        </w:tc>
        <w:tc>
          <w:tcPr>
            <w:tcW w:w="790" w:type="dxa"/>
            <w:shd w:val="clear" w:color="auto" w:fill="auto"/>
          </w:tcPr>
          <w:p w14:paraId="4C712096" w14:textId="07BA1620" w:rsidR="006D2F6B" w:rsidRPr="00D03B0C" w:rsidRDefault="00086002" w:rsidP="00D03B0C">
            <w:r>
              <w:t>18%</w:t>
            </w:r>
          </w:p>
        </w:tc>
        <w:tc>
          <w:tcPr>
            <w:tcW w:w="790" w:type="dxa"/>
            <w:shd w:val="clear" w:color="auto" w:fill="auto"/>
          </w:tcPr>
          <w:p w14:paraId="2AFC093D" w14:textId="553EF511" w:rsidR="006D2F6B" w:rsidRPr="00D03B0C" w:rsidRDefault="00086002" w:rsidP="00D03B0C">
            <w:proofErr w:type="gramStart"/>
            <w:r>
              <w:t>NAPLAN  cancelled</w:t>
            </w:r>
            <w:proofErr w:type="gramEnd"/>
            <w:r>
              <w:t xml:space="preserve"> due to COVID</w:t>
            </w:r>
          </w:p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1166"/>
        <w:gridCol w:w="1166"/>
        <w:gridCol w:w="741"/>
        <w:gridCol w:w="741"/>
        <w:gridCol w:w="741"/>
        <w:gridCol w:w="74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58C530CB" w:rsidR="006D2F6B" w:rsidRPr="006D2F6B" w:rsidRDefault="00086002" w:rsidP="000179E2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69166A">
              <w:t xml:space="preserve"> improve</w:t>
            </w:r>
            <w:r>
              <w:t>ment in</w:t>
            </w:r>
            <w:r w:rsidRPr="0069166A">
              <w:t xml:space="preserve"> the percentage of students who strongly agree and agree that ‘teachers give useful feedback’ to 8</w:t>
            </w:r>
            <w:r>
              <w:t>0</w:t>
            </w:r>
            <w:r w:rsidRPr="0069166A">
              <w:t>%</w:t>
            </w:r>
            <w:r>
              <w:t>.</w:t>
            </w:r>
          </w:p>
        </w:tc>
        <w:tc>
          <w:tcPr>
            <w:tcW w:w="790" w:type="dxa"/>
            <w:shd w:val="clear" w:color="auto" w:fill="auto"/>
          </w:tcPr>
          <w:p w14:paraId="4B7CDD05" w14:textId="48C31090" w:rsidR="006D2F6B" w:rsidRPr="006D2F6B" w:rsidRDefault="00086002" w:rsidP="00D03B0C">
            <w:r>
              <w:t>76.33%</w:t>
            </w:r>
          </w:p>
        </w:tc>
        <w:tc>
          <w:tcPr>
            <w:tcW w:w="790" w:type="dxa"/>
            <w:shd w:val="clear" w:color="auto" w:fill="auto"/>
          </w:tcPr>
          <w:p w14:paraId="1037F637" w14:textId="21B93223" w:rsidR="006D2F6B" w:rsidRPr="006D2F6B" w:rsidRDefault="000179E2" w:rsidP="00D03B0C">
            <w:r>
              <w:t>77.8%</w:t>
            </w:r>
          </w:p>
        </w:tc>
        <w:tc>
          <w:tcPr>
            <w:tcW w:w="790" w:type="dxa"/>
            <w:shd w:val="clear" w:color="auto" w:fill="auto"/>
          </w:tcPr>
          <w:p w14:paraId="4DED56F3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3A54DEA" w14:textId="1D30069C" w:rsidR="00B26872" w:rsidRPr="00837137" w:rsidRDefault="00B26872" w:rsidP="00B26872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69166A">
              <w:t xml:space="preserve"> improve</w:t>
            </w:r>
            <w:r>
              <w:t>ment in</w:t>
            </w:r>
            <w:r w:rsidRPr="0069166A">
              <w:t xml:space="preserve"> </w:t>
            </w:r>
            <w:r>
              <w:t>results from a teacher survey around the use of conferencing to improve writing results.</w:t>
            </w:r>
          </w:p>
          <w:p w14:paraId="46E092F7" w14:textId="6996A783" w:rsidR="006D2F6B" w:rsidRPr="006D2F6B" w:rsidRDefault="006D2F6B" w:rsidP="00704E3D"/>
        </w:tc>
        <w:tc>
          <w:tcPr>
            <w:tcW w:w="790" w:type="dxa"/>
            <w:shd w:val="clear" w:color="auto" w:fill="auto"/>
          </w:tcPr>
          <w:p w14:paraId="3072EA45" w14:textId="5B5BD77D" w:rsidR="006D2F6B" w:rsidRPr="006D2F6B" w:rsidRDefault="00B26872" w:rsidP="00D03B0C">
            <w:r>
              <w:t>Not determined due to COVID</w:t>
            </w:r>
          </w:p>
        </w:tc>
        <w:tc>
          <w:tcPr>
            <w:tcW w:w="790" w:type="dxa"/>
            <w:shd w:val="clear" w:color="auto" w:fill="auto"/>
          </w:tcPr>
          <w:p w14:paraId="4392190E" w14:textId="6909BCE7" w:rsidR="006D2F6B" w:rsidRPr="006D2F6B" w:rsidRDefault="00821D7F" w:rsidP="00D03B0C">
            <w:r>
              <w:t>Not determined due to COVID</w:t>
            </w:r>
          </w:p>
        </w:tc>
        <w:tc>
          <w:tcPr>
            <w:tcW w:w="790" w:type="dxa"/>
            <w:shd w:val="clear" w:color="auto" w:fill="auto"/>
          </w:tcPr>
          <w:p w14:paraId="56D80C92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96718C1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139DE5A0" w14:textId="77777777" w:rsidR="003C69DC" w:rsidRPr="00E061B8" w:rsidRDefault="00997CD0" w:rsidP="005C7432">
      <w:pPr>
        <w:pStyle w:val="Heading3"/>
      </w:pPr>
      <w:r w:rsidRPr="00E061B8">
        <w:lastRenderedPageBreak/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AACA67B" w14:textId="2B8037FE" w:rsidR="00161E50" w:rsidRDefault="001419C3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Three of our targe</w:t>
            </w:r>
            <w:r w:rsidR="00F74884">
              <w:t>ts</w:t>
            </w:r>
            <w:r>
              <w:t xml:space="preserve"> were unable to be </w:t>
            </w:r>
            <w:r w:rsidR="00F74884">
              <w:t>measured</w:t>
            </w:r>
            <w:r>
              <w:t xml:space="preserve"> due to COVID.  </w:t>
            </w:r>
            <w:r w:rsidR="00CE5293">
              <w:t xml:space="preserve">Two of these measures required the use of NAPLAN data.  The </w:t>
            </w:r>
            <w:r w:rsidR="00C9357A">
              <w:t>teacher survey</w:t>
            </w:r>
            <w:r w:rsidR="00CE5293">
              <w:t xml:space="preserve"> was not </w:t>
            </w:r>
            <w:r w:rsidR="00C9357A">
              <w:t>conducted due to a change in our</w:t>
            </w:r>
            <w:r w:rsidR="00CE5293">
              <w:t xml:space="preserve"> Action Plan priorit</w:t>
            </w:r>
            <w:r w:rsidR="00C9357A">
              <w:t>ies</w:t>
            </w:r>
            <w:r w:rsidR="00CE5293">
              <w:t xml:space="preserve"> after returning from COVID. </w:t>
            </w:r>
            <w:r w:rsidR="00A80B23">
              <w:t>The survey will be administered</w:t>
            </w:r>
            <w:r w:rsidR="00CE5293">
              <w:t xml:space="preserve"> at the end of term 1 2021. </w:t>
            </w:r>
          </w:p>
          <w:p w14:paraId="47025170" w14:textId="77777777" w:rsidR="00E8123C" w:rsidRDefault="00160BF0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A slight increase </w:t>
            </w:r>
            <w:r w:rsidR="001419C3">
              <w:t>in the number of students who agree that teachers give useful feedback</w:t>
            </w:r>
            <w:r w:rsidR="00197AE0">
              <w:t xml:space="preserve"> was identified</w:t>
            </w:r>
            <w:r w:rsidR="001419C3">
              <w:t xml:space="preserve">.  Teachers were very active in contacting and communicating with students during </w:t>
            </w:r>
            <w:r w:rsidR="00AB0078">
              <w:t>the</w:t>
            </w:r>
            <w:r w:rsidR="001419C3">
              <w:t xml:space="preserve"> learning</w:t>
            </w:r>
            <w:r w:rsidR="00AB0078">
              <w:t xml:space="preserve"> program</w:t>
            </w:r>
            <w:r w:rsidR="001419C3">
              <w:t xml:space="preserve"> at home period. </w:t>
            </w:r>
          </w:p>
          <w:p w14:paraId="2DFB70DA" w14:textId="5A32C670" w:rsidR="001419C3" w:rsidRDefault="002F09CD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</w:t>
            </w:r>
            <w:r w:rsidR="00476A7E">
              <w:t>eachers working together in Professional Learning Communities to analyse</w:t>
            </w:r>
            <w:r w:rsidR="007E21B0">
              <w:t xml:space="preserve"> a</w:t>
            </w:r>
            <w:r w:rsidR="00476A7E">
              <w:t xml:space="preserve"> formative assessment</w:t>
            </w:r>
            <w:r w:rsidR="00125D7B">
              <w:t xml:space="preserve"> task</w:t>
            </w:r>
            <w:r w:rsidR="007E21B0">
              <w:t>, had a positive impact</w:t>
            </w:r>
            <w:r w:rsidR="00125D7B">
              <w:t xml:space="preserve"> on student perception of useful feedback. </w:t>
            </w:r>
            <w:r w:rsidR="007542FA">
              <w:t xml:space="preserve">Data from the assessment informed teaching teams regarding the </w:t>
            </w:r>
            <w:r w:rsidR="00476A7E">
              <w:t xml:space="preserve">intervention based on </w:t>
            </w:r>
            <w:r w:rsidR="007542FA">
              <w:t>student</w:t>
            </w:r>
            <w:r w:rsidR="00476A7E">
              <w:t xml:space="preserve"> point of need.</w:t>
            </w:r>
          </w:p>
        </w:tc>
      </w:tr>
    </w:tbl>
    <w:p w14:paraId="2C475ECA" w14:textId="6A372A1E" w:rsidR="005611F4" w:rsidRPr="005611F4" w:rsidRDefault="00937D6F" w:rsidP="00707D78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5FD3FC1" w14:textId="0B589340" w:rsidR="007D4779" w:rsidRPr="00CE5293" w:rsidRDefault="007D4779" w:rsidP="00CE5293">
            <w:pPr>
              <w:pStyle w:val="BodyText"/>
              <w:rPr>
                <w:b/>
                <w:bCs/>
                <w:iCs/>
              </w:rPr>
            </w:pPr>
            <w:r w:rsidRPr="007D4779">
              <w:rPr>
                <w:b/>
                <w:bCs/>
                <w:iCs/>
              </w:rPr>
              <w:t>To facilitate high quality teaching in ACT public schools and strengthen educational outcomes.</w:t>
            </w:r>
          </w:p>
          <w:p w14:paraId="71CDF82F" w14:textId="5EC1978E" w:rsidR="002F4184" w:rsidRPr="007D4779" w:rsidRDefault="00BF2C6A" w:rsidP="007D4779">
            <w:pPr>
              <w:pStyle w:val="ListBullet"/>
            </w:pPr>
            <w:r w:rsidRPr="007D4779">
              <w:t>Implement</w:t>
            </w:r>
            <w:r w:rsidR="008B5D28">
              <w:t>ed</w:t>
            </w:r>
            <w:r w:rsidRPr="007D4779">
              <w:t xml:space="preserve"> consistent application of Gradual Release of Responsibility (GRR) from P-6. </w:t>
            </w:r>
          </w:p>
          <w:p w14:paraId="0C69C571" w14:textId="3831F361" w:rsidR="00BF2C6A" w:rsidRDefault="008B5D28" w:rsidP="00BF2C6A">
            <w:pPr>
              <w:pStyle w:val="ListBullet"/>
            </w:pPr>
            <w:r>
              <w:t>Engaged in p</w:t>
            </w:r>
            <w:r w:rsidR="00BF2C6A">
              <w:t>rofessional readings on the theory and application of the GRR model</w:t>
            </w:r>
            <w:r w:rsidR="00AF47AF">
              <w:t>.</w:t>
            </w:r>
          </w:p>
          <w:p w14:paraId="098B9BE8" w14:textId="5BED00A2" w:rsidR="00BF2C6A" w:rsidRDefault="008B5D28" w:rsidP="00BF2C6A">
            <w:pPr>
              <w:pStyle w:val="ListBullet"/>
            </w:pPr>
            <w:r>
              <w:t>Established a process of g</w:t>
            </w:r>
            <w:r w:rsidR="00BF2C6A">
              <w:t xml:space="preserve">oal setting </w:t>
            </w:r>
            <w:r>
              <w:t xml:space="preserve">by individual teachers </w:t>
            </w:r>
            <w:r w:rsidR="00BF2C6A">
              <w:t xml:space="preserve">to improve </w:t>
            </w:r>
            <w:r w:rsidR="009453EC">
              <w:t xml:space="preserve">aspects of the </w:t>
            </w:r>
            <w:r w:rsidR="002146B2">
              <w:t xml:space="preserve">GRR </w:t>
            </w:r>
            <w:r w:rsidR="009453EC">
              <w:t>model.</w:t>
            </w:r>
          </w:p>
          <w:p w14:paraId="3CA9DF4E" w14:textId="6F529000" w:rsidR="009453EC" w:rsidRDefault="008B5D28" w:rsidP="009453EC">
            <w:pPr>
              <w:pStyle w:val="ListBullet"/>
            </w:pPr>
            <w:r>
              <w:t>Implemented l</w:t>
            </w:r>
            <w:r w:rsidR="009453EC">
              <w:t>earning wa</w:t>
            </w:r>
            <w:r>
              <w:t>l</w:t>
            </w:r>
            <w:r w:rsidR="009453EC">
              <w:t>ks to evaluate consistent implementation of model</w:t>
            </w:r>
            <w:r w:rsidR="00AF47AF">
              <w:t>.</w:t>
            </w:r>
          </w:p>
          <w:p w14:paraId="48C5D032" w14:textId="2637019B" w:rsidR="00CA26FB" w:rsidRPr="00CA26FB" w:rsidRDefault="008B5D28" w:rsidP="00CA26FB">
            <w:pPr>
              <w:pStyle w:val="ListBullet"/>
            </w:pPr>
            <w:r>
              <w:t>Participated in p</w:t>
            </w:r>
            <w:r w:rsidR="00AC1830">
              <w:t xml:space="preserve">rofessional conversations with the Instructional Mentors </w:t>
            </w:r>
            <w:r w:rsidR="002146B2">
              <w:t>from</w:t>
            </w:r>
            <w:r w:rsidR="00AC1830">
              <w:t xml:space="preserve"> the Education Directorate. 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37DE678C" w:rsidR="005611F4" w:rsidRPr="005611F4" w:rsidRDefault="00937D6F" w:rsidP="00707D78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50602121" w14:textId="2203D67A" w:rsidR="00937D6F" w:rsidRDefault="00C674D2" w:rsidP="00CE5293">
            <w:pPr>
              <w:pStyle w:val="ListBullet"/>
            </w:pPr>
            <w:r>
              <w:t>Providing o</w:t>
            </w:r>
            <w:r w:rsidR="00811735">
              <w:t xml:space="preserve">pportunities to revisit, reflect and review teacher learning on the </w:t>
            </w:r>
            <w:r w:rsidR="00811735" w:rsidRPr="007D4779">
              <w:t>Gradual Release of Responsibility (GRR)</w:t>
            </w:r>
            <w:r w:rsidR="003A6B8D">
              <w:t>.</w:t>
            </w:r>
          </w:p>
          <w:p w14:paraId="5116A9A5" w14:textId="112DEEAF" w:rsidR="003A6B8D" w:rsidRDefault="003A6B8D" w:rsidP="00CE5293">
            <w:pPr>
              <w:pStyle w:val="ListBullet"/>
            </w:pPr>
            <w:r>
              <w:t xml:space="preserve">Implementing the </w:t>
            </w:r>
            <w:r w:rsidR="00007C24">
              <w:t xml:space="preserve">Debbie Miller </w:t>
            </w:r>
            <w:r>
              <w:t>Writing Workshop model in 2021 and making explicit links to the GRR model.</w:t>
            </w:r>
          </w:p>
          <w:p w14:paraId="21501890" w14:textId="4EA93750" w:rsidR="00647CC9" w:rsidRDefault="00647CC9" w:rsidP="00CE5293">
            <w:pPr>
              <w:pStyle w:val="ListBullet"/>
            </w:pPr>
            <w:r>
              <w:t>Ensur</w:t>
            </w:r>
            <w:r w:rsidR="00007C24">
              <w:t>ing</w:t>
            </w:r>
            <w:r>
              <w:t xml:space="preserve"> we collect and analyse the </w:t>
            </w:r>
            <w:r w:rsidR="002146B2">
              <w:t xml:space="preserve">teacher perception </w:t>
            </w:r>
            <w:r>
              <w:t>data we identified in our School Improvement Plan.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29EA4824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F3358A" w:rsidRPr="00F3358A">
        <w:rPr>
          <w:rFonts w:asciiTheme="minorHAnsi" w:hAnsiTheme="minorHAnsi" w:cstheme="minorBidi"/>
          <w:color w:val="auto"/>
          <w:sz w:val="22"/>
        </w:rPr>
        <w:t>Increase growth in student performance in mathematics across all year levels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2FB9D4E9" w:rsidR="00EB70CE" w:rsidRDefault="00EB70CE" w:rsidP="00EB70CE">
      <w:pPr>
        <w:pStyle w:val="BodyText"/>
      </w:pPr>
      <w:r>
        <w:t>By the end of 20</w:t>
      </w:r>
      <w:r w:rsidR="00F3358A">
        <w:t>24</w:t>
      </w:r>
      <w:r>
        <w:t xml:space="preserve"> we will achieve:</w:t>
      </w:r>
    </w:p>
    <w:p w14:paraId="07556943" w14:textId="72B3E642" w:rsidR="00F3358A" w:rsidRDefault="00F3358A" w:rsidP="00EB70CE">
      <w:pPr>
        <w:pStyle w:val="ListBullet"/>
      </w:pPr>
      <w:r>
        <w:t>56</w:t>
      </w:r>
      <w:r w:rsidRPr="00A761EE">
        <w:t xml:space="preserve">% or more of our year 5 students will </w:t>
      </w:r>
      <w:r>
        <w:t>achieve</w:t>
      </w:r>
      <w:r w:rsidRPr="00A761EE">
        <w:t xml:space="preserve"> at or above expected growth in numeracy. </w:t>
      </w:r>
    </w:p>
    <w:p w14:paraId="0B92EE0A" w14:textId="77777777" w:rsidR="00F3358A" w:rsidRDefault="00F3358A" w:rsidP="00EB70CE">
      <w:pPr>
        <w:pStyle w:val="ListBullet"/>
      </w:pPr>
      <w:r>
        <w:t>An</w:t>
      </w:r>
      <w:r w:rsidRPr="0069166A">
        <w:t xml:space="preserve"> improve</w:t>
      </w:r>
      <w:r>
        <w:t>ment in</w:t>
      </w:r>
      <w:r w:rsidRPr="0069166A">
        <w:t xml:space="preserve"> the percentage of students who strongly agree and agree that ‘teachers give useful feedback’ to 8</w:t>
      </w:r>
      <w:r>
        <w:t>0</w:t>
      </w:r>
      <w:r w:rsidRPr="0069166A">
        <w:t>%</w:t>
      </w:r>
      <w:r w:rsidRPr="00837137">
        <w:t xml:space="preserve"> </w:t>
      </w:r>
    </w:p>
    <w:p w14:paraId="5932F552" w14:textId="7D145FC6" w:rsidR="00F3358A" w:rsidRPr="00C7526B" w:rsidRDefault="00F3358A" w:rsidP="00F3358A">
      <w:pPr>
        <w:pStyle w:val="ListBullet"/>
        <w:rPr>
          <w:rFonts w:eastAsia="Times New Roman" w:cstheme="minorHAnsi"/>
          <w:color w:val="000000"/>
        </w:rPr>
      </w:pPr>
      <w:r>
        <w:t>An</w:t>
      </w:r>
      <w:r w:rsidRPr="0069166A">
        <w:t xml:space="preserve"> improve</w:t>
      </w:r>
      <w:r>
        <w:t>ment in</w:t>
      </w:r>
      <w:r w:rsidRPr="0069166A">
        <w:t xml:space="preserve"> </w:t>
      </w:r>
      <w:r>
        <w:t xml:space="preserve">positive attitudes to mathematics from 43% in 2019 to 50% or more by 2024. </w:t>
      </w:r>
    </w:p>
    <w:p w14:paraId="11AB3A13" w14:textId="77777777" w:rsidR="00C7526B" w:rsidRPr="005B44C8" w:rsidRDefault="00C7526B" w:rsidP="00C7526B">
      <w:pPr>
        <w:pStyle w:val="ListBullet"/>
        <w:numPr>
          <w:ilvl w:val="0"/>
          <w:numId w:val="0"/>
        </w:numPr>
        <w:rPr>
          <w:rFonts w:eastAsia="Times New Roman" w:cstheme="minorHAnsi"/>
          <w:color w:val="000000"/>
        </w:rPr>
      </w:pPr>
    </w:p>
    <w:p w14:paraId="6BF90988" w14:textId="5D539B88" w:rsidR="00EB70CE" w:rsidRPr="00373DC0" w:rsidRDefault="00EB70CE" w:rsidP="00C7526B">
      <w:pPr>
        <w:pStyle w:val="ListBullet"/>
        <w:numPr>
          <w:ilvl w:val="0"/>
          <w:numId w:val="0"/>
        </w:numPr>
      </w:pPr>
      <w:r w:rsidRPr="00373DC0">
        <w:t>In 20</w:t>
      </w:r>
      <w:r w:rsidR="00C7526B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67539210" w14:textId="60D1340C" w:rsidR="00C7526B" w:rsidRPr="00C7526B" w:rsidRDefault="00C7526B" w:rsidP="00C7526B">
      <w:pPr>
        <w:pStyle w:val="ListBullet"/>
      </w:pPr>
      <w:r w:rsidRPr="00C7526B">
        <w:t>Develop</w:t>
      </w:r>
      <w:r w:rsidR="00552FBC">
        <w:t>ed</w:t>
      </w:r>
      <w:r w:rsidRPr="00C7526B">
        <w:t xml:space="preserve"> and implement</w:t>
      </w:r>
      <w:r w:rsidR="00552FBC">
        <w:t>ed</w:t>
      </w:r>
      <w:bookmarkStart w:id="0" w:name="_GoBack"/>
      <w:bookmarkEnd w:id="0"/>
      <w:r w:rsidRPr="00C7526B">
        <w:t xml:space="preserve"> a consistent approach to the teaching of mathematics. </w:t>
      </w:r>
    </w:p>
    <w:p w14:paraId="13F17F2B" w14:textId="33A0843E" w:rsidR="00EB70CE" w:rsidRDefault="00C7526B" w:rsidP="00EB70CE">
      <w:pPr>
        <w:pStyle w:val="ListBullet"/>
      </w:pPr>
      <w:r>
        <w:t>L</w:t>
      </w:r>
      <w:r w:rsidRPr="00C0710D">
        <w:t>earning walks used to</w:t>
      </w:r>
      <w:r>
        <w:t xml:space="preserve"> support and</w:t>
      </w:r>
      <w:r w:rsidRPr="00C0710D">
        <w:t xml:space="preserve"> evaluate achievement of teacher goals</w:t>
      </w:r>
      <w:r>
        <w:t xml:space="preserve"> and provide feedback. </w:t>
      </w:r>
    </w:p>
    <w:p w14:paraId="32A84660" w14:textId="5C9B69F3" w:rsidR="00EB70CE" w:rsidRDefault="00EB70CE" w:rsidP="00EB70CE">
      <w:pPr>
        <w:pStyle w:val="PlainText"/>
        <w:rPr>
          <w:noProof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13C8537" w14:textId="19CF6513" w:rsidR="00B2157A" w:rsidRDefault="00B2157A" w:rsidP="00EB70CE">
      <w:pPr>
        <w:pStyle w:val="PlainText"/>
        <w:rPr>
          <w:noProof/>
        </w:rPr>
      </w:pPr>
    </w:p>
    <w:p w14:paraId="4465586D" w14:textId="3AD53D56" w:rsidR="00B2157A" w:rsidRPr="00B2157A" w:rsidRDefault="00B2157A" w:rsidP="00EB70CE">
      <w:pPr>
        <w:pStyle w:val="PlainText"/>
        <w:rPr>
          <w:i/>
          <w:iCs/>
          <w:color w:val="538135"/>
        </w:rPr>
      </w:pPr>
      <w:r w:rsidRPr="00552FBC">
        <w:rPr>
          <w:i/>
          <w:iCs/>
          <w:color w:val="538135"/>
        </w:rPr>
        <w:t>Please note, due to the events of 2020 the data collection cycles of some measures were interrupted. Where this has occurred an N/A or 0 (zero) entry has been used.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9"/>
        <w:gridCol w:w="770"/>
        <w:gridCol w:w="1166"/>
        <w:gridCol w:w="768"/>
        <w:gridCol w:w="768"/>
        <w:gridCol w:w="768"/>
        <w:gridCol w:w="769"/>
      </w:tblGrid>
      <w:tr w:rsidR="00EB70CE" w14:paraId="52A1D276" w14:textId="77777777" w:rsidTr="002146B2">
        <w:trPr>
          <w:jc w:val="center"/>
        </w:trPr>
        <w:tc>
          <w:tcPr>
            <w:tcW w:w="4029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7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1166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68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68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68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69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2146B2" w14:paraId="619F7E44" w14:textId="77777777" w:rsidTr="002146B2">
        <w:trPr>
          <w:jc w:val="center"/>
        </w:trPr>
        <w:tc>
          <w:tcPr>
            <w:tcW w:w="4029" w:type="dxa"/>
            <w:shd w:val="clear" w:color="auto" w:fill="auto"/>
          </w:tcPr>
          <w:p w14:paraId="072F052B" w14:textId="77777777" w:rsidR="002146B2" w:rsidRDefault="002146B2" w:rsidP="002146B2">
            <w:pPr>
              <w:pStyle w:val="ListBullet"/>
              <w:numPr>
                <w:ilvl w:val="0"/>
                <w:numId w:val="0"/>
              </w:numPr>
            </w:pPr>
            <w:r>
              <w:t>56</w:t>
            </w:r>
            <w:r w:rsidRPr="00A761EE">
              <w:t xml:space="preserve">% or more of our year 5 students will </w:t>
            </w:r>
            <w:r>
              <w:t>achieve</w:t>
            </w:r>
            <w:r w:rsidRPr="00A761EE">
              <w:t xml:space="preserve"> at or above expected growth in numeracy. </w:t>
            </w:r>
          </w:p>
          <w:p w14:paraId="2513CA2B" w14:textId="0B4F95B5" w:rsidR="002146B2" w:rsidRPr="00D03B0C" w:rsidRDefault="002146B2" w:rsidP="002146B2">
            <w:pPr>
              <w:pStyle w:val="PlainText"/>
            </w:pPr>
          </w:p>
        </w:tc>
        <w:tc>
          <w:tcPr>
            <w:tcW w:w="770" w:type="dxa"/>
            <w:shd w:val="clear" w:color="auto" w:fill="auto"/>
          </w:tcPr>
          <w:p w14:paraId="033F8A2C" w14:textId="72DD5B15" w:rsidR="002146B2" w:rsidRPr="00D03B0C" w:rsidRDefault="002146B2" w:rsidP="002146B2">
            <w:r>
              <w:t>51%</w:t>
            </w:r>
          </w:p>
        </w:tc>
        <w:tc>
          <w:tcPr>
            <w:tcW w:w="1166" w:type="dxa"/>
            <w:shd w:val="clear" w:color="auto" w:fill="auto"/>
          </w:tcPr>
          <w:p w14:paraId="37A47674" w14:textId="44BE6FF1" w:rsidR="002146B2" w:rsidRPr="00D03B0C" w:rsidRDefault="002146B2" w:rsidP="002146B2">
            <w:proofErr w:type="gramStart"/>
            <w:r>
              <w:t>NAPLAN  cancelled</w:t>
            </w:r>
            <w:proofErr w:type="gramEnd"/>
            <w:r>
              <w:t xml:space="preserve"> due to COVID</w:t>
            </w:r>
          </w:p>
        </w:tc>
        <w:tc>
          <w:tcPr>
            <w:tcW w:w="768" w:type="dxa"/>
            <w:shd w:val="clear" w:color="auto" w:fill="auto"/>
          </w:tcPr>
          <w:p w14:paraId="3B610A06" w14:textId="77777777" w:rsidR="002146B2" w:rsidRPr="00D03B0C" w:rsidRDefault="002146B2" w:rsidP="002146B2"/>
        </w:tc>
        <w:tc>
          <w:tcPr>
            <w:tcW w:w="768" w:type="dxa"/>
            <w:shd w:val="clear" w:color="auto" w:fill="auto"/>
          </w:tcPr>
          <w:p w14:paraId="14CA5668" w14:textId="77777777" w:rsidR="002146B2" w:rsidRPr="00D03B0C" w:rsidRDefault="002146B2" w:rsidP="002146B2"/>
        </w:tc>
        <w:tc>
          <w:tcPr>
            <w:tcW w:w="768" w:type="dxa"/>
            <w:shd w:val="clear" w:color="auto" w:fill="auto"/>
          </w:tcPr>
          <w:p w14:paraId="31619F89" w14:textId="77777777" w:rsidR="002146B2" w:rsidRPr="00D03B0C" w:rsidRDefault="002146B2" w:rsidP="002146B2"/>
        </w:tc>
        <w:tc>
          <w:tcPr>
            <w:tcW w:w="769" w:type="dxa"/>
            <w:shd w:val="clear" w:color="auto" w:fill="auto"/>
          </w:tcPr>
          <w:p w14:paraId="093216C0" w14:textId="77777777" w:rsidR="002146B2" w:rsidRPr="00D03B0C" w:rsidRDefault="002146B2" w:rsidP="002146B2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789"/>
        <w:gridCol w:w="1166"/>
        <w:gridCol w:w="765"/>
        <w:gridCol w:w="765"/>
        <w:gridCol w:w="765"/>
        <w:gridCol w:w="766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6DC024AD" w:rsidR="00EB70CE" w:rsidRPr="006D2F6B" w:rsidRDefault="00F3358A" w:rsidP="00D441BF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69166A">
              <w:t xml:space="preserve"> improve</w:t>
            </w:r>
            <w:r>
              <w:t>ment in</w:t>
            </w:r>
            <w:r w:rsidRPr="0069166A">
              <w:t xml:space="preserve"> the percentage of students who strongly agree and agree that ‘teachers give useful feedback’ to 8</w:t>
            </w:r>
            <w:r>
              <w:t>0</w:t>
            </w:r>
            <w:r w:rsidRPr="0069166A">
              <w:t>%</w:t>
            </w:r>
            <w:r w:rsidRPr="00837137"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694253E4" w14:textId="195A7D79" w:rsidR="00EB70CE" w:rsidRPr="006D2F6B" w:rsidRDefault="009956FE" w:rsidP="00654356">
            <w:r>
              <w:t>76.33%</w:t>
            </w:r>
          </w:p>
        </w:tc>
        <w:tc>
          <w:tcPr>
            <w:tcW w:w="790" w:type="dxa"/>
            <w:shd w:val="clear" w:color="auto" w:fill="auto"/>
          </w:tcPr>
          <w:p w14:paraId="30994033" w14:textId="6573AE14" w:rsidR="00EB70CE" w:rsidRPr="006D2F6B" w:rsidRDefault="009956FE" w:rsidP="00654356">
            <w:r>
              <w:t>77.8%</w:t>
            </w:r>
          </w:p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EB70CE" w14:paraId="6DD2C68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FCC141" w14:textId="7F4BFAFA" w:rsidR="00EB70CE" w:rsidRPr="00D441BF" w:rsidRDefault="00F3358A" w:rsidP="00D441BF">
            <w:pPr>
              <w:pStyle w:val="ListBullet"/>
              <w:numPr>
                <w:ilvl w:val="0"/>
                <w:numId w:val="0"/>
              </w:numPr>
              <w:rPr>
                <w:rFonts w:eastAsia="Times New Roman" w:cstheme="minorHAnsi"/>
                <w:color w:val="000000"/>
              </w:rPr>
            </w:pPr>
            <w:r>
              <w:t>An</w:t>
            </w:r>
            <w:r w:rsidRPr="0069166A">
              <w:t xml:space="preserve"> improve</w:t>
            </w:r>
            <w:r>
              <w:t>ment in</w:t>
            </w:r>
            <w:r w:rsidRPr="0069166A">
              <w:t xml:space="preserve"> </w:t>
            </w:r>
            <w:r>
              <w:t xml:space="preserve">positive attitudes to mathematics from 43% in 2019 to 50% or more by 2024. </w:t>
            </w:r>
          </w:p>
        </w:tc>
        <w:tc>
          <w:tcPr>
            <w:tcW w:w="790" w:type="dxa"/>
            <w:shd w:val="clear" w:color="auto" w:fill="auto"/>
          </w:tcPr>
          <w:p w14:paraId="018EACAA" w14:textId="54DAE941" w:rsidR="00EB70CE" w:rsidRPr="006D2F6B" w:rsidRDefault="00F3358A" w:rsidP="00654356">
            <w:r>
              <w:t>43%</w:t>
            </w:r>
          </w:p>
        </w:tc>
        <w:tc>
          <w:tcPr>
            <w:tcW w:w="790" w:type="dxa"/>
            <w:shd w:val="clear" w:color="auto" w:fill="auto"/>
          </w:tcPr>
          <w:p w14:paraId="5982A543" w14:textId="4B8254C0" w:rsidR="00EB70CE" w:rsidRPr="006D2F6B" w:rsidRDefault="00F3358A" w:rsidP="00654356">
            <w:r>
              <w:t xml:space="preserve">To be determined at the end of term 1, 2021. </w:t>
            </w:r>
          </w:p>
        </w:tc>
        <w:tc>
          <w:tcPr>
            <w:tcW w:w="790" w:type="dxa"/>
            <w:shd w:val="clear" w:color="auto" w:fill="auto"/>
          </w:tcPr>
          <w:p w14:paraId="040ADB54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2F8CD83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654356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2C76D60" w14:textId="298EFC42" w:rsidR="005D62F0" w:rsidRDefault="00F63E85" w:rsidP="000E41C4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NAPLAN</w:t>
            </w:r>
            <w:r w:rsidR="005D62F0">
              <w:t xml:space="preserve"> target</w:t>
            </w:r>
            <w:r>
              <w:t xml:space="preserve"> </w:t>
            </w:r>
            <w:r w:rsidR="005D62F0">
              <w:t>w</w:t>
            </w:r>
            <w:r>
              <w:t>as</w:t>
            </w:r>
            <w:r w:rsidR="005D62F0">
              <w:t xml:space="preserve"> unable to be </w:t>
            </w:r>
            <w:r w:rsidR="000E41C4">
              <w:t>reported as students did not undertake NAPLAN due to COVID</w:t>
            </w:r>
            <w:r w:rsidR="005D62F0">
              <w:t xml:space="preserve">. </w:t>
            </w:r>
            <w:r w:rsidR="00821938">
              <w:t>A survey of</w:t>
            </w:r>
            <w:r w:rsidR="004659EE">
              <w:t xml:space="preserve"> student attitude</w:t>
            </w:r>
            <w:r w:rsidR="00821938">
              <w:t>s</w:t>
            </w:r>
            <w:r w:rsidR="004659EE">
              <w:t xml:space="preserve"> towards mathematics will be administered at the end of term 1 2021. </w:t>
            </w:r>
          </w:p>
          <w:p w14:paraId="47182A15" w14:textId="604EDEA5" w:rsidR="00EB70CE" w:rsidRDefault="00A93BF6" w:rsidP="005D62F0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There was a</w:t>
            </w:r>
            <w:r w:rsidR="005D62F0">
              <w:t xml:space="preserve"> slight increase in the number of students who agree</w:t>
            </w:r>
            <w:r>
              <w:t>d</w:t>
            </w:r>
            <w:r w:rsidR="005D62F0">
              <w:t xml:space="preserve"> that teachers give useful feedback. Teachers were very active in contacting</w:t>
            </w:r>
            <w:r w:rsidR="006C7828">
              <w:t>,</w:t>
            </w:r>
            <w:r w:rsidR="005D62F0">
              <w:t xml:space="preserve"> communicating</w:t>
            </w:r>
            <w:r w:rsidR="00407B8B">
              <w:t>,</w:t>
            </w:r>
            <w:r w:rsidR="005D62F0">
              <w:t xml:space="preserve"> </w:t>
            </w:r>
            <w:r w:rsidR="006C7828">
              <w:t>and giving feedback on learning</w:t>
            </w:r>
            <w:r w:rsidR="005340A6">
              <w:t xml:space="preserve"> to students</w:t>
            </w:r>
            <w:r w:rsidR="005D62F0">
              <w:t xml:space="preserve"> during </w:t>
            </w:r>
            <w:r>
              <w:t>the</w:t>
            </w:r>
            <w:r w:rsidR="005340A6">
              <w:t xml:space="preserve"> </w:t>
            </w:r>
            <w:r w:rsidR="005D62F0">
              <w:t>period</w:t>
            </w:r>
            <w:r w:rsidR="005340A6">
              <w:t xml:space="preserve"> of home learning</w:t>
            </w:r>
            <w:r w:rsidR="005D62F0">
              <w:t xml:space="preserve">. </w:t>
            </w:r>
          </w:p>
          <w:p w14:paraId="17DDC188" w14:textId="0719205C" w:rsidR="00A150B8" w:rsidRDefault="00A150B8" w:rsidP="005D62F0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lastRenderedPageBreak/>
              <w:t xml:space="preserve">Teachers working together in Professional Learning Communities to analyse a formative assessment task, had a positive impact on student perception of useful </w:t>
            </w:r>
            <w:r w:rsidR="00C96960">
              <w:t xml:space="preserve">teacher </w:t>
            </w:r>
            <w:r>
              <w:t>feedback. Data from the</w:t>
            </w:r>
            <w:r w:rsidR="00C96960">
              <w:t xml:space="preserve"> formative</w:t>
            </w:r>
            <w:r>
              <w:t xml:space="preserve"> assessment informed teaching teams </w:t>
            </w:r>
            <w:r w:rsidR="00A537BA">
              <w:t>informed</w:t>
            </w:r>
            <w:r>
              <w:t xml:space="preserve"> intervention</w:t>
            </w:r>
            <w:r w:rsidR="00A537BA">
              <w:t xml:space="preserve"> regarding</w:t>
            </w:r>
            <w:r>
              <w:t xml:space="preserve"> </w:t>
            </w:r>
            <w:r w:rsidR="00A537BA">
              <w:t>student personalised learning</w:t>
            </w:r>
            <w:r>
              <w:t>.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9646B8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50E840C6" w14:textId="77777777" w:rsidR="00D9630F" w:rsidRPr="00CE5293" w:rsidRDefault="00D9630F" w:rsidP="00D9630F">
            <w:pPr>
              <w:pStyle w:val="BodyText"/>
              <w:rPr>
                <w:b/>
                <w:bCs/>
                <w:iCs/>
              </w:rPr>
            </w:pPr>
            <w:r w:rsidRPr="007D4779">
              <w:rPr>
                <w:b/>
                <w:bCs/>
                <w:iCs/>
              </w:rPr>
              <w:t>To facilitate high quality teaching in ACT public schools and strengthen educational outcomes.</w:t>
            </w:r>
          </w:p>
          <w:p w14:paraId="56588A63" w14:textId="111BA89B" w:rsidR="00D9630F" w:rsidRDefault="00B21795" w:rsidP="00D9630F">
            <w:pPr>
              <w:pStyle w:val="ListBullet"/>
            </w:pPr>
            <w:r>
              <w:t xml:space="preserve">Embedded </w:t>
            </w:r>
            <w:r w:rsidR="00D9630F">
              <w:t>consistent lesson structure in mathematics emphasizing opportunities for students to talk about their math</w:t>
            </w:r>
            <w:r>
              <w:t>ematics</w:t>
            </w:r>
            <w:r w:rsidR="00D9630F">
              <w:t xml:space="preserve"> thinking.</w:t>
            </w:r>
          </w:p>
          <w:p w14:paraId="33E4AC1B" w14:textId="3AA4F253" w:rsidR="00D9630F" w:rsidRDefault="00B21795" w:rsidP="00D9630F">
            <w:pPr>
              <w:pStyle w:val="ListBullet"/>
            </w:pPr>
            <w:r>
              <w:t>Engaged in p</w:t>
            </w:r>
            <w:r w:rsidR="00D9630F">
              <w:t xml:space="preserve">rofessional readings </w:t>
            </w:r>
            <w:r>
              <w:t>and improved understanding of</w:t>
            </w:r>
            <w:r w:rsidR="00D9630F">
              <w:t xml:space="preserve"> Mathematics Discourse</w:t>
            </w:r>
          </w:p>
          <w:p w14:paraId="4C94AC06" w14:textId="0C4E6F54" w:rsidR="00D9630F" w:rsidRDefault="00D9630F" w:rsidP="00D9630F">
            <w:pPr>
              <w:pStyle w:val="ListBullet"/>
            </w:pPr>
            <w:r>
              <w:t xml:space="preserve">Whole staff sharing and collaboration </w:t>
            </w:r>
            <w:r w:rsidR="00DB59F0">
              <w:t>in weekly</w:t>
            </w:r>
            <w:r>
              <w:t xml:space="preserve"> staff meetings</w:t>
            </w:r>
            <w:r w:rsidR="00B21795">
              <w:t xml:space="preserve"> resulting in improved consistency across the school</w:t>
            </w:r>
          </w:p>
          <w:p w14:paraId="74A11CDE" w14:textId="0332F6BD" w:rsidR="00D9630F" w:rsidRDefault="00B21795" w:rsidP="00D9630F">
            <w:pPr>
              <w:pStyle w:val="ListBullet"/>
            </w:pPr>
            <w:r>
              <w:t>Consistent evidence of s</w:t>
            </w:r>
            <w:r w:rsidR="00D9630F">
              <w:t>tudent goal setting</w:t>
            </w:r>
            <w:r>
              <w:t xml:space="preserve"> across the school</w:t>
            </w:r>
          </w:p>
          <w:p w14:paraId="450C6165" w14:textId="5270EDCD" w:rsidR="00DB59F0" w:rsidRDefault="00B21795" w:rsidP="00D9630F">
            <w:pPr>
              <w:pStyle w:val="ListBullet"/>
            </w:pPr>
            <w:r>
              <w:t>All teams c</w:t>
            </w:r>
            <w:r w:rsidR="00DB59F0">
              <w:t>ollaborative</w:t>
            </w:r>
            <w:r>
              <w:t>ly</w:t>
            </w:r>
            <w:r w:rsidR="00DB59F0">
              <w:t xml:space="preserve"> plann</w:t>
            </w:r>
            <w:r>
              <w:t>ed</w:t>
            </w:r>
            <w:r w:rsidR="00DB59F0">
              <w:t xml:space="preserve"> formative assessment </w:t>
            </w:r>
            <w:r>
              <w:t>tasks</w:t>
            </w:r>
          </w:p>
          <w:p w14:paraId="4F19C6D9" w14:textId="1C9085D7" w:rsidR="00937D6F" w:rsidRPr="00CA26FB" w:rsidRDefault="00B21795" w:rsidP="00DB59F0">
            <w:pPr>
              <w:pStyle w:val="ListBullet"/>
            </w:pPr>
            <w:r>
              <w:t>All teams engaged in c</w:t>
            </w:r>
            <w:r w:rsidR="00DB59F0">
              <w:t>onsistent moderation practices</w:t>
            </w:r>
            <w:r>
              <w:t xml:space="preserve"> </w:t>
            </w:r>
            <w:r w:rsidR="001345D4">
              <w:t xml:space="preserve">resulting in improved </w:t>
            </w:r>
            <w:r>
              <w:t>accura</w:t>
            </w:r>
            <w:r w:rsidR="001345D4">
              <w:t>cy of</w:t>
            </w:r>
            <w:r>
              <w:t xml:space="preserve"> reporting</w:t>
            </w:r>
            <w:r w:rsidR="00DB59F0">
              <w:t xml:space="preserve"> 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DB59F0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0113107" w14:textId="4EDCAE5F" w:rsidR="001345D4" w:rsidRDefault="001345D4" w:rsidP="00647CC9">
            <w:pPr>
              <w:pStyle w:val="ListBullet"/>
            </w:pPr>
            <w:r>
              <w:t xml:space="preserve">Investigate how the inquiry pedagogy can be incorporated in mathematics teaching practice across the school to </w:t>
            </w:r>
            <w:r w:rsidR="00E6596F">
              <w:t>promote a love of mathematics</w:t>
            </w:r>
            <w:r>
              <w:t>.</w:t>
            </w:r>
          </w:p>
          <w:p w14:paraId="031A641B" w14:textId="2B0F0907" w:rsidR="00E6596F" w:rsidRDefault="00E6596F" w:rsidP="00647CC9">
            <w:pPr>
              <w:pStyle w:val="ListBullet"/>
            </w:pPr>
            <w:r>
              <w:t>Support teachers to understand about the inquiry pedagogy in mathematics</w:t>
            </w:r>
            <w:r w:rsidR="002F4B42">
              <w:t>.</w:t>
            </w:r>
          </w:p>
          <w:p w14:paraId="3215DBB4" w14:textId="2ED48C17" w:rsidR="00E6596F" w:rsidRDefault="00E6596F" w:rsidP="00647CC9">
            <w:pPr>
              <w:pStyle w:val="ListBullet"/>
            </w:pPr>
            <w:r>
              <w:t>Transferring teacher knowledge of inquiry pedagogies in mathematics into effective classroom practice</w:t>
            </w:r>
            <w:r w:rsidR="002F4B42">
              <w:t>.</w:t>
            </w:r>
          </w:p>
          <w:p w14:paraId="084A249F" w14:textId="11F2E8AA" w:rsidR="00E6596F" w:rsidRDefault="00E6596F" w:rsidP="00867888">
            <w:pPr>
              <w:pStyle w:val="ListBullet"/>
            </w:pPr>
            <w:r>
              <w:t xml:space="preserve">How to measure improvements in teacher and student positive attitudes towards </w:t>
            </w:r>
            <w:r w:rsidR="002F4B42">
              <w:t>m</w:t>
            </w:r>
            <w:r>
              <w:t>athematics?</w:t>
            </w:r>
          </w:p>
          <w:p w14:paraId="4D0D0527" w14:textId="7686FBBB" w:rsidR="00647CC9" w:rsidRDefault="002F4B42" w:rsidP="00647CC9">
            <w:pPr>
              <w:pStyle w:val="ListBullet"/>
            </w:pPr>
            <w:r>
              <w:t>E</w:t>
            </w:r>
            <w:r w:rsidR="00647CC9">
              <w:t>nsur</w:t>
            </w:r>
            <w:r>
              <w:t>ing</w:t>
            </w:r>
            <w:r w:rsidR="00647CC9">
              <w:t xml:space="preserve"> </w:t>
            </w:r>
            <w:r w:rsidR="00867888">
              <w:t xml:space="preserve">that accurate data of student perception is </w:t>
            </w:r>
            <w:r w:rsidR="00647CC9">
              <w:t>collect</w:t>
            </w:r>
            <w:r w:rsidR="00867888">
              <w:t>ed</w:t>
            </w:r>
            <w:r w:rsidR="00647CC9">
              <w:t xml:space="preserve"> and analyse</w:t>
            </w:r>
            <w:r w:rsidR="00867888">
              <w:t>d?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05A9A145" w14:textId="77777777" w:rsidR="00271528" w:rsidRPr="00557F65" w:rsidRDefault="00271528" w:rsidP="00E061B8">
      <w:pPr>
        <w:pStyle w:val="Heading2"/>
      </w:pPr>
      <w:r>
        <w:lastRenderedPageBreak/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3C8D8A96" w:rsidR="00271528" w:rsidRDefault="007370DC" w:rsidP="007370DC">
            <w:pPr>
              <w:pStyle w:val="ListBullet"/>
            </w:pPr>
            <w:r>
              <w:t>See QIP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583790F4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52FB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4 February 2021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AF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0FD"/>
    <w:multiLevelType w:val="hybridMultilevel"/>
    <w:tmpl w:val="3746DA52"/>
    <w:lvl w:ilvl="0" w:tplc="3522B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9ACE391E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769"/>
    <w:multiLevelType w:val="hybridMultilevel"/>
    <w:tmpl w:val="C7E4EA9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F3D49BF"/>
    <w:multiLevelType w:val="hybridMultilevel"/>
    <w:tmpl w:val="F1FE2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13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7C24"/>
    <w:rsid w:val="00010252"/>
    <w:rsid w:val="000179E2"/>
    <w:rsid w:val="00057DAD"/>
    <w:rsid w:val="00086002"/>
    <w:rsid w:val="000E41C4"/>
    <w:rsid w:val="000F7E7C"/>
    <w:rsid w:val="00107AE2"/>
    <w:rsid w:val="00110116"/>
    <w:rsid w:val="00115AA9"/>
    <w:rsid w:val="00125D7B"/>
    <w:rsid w:val="00125F98"/>
    <w:rsid w:val="00127C5E"/>
    <w:rsid w:val="00132917"/>
    <w:rsid w:val="001345D4"/>
    <w:rsid w:val="001419C3"/>
    <w:rsid w:val="00160BF0"/>
    <w:rsid w:val="00161E50"/>
    <w:rsid w:val="00163579"/>
    <w:rsid w:val="00183DE5"/>
    <w:rsid w:val="00197AE0"/>
    <w:rsid w:val="001B26EA"/>
    <w:rsid w:val="001B2E33"/>
    <w:rsid w:val="002145F7"/>
    <w:rsid w:val="002146B2"/>
    <w:rsid w:val="0024781C"/>
    <w:rsid w:val="00266E77"/>
    <w:rsid w:val="00271528"/>
    <w:rsid w:val="00282D2C"/>
    <w:rsid w:val="002D0EEA"/>
    <w:rsid w:val="002F09CD"/>
    <w:rsid w:val="002F2C6F"/>
    <w:rsid w:val="002F4184"/>
    <w:rsid w:val="002F4B42"/>
    <w:rsid w:val="00300F72"/>
    <w:rsid w:val="00334BBF"/>
    <w:rsid w:val="00341517"/>
    <w:rsid w:val="00342B3F"/>
    <w:rsid w:val="00365890"/>
    <w:rsid w:val="00365A1C"/>
    <w:rsid w:val="00373DC0"/>
    <w:rsid w:val="00377F0F"/>
    <w:rsid w:val="00390CA5"/>
    <w:rsid w:val="003A6B8D"/>
    <w:rsid w:val="003B5E3D"/>
    <w:rsid w:val="003C2864"/>
    <w:rsid w:val="003C69DC"/>
    <w:rsid w:val="003E1EFB"/>
    <w:rsid w:val="00407B8B"/>
    <w:rsid w:val="00435AB7"/>
    <w:rsid w:val="00435C6B"/>
    <w:rsid w:val="00436626"/>
    <w:rsid w:val="00461D07"/>
    <w:rsid w:val="004659EE"/>
    <w:rsid w:val="00476A7E"/>
    <w:rsid w:val="00481BD2"/>
    <w:rsid w:val="00492440"/>
    <w:rsid w:val="004C32E2"/>
    <w:rsid w:val="004D00F4"/>
    <w:rsid w:val="004D5E45"/>
    <w:rsid w:val="004E67DE"/>
    <w:rsid w:val="00520A86"/>
    <w:rsid w:val="005340A6"/>
    <w:rsid w:val="00552FBC"/>
    <w:rsid w:val="00557F65"/>
    <w:rsid w:val="005611F4"/>
    <w:rsid w:val="0057672E"/>
    <w:rsid w:val="0058339C"/>
    <w:rsid w:val="0059350F"/>
    <w:rsid w:val="005A4749"/>
    <w:rsid w:val="005C723C"/>
    <w:rsid w:val="005C7432"/>
    <w:rsid w:val="005D62F0"/>
    <w:rsid w:val="005E76E4"/>
    <w:rsid w:val="005F3B55"/>
    <w:rsid w:val="00610A38"/>
    <w:rsid w:val="00631663"/>
    <w:rsid w:val="00647CC9"/>
    <w:rsid w:val="0066643F"/>
    <w:rsid w:val="006725EF"/>
    <w:rsid w:val="00674E1D"/>
    <w:rsid w:val="006830C3"/>
    <w:rsid w:val="006A31D6"/>
    <w:rsid w:val="006A5062"/>
    <w:rsid w:val="006C7828"/>
    <w:rsid w:val="006D2F6B"/>
    <w:rsid w:val="00707D78"/>
    <w:rsid w:val="007347A7"/>
    <w:rsid w:val="007370DC"/>
    <w:rsid w:val="007375B4"/>
    <w:rsid w:val="00752390"/>
    <w:rsid w:val="007542FA"/>
    <w:rsid w:val="007B0189"/>
    <w:rsid w:val="007D407C"/>
    <w:rsid w:val="007D4779"/>
    <w:rsid w:val="007E21B0"/>
    <w:rsid w:val="00811735"/>
    <w:rsid w:val="00821938"/>
    <w:rsid w:val="00821D7F"/>
    <w:rsid w:val="008300DD"/>
    <w:rsid w:val="00837137"/>
    <w:rsid w:val="00846E51"/>
    <w:rsid w:val="00867888"/>
    <w:rsid w:val="008679D5"/>
    <w:rsid w:val="00896B58"/>
    <w:rsid w:val="008A01DA"/>
    <w:rsid w:val="008B5D28"/>
    <w:rsid w:val="00902FFB"/>
    <w:rsid w:val="00915ADE"/>
    <w:rsid w:val="0093040B"/>
    <w:rsid w:val="00930C91"/>
    <w:rsid w:val="00932E67"/>
    <w:rsid w:val="00937D6F"/>
    <w:rsid w:val="00942026"/>
    <w:rsid w:val="009453EC"/>
    <w:rsid w:val="009646B8"/>
    <w:rsid w:val="009956FE"/>
    <w:rsid w:val="00997CD0"/>
    <w:rsid w:val="009B1640"/>
    <w:rsid w:val="009B454E"/>
    <w:rsid w:val="009B7107"/>
    <w:rsid w:val="009E2D26"/>
    <w:rsid w:val="00A112C4"/>
    <w:rsid w:val="00A150B8"/>
    <w:rsid w:val="00A1525D"/>
    <w:rsid w:val="00A537BA"/>
    <w:rsid w:val="00A80B23"/>
    <w:rsid w:val="00A93BF6"/>
    <w:rsid w:val="00A967A3"/>
    <w:rsid w:val="00AB0078"/>
    <w:rsid w:val="00AB3505"/>
    <w:rsid w:val="00AC1830"/>
    <w:rsid w:val="00AD7D38"/>
    <w:rsid w:val="00AE1CAD"/>
    <w:rsid w:val="00AE2FBD"/>
    <w:rsid w:val="00AE3C70"/>
    <w:rsid w:val="00AF0BBA"/>
    <w:rsid w:val="00AF47AF"/>
    <w:rsid w:val="00B06296"/>
    <w:rsid w:val="00B10319"/>
    <w:rsid w:val="00B2157A"/>
    <w:rsid w:val="00B21795"/>
    <w:rsid w:val="00B26872"/>
    <w:rsid w:val="00B36AF4"/>
    <w:rsid w:val="00B41802"/>
    <w:rsid w:val="00B53B59"/>
    <w:rsid w:val="00B734D8"/>
    <w:rsid w:val="00BF2C6A"/>
    <w:rsid w:val="00C0648C"/>
    <w:rsid w:val="00C06492"/>
    <w:rsid w:val="00C36B48"/>
    <w:rsid w:val="00C63CC4"/>
    <w:rsid w:val="00C674D2"/>
    <w:rsid w:val="00C7526B"/>
    <w:rsid w:val="00C77B0A"/>
    <w:rsid w:val="00C91C8E"/>
    <w:rsid w:val="00C9357A"/>
    <w:rsid w:val="00C96960"/>
    <w:rsid w:val="00C97BE1"/>
    <w:rsid w:val="00CA0BAD"/>
    <w:rsid w:val="00CA26FB"/>
    <w:rsid w:val="00CA2D6E"/>
    <w:rsid w:val="00CC2E0C"/>
    <w:rsid w:val="00CE5293"/>
    <w:rsid w:val="00CE7597"/>
    <w:rsid w:val="00CF3F40"/>
    <w:rsid w:val="00D03B0C"/>
    <w:rsid w:val="00D21886"/>
    <w:rsid w:val="00D353EF"/>
    <w:rsid w:val="00D441BF"/>
    <w:rsid w:val="00D4537E"/>
    <w:rsid w:val="00D56F59"/>
    <w:rsid w:val="00D63F95"/>
    <w:rsid w:val="00D66148"/>
    <w:rsid w:val="00D731BD"/>
    <w:rsid w:val="00D9630F"/>
    <w:rsid w:val="00DA09ED"/>
    <w:rsid w:val="00DA4480"/>
    <w:rsid w:val="00DA46CF"/>
    <w:rsid w:val="00DB037A"/>
    <w:rsid w:val="00DB59F0"/>
    <w:rsid w:val="00DD7043"/>
    <w:rsid w:val="00DE43E6"/>
    <w:rsid w:val="00DE75EB"/>
    <w:rsid w:val="00DF012D"/>
    <w:rsid w:val="00DF0245"/>
    <w:rsid w:val="00DF695B"/>
    <w:rsid w:val="00E0546F"/>
    <w:rsid w:val="00E061B8"/>
    <w:rsid w:val="00E14A54"/>
    <w:rsid w:val="00E434FA"/>
    <w:rsid w:val="00E6596F"/>
    <w:rsid w:val="00E8123C"/>
    <w:rsid w:val="00EA1B8A"/>
    <w:rsid w:val="00EB70CE"/>
    <w:rsid w:val="00EF2574"/>
    <w:rsid w:val="00F05C79"/>
    <w:rsid w:val="00F3358A"/>
    <w:rsid w:val="00F4123D"/>
    <w:rsid w:val="00F536D7"/>
    <w:rsid w:val="00F63E85"/>
    <w:rsid w:val="00F74884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1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38bb1c8-5c99-4561-a624-a5e6628d94c9" xsi:nil="true"/>
    <Section xmlns="b38bb1c8-5c99-4561-a624-a5e6628d94c9">
      <Value>Running a school</Value>
    </Section>
    <Publisheddate xmlns="b38bb1c8-5c99-4561-a624-a5e6628d94c9" xsi:nil="true"/>
    <Relates_x0020_to xmlns="01d31f61-9245-4fcb-8ab0-90be871bbbe7">
      <Value>School leaders</Value>
      <Value>Teachers</Value>
      <Value>Business managers</Value>
      <Value>School Support</Value>
      <Value>ESO staff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School support</Value>
      <Value>ESO staff</Value>
    </Targeted_x0020_audience>
    <Function xmlns="b38bb1c8-5c99-4561-a624-a5e6628d94c9" xsi:nil="true"/>
    <Purpose xmlns="b38bb1c8-5c99-4561-a624-a5e6628d9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98101dc79f2a0fae5b1d3b60aaf0d062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7900c4401892b2e20681cbd335a3b76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1D836-A407-4A0B-80C7-8D5C98C90BAB}">
  <ds:schemaRefs>
    <ds:schemaRef ds:uri="http://purl.org/dc/dcmitype/"/>
    <ds:schemaRef ds:uri="http://purl.org/dc/elements/1.1/"/>
    <ds:schemaRef ds:uri="http://schemas.microsoft.com/office/2006/metadata/properties"/>
    <ds:schemaRef ds:uri="b38bb1c8-5c99-4561-a624-a5e6628d94c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d31f61-9245-4fcb-8ab0-90be871bbbe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808890-420E-43C2-A598-1F30DE6F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EF59A-4CC0-44E0-AC62-BBCFBEAB0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- Impact Report v07Dec2020</vt:lpstr>
    </vt:vector>
  </TitlesOfParts>
  <Company>ACT Government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- Impact Report v07Dec2020</dc:title>
  <dc:subject/>
  <dc:creator>ACT Education Directorate</dc:creator>
  <cp:keywords>School improvement</cp:keywords>
  <dc:description/>
  <cp:lastModifiedBy>Page, Jennifer</cp:lastModifiedBy>
  <cp:revision>55</cp:revision>
  <cp:lastPrinted>2018-11-20T01:48:00Z</cp:lastPrinted>
  <dcterms:created xsi:type="dcterms:W3CDTF">2020-12-18T22:49:00Z</dcterms:created>
  <dcterms:modified xsi:type="dcterms:W3CDTF">2021-02-19T05:14:00Z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