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32ADC81A" w:rsidR="00FE1945" w:rsidRPr="00563A3D" w:rsidRDefault="00D45792" w:rsidP="00FE1945">
          <w:pPr>
            <w:rPr>
              <w:rStyle w:val="SchoolName"/>
              <w:color w:val="1F4E79"/>
            </w:rPr>
          </w:pPr>
          <w:r>
            <w:rPr>
              <w:rStyle w:val="SchoolName"/>
              <w:color w:val="1F4E79"/>
            </w:rPr>
            <w:t>Mount Rogers Primary School</w:t>
          </w:r>
        </w:p>
      </w:sdtContent>
    </w:sdt>
    <w:p w14:paraId="63330FCF" w14:textId="3C1FA780"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D45792">
            <w:t>Belconnen</w:t>
          </w:r>
        </w:sdtContent>
      </w:sdt>
    </w:p>
    <w:p w14:paraId="38F253B0" w14:textId="5518BA17" w:rsidR="00FE1945" w:rsidRDefault="00846E51" w:rsidP="00FE1945">
      <w:pPr>
        <w:pStyle w:val="Title"/>
        <w:jc w:val="left"/>
      </w:pPr>
      <w:r>
        <w:t>Impact</w:t>
      </w:r>
      <w:r w:rsidR="00FE1945" w:rsidRPr="005F3926">
        <w:t xml:space="preserve"> </w:t>
      </w:r>
      <w:r w:rsidR="00B10319">
        <w:t xml:space="preserve">Report </w:t>
      </w:r>
      <w:r w:rsidR="00FE1945">
        <w:t>20</w:t>
      </w:r>
      <w:r w:rsidR="00D45792">
        <w:t>20</w:t>
      </w:r>
    </w:p>
    <w:p w14:paraId="43815876" w14:textId="77777777" w:rsidR="00E434FA" w:rsidRPr="001B2E33" w:rsidRDefault="00E434FA" w:rsidP="001B2E33">
      <w:pPr>
        <w:pStyle w:val="Heading1"/>
      </w:pPr>
      <w:r w:rsidRPr="001B2E33">
        <w:t>The purpose of this document</w:t>
      </w:r>
    </w:p>
    <w:p w14:paraId="542B7252" w14:textId="1A0D060C"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p>
    <w:p w14:paraId="4C974366" w14:textId="1F123F24"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1D7760C0" w14:textId="579A810E" w:rsidR="00300F72" w:rsidRDefault="00300F72" w:rsidP="00300F72">
      <w:pPr>
        <w:pStyle w:val="BodyText"/>
      </w:pPr>
    </w:p>
    <w:p w14:paraId="0E4AE3ED" w14:textId="2D8D2D81" w:rsidR="00846E51" w:rsidRPr="000E0345" w:rsidRDefault="00300F72" w:rsidP="00132917">
      <w:pPr>
        <w:pStyle w:val="BodyText"/>
        <w:rPr>
          <w:b/>
          <w:bCs/>
        </w:rPr>
      </w:pPr>
      <w:r w:rsidRPr="00132917">
        <w:t>In 20</w:t>
      </w:r>
      <w:r w:rsidR="00396C89">
        <w:t>20</w:t>
      </w:r>
      <w:r w:rsidRPr="00132917">
        <w:t xml:space="preserve"> our school supported this </w:t>
      </w:r>
      <w:r w:rsidR="00E14A54">
        <w:t>S</w:t>
      </w:r>
      <w:r w:rsidRPr="00132917">
        <w:t xml:space="preserve">trategic </w:t>
      </w:r>
      <w:r w:rsidR="00E14A54">
        <w:t>I</w:t>
      </w:r>
      <w:r w:rsidRPr="00132917">
        <w:t xml:space="preserve">ndicator through – </w:t>
      </w:r>
      <w:r w:rsidRPr="000E0345">
        <w:rPr>
          <w:b/>
          <w:bCs/>
        </w:rPr>
        <w:t xml:space="preserve">Priority </w:t>
      </w:r>
      <w:r w:rsidR="00D45792" w:rsidRPr="000E0345">
        <w:rPr>
          <w:b/>
          <w:bCs/>
        </w:rPr>
        <w:t>1</w:t>
      </w:r>
      <w:r w:rsidRPr="000E0345">
        <w:rPr>
          <w:b/>
          <w:bCs/>
        </w:rPr>
        <w:t xml:space="preserve"> </w:t>
      </w:r>
      <w:r w:rsidR="007A1588" w:rsidRPr="000E0345">
        <w:rPr>
          <w:b/>
          <w:bCs/>
        </w:rPr>
        <w:t>Academic growth for all students</w:t>
      </w:r>
    </w:p>
    <w:p w14:paraId="552C99B7" w14:textId="10852B67" w:rsidR="007A1588" w:rsidRDefault="007A1588" w:rsidP="00B70785">
      <w:pPr>
        <w:pStyle w:val="NumberedList"/>
        <w:numPr>
          <w:ilvl w:val="0"/>
          <w:numId w:val="24"/>
        </w:numPr>
        <w:spacing w:line="240" w:lineRule="auto"/>
      </w:pPr>
      <w:bookmarkStart w:id="0" w:name="_Hlk62208588"/>
      <w:r>
        <w:t>Develop and expert teaching team</w:t>
      </w:r>
    </w:p>
    <w:p w14:paraId="2B11D5A0" w14:textId="39ABD7DE" w:rsidR="007A1588" w:rsidRDefault="007A1588" w:rsidP="00B70785">
      <w:pPr>
        <w:pStyle w:val="NumberedList"/>
        <w:numPr>
          <w:ilvl w:val="0"/>
          <w:numId w:val="24"/>
        </w:numPr>
        <w:spacing w:line="240" w:lineRule="auto"/>
      </w:pPr>
      <w:r>
        <w:t>Closely monitor progress of individual students and continually adjust teaching in response to progress individuals are making.</w:t>
      </w:r>
    </w:p>
    <w:p w14:paraId="1C1770DA" w14:textId="04BBADEA" w:rsidR="007A1588" w:rsidRDefault="007A1588" w:rsidP="00132917">
      <w:pPr>
        <w:pStyle w:val="NumberedList"/>
        <w:numPr>
          <w:ilvl w:val="0"/>
          <w:numId w:val="24"/>
        </w:numPr>
        <w:spacing w:line="240" w:lineRule="auto"/>
      </w:pPr>
      <w:r>
        <w:t>Develop staff capabilities to analyse, display and communicate data on individual and class performance and progress.</w:t>
      </w:r>
    </w:p>
    <w:bookmarkEnd w:id="0"/>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FEBBC5D" w:rsidR="00B10319" w:rsidRDefault="00B10319" w:rsidP="001B2E33">
      <w:pPr>
        <w:pStyle w:val="BodyText"/>
        <w:rPr>
          <w:i/>
        </w:rPr>
      </w:pPr>
      <w:r w:rsidRPr="001B2E33">
        <w:rPr>
          <w:i/>
        </w:rPr>
        <w:t>To facilitate high quality teaching in ACT public schools and strengthen educational outcomes.</w:t>
      </w:r>
    </w:p>
    <w:p w14:paraId="01A60D29" w14:textId="77777777" w:rsidR="007A1588" w:rsidRDefault="007A1588" w:rsidP="001B2E33">
      <w:pPr>
        <w:pStyle w:val="BodyText"/>
        <w:rPr>
          <w:i/>
        </w:rPr>
      </w:pPr>
    </w:p>
    <w:p w14:paraId="509C744A" w14:textId="27088981" w:rsidR="007A1588" w:rsidRPr="000E0345" w:rsidRDefault="00300F72" w:rsidP="00132917">
      <w:pPr>
        <w:pStyle w:val="BodyText"/>
        <w:rPr>
          <w:b/>
          <w:bCs/>
        </w:rPr>
      </w:pPr>
      <w:r w:rsidRPr="00132917">
        <w:t>In 20</w:t>
      </w:r>
      <w:r w:rsidR="00396C89">
        <w:t>20</w:t>
      </w:r>
      <w:r w:rsidRPr="00132917">
        <w:t xml:space="preserve"> our school supported this </w:t>
      </w:r>
      <w:r w:rsidR="00E14A54">
        <w:t>S</w:t>
      </w:r>
      <w:r w:rsidRPr="00132917">
        <w:t xml:space="preserve">trategic </w:t>
      </w:r>
      <w:r w:rsidR="00E14A54">
        <w:t>I</w:t>
      </w:r>
      <w:r w:rsidRPr="00132917">
        <w:t xml:space="preserve">ndicator through – </w:t>
      </w:r>
      <w:r w:rsidRPr="000E0345">
        <w:rPr>
          <w:b/>
          <w:bCs/>
        </w:rPr>
        <w:t xml:space="preserve">Priority </w:t>
      </w:r>
      <w:r w:rsidR="00396C89" w:rsidRPr="000E0345">
        <w:rPr>
          <w:b/>
          <w:bCs/>
        </w:rPr>
        <w:t>1</w:t>
      </w:r>
      <w:r w:rsidRPr="000E0345">
        <w:rPr>
          <w:b/>
          <w:bCs/>
        </w:rPr>
        <w:t xml:space="preserve"> </w:t>
      </w:r>
      <w:r w:rsidR="007A1588" w:rsidRPr="000E0345">
        <w:rPr>
          <w:b/>
          <w:bCs/>
        </w:rPr>
        <w:t>Academic growth for all students</w:t>
      </w:r>
    </w:p>
    <w:p w14:paraId="523D65AC" w14:textId="77777777" w:rsidR="00B70785" w:rsidRDefault="00B70785" w:rsidP="00B70785">
      <w:pPr>
        <w:pStyle w:val="NumberedList"/>
        <w:numPr>
          <w:ilvl w:val="0"/>
          <w:numId w:val="24"/>
        </w:numPr>
        <w:spacing w:line="240" w:lineRule="auto"/>
      </w:pPr>
      <w:r>
        <w:t>Develop and expert teaching team</w:t>
      </w:r>
    </w:p>
    <w:p w14:paraId="187252AD" w14:textId="77777777" w:rsidR="00B70785" w:rsidRDefault="00B70785" w:rsidP="00B70785">
      <w:pPr>
        <w:pStyle w:val="NumberedList"/>
        <w:numPr>
          <w:ilvl w:val="0"/>
          <w:numId w:val="24"/>
        </w:numPr>
        <w:spacing w:line="240" w:lineRule="auto"/>
      </w:pPr>
      <w:r>
        <w:t>Closely monitor progress of individual students and continually adjust teaching in response to progress individuals are making.</w:t>
      </w:r>
    </w:p>
    <w:p w14:paraId="74DA6C7E" w14:textId="77777777" w:rsidR="00B70785" w:rsidRPr="000F0410" w:rsidRDefault="00B70785" w:rsidP="00B70785">
      <w:pPr>
        <w:pStyle w:val="NumberedList"/>
        <w:numPr>
          <w:ilvl w:val="0"/>
          <w:numId w:val="24"/>
        </w:numPr>
        <w:spacing w:line="240" w:lineRule="auto"/>
      </w:pPr>
      <w:r>
        <w:t>Develop staff capabilities to analyse, display and communicate data on individual and class performance and progress.</w:t>
      </w:r>
    </w:p>
    <w:p w14:paraId="7A812012" w14:textId="77777777" w:rsidR="00B70785" w:rsidRDefault="00B70785" w:rsidP="00B70785">
      <w:pPr>
        <w:pStyle w:val="BodyText"/>
      </w:pPr>
    </w:p>
    <w:p w14:paraId="0D8FE911" w14:textId="2F0B8AD4" w:rsidR="00B70785" w:rsidRDefault="00B70785" w:rsidP="00132917">
      <w:pPr>
        <w:pStyle w:val="BodyText"/>
      </w:pPr>
    </w:p>
    <w:p w14:paraId="68D9AFEB" w14:textId="77777777" w:rsidR="00391B00" w:rsidRPr="00132917" w:rsidRDefault="00391B00" w:rsidP="00132917">
      <w:pPr>
        <w:pStyle w:val="BodyText"/>
      </w:pPr>
    </w:p>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lastRenderedPageBreak/>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00CB48B2" w14:textId="102FC10F" w:rsidR="00300F72" w:rsidRDefault="00300F72" w:rsidP="00300F72">
      <w:pPr>
        <w:pStyle w:val="BodyText"/>
      </w:pPr>
    </w:p>
    <w:p w14:paraId="6B398A53" w14:textId="2ADD3945" w:rsidR="00300F72" w:rsidRPr="000E0345" w:rsidRDefault="00300F72" w:rsidP="00132917">
      <w:pPr>
        <w:pStyle w:val="BodyText"/>
        <w:rPr>
          <w:b/>
          <w:bCs/>
        </w:rPr>
      </w:pPr>
      <w:r w:rsidRPr="00132917">
        <w:t>In 20</w:t>
      </w:r>
      <w:r w:rsidR="00396C89">
        <w:t>20</w:t>
      </w:r>
      <w:r w:rsidRPr="00132917">
        <w:t xml:space="preserve"> our school supported this </w:t>
      </w:r>
      <w:r w:rsidR="00E14A54">
        <w:t>S</w:t>
      </w:r>
      <w:r w:rsidRPr="00132917">
        <w:t xml:space="preserve">trategic </w:t>
      </w:r>
      <w:r w:rsidR="00E14A54">
        <w:t>I</w:t>
      </w:r>
      <w:r w:rsidRPr="00132917">
        <w:t xml:space="preserve">ndicator through – </w:t>
      </w:r>
      <w:r w:rsidRPr="000E0345">
        <w:rPr>
          <w:b/>
          <w:bCs/>
        </w:rPr>
        <w:t xml:space="preserve">Priority </w:t>
      </w:r>
      <w:r w:rsidR="00396C89" w:rsidRPr="000E0345">
        <w:rPr>
          <w:b/>
          <w:bCs/>
        </w:rPr>
        <w:t>1</w:t>
      </w:r>
      <w:r w:rsidRPr="000E0345">
        <w:rPr>
          <w:b/>
          <w:bCs/>
        </w:rPr>
        <w:t xml:space="preserve"> </w:t>
      </w:r>
      <w:r w:rsidR="007A1588" w:rsidRPr="000E0345">
        <w:rPr>
          <w:b/>
          <w:bCs/>
        </w:rPr>
        <w:t>Academic growth for all students</w:t>
      </w:r>
    </w:p>
    <w:p w14:paraId="03EADA73" w14:textId="63CB11BE" w:rsidR="000E0345" w:rsidRDefault="000E0345" w:rsidP="00132917">
      <w:pPr>
        <w:pStyle w:val="BodyText"/>
      </w:pPr>
    </w:p>
    <w:p w14:paraId="21E2C5E7" w14:textId="77777777" w:rsidR="000E0345" w:rsidRDefault="000E0345" w:rsidP="000E0345">
      <w:pPr>
        <w:pStyle w:val="NumberedList"/>
        <w:numPr>
          <w:ilvl w:val="0"/>
          <w:numId w:val="24"/>
        </w:numPr>
        <w:spacing w:line="240" w:lineRule="auto"/>
      </w:pPr>
      <w:r>
        <w:t>Develop and expert teaching team</w:t>
      </w:r>
    </w:p>
    <w:p w14:paraId="13CF05EA" w14:textId="77777777" w:rsidR="000E0345" w:rsidRDefault="000E0345" w:rsidP="000E0345">
      <w:pPr>
        <w:pStyle w:val="NumberedList"/>
        <w:numPr>
          <w:ilvl w:val="0"/>
          <w:numId w:val="24"/>
        </w:numPr>
        <w:spacing w:line="240" w:lineRule="auto"/>
      </w:pPr>
      <w:r>
        <w:t>Closely monitor progress of individual students and continually adjust teaching in response to progress individuals are making.</w:t>
      </w:r>
    </w:p>
    <w:p w14:paraId="5153DD02" w14:textId="7E4ADA1C" w:rsidR="00BC4D96" w:rsidRDefault="000E0345" w:rsidP="000E0345">
      <w:pPr>
        <w:pStyle w:val="NumberedList"/>
        <w:numPr>
          <w:ilvl w:val="0"/>
          <w:numId w:val="24"/>
        </w:numPr>
        <w:spacing w:line="240" w:lineRule="auto"/>
      </w:pPr>
      <w:r>
        <w:t>Develop staff capabilities to analyse, display and communicate data on individual and class performance and progress.</w:t>
      </w:r>
    </w:p>
    <w:p w14:paraId="0E4EF428" w14:textId="77777777" w:rsidR="00BC4D96" w:rsidRDefault="00BC4D96" w:rsidP="00BC4D96">
      <w:pPr>
        <w:pStyle w:val="ListBullet"/>
        <w:numPr>
          <w:ilvl w:val="0"/>
          <w:numId w:val="0"/>
        </w:numPr>
      </w:pPr>
    </w:p>
    <w:p w14:paraId="3F0D6D57" w14:textId="77777777" w:rsidR="00BC4D96" w:rsidRPr="00BC4D96" w:rsidRDefault="00BC4D96" w:rsidP="00BC4D96">
      <w:pPr>
        <w:keepNext/>
        <w:keepLines/>
        <w:spacing w:before="240" w:after="240" w:line="240" w:lineRule="auto"/>
        <w:outlineLvl w:val="0"/>
        <w:rPr>
          <w:rFonts w:ascii="Arial" w:eastAsiaTheme="majorEastAsia" w:hAnsi="Arial" w:cs="Arial"/>
          <w:color w:val="1F4E79" w:themeColor="accent1" w:themeShade="80"/>
          <w:sz w:val="28"/>
          <w:szCs w:val="32"/>
        </w:rPr>
      </w:pPr>
      <w:r w:rsidRPr="00BC4D96">
        <w:rPr>
          <w:rFonts w:ascii="Arial" w:eastAsiaTheme="majorEastAsia" w:hAnsi="Arial" w:cs="Arial"/>
          <w:color w:val="1F4E79" w:themeColor="accent1" w:themeShade="80"/>
          <w:sz w:val="28"/>
          <w:szCs w:val="32"/>
        </w:rPr>
        <w:t>Changes affecting our school’s annual planning</w:t>
      </w:r>
    </w:p>
    <w:p w14:paraId="1034823D" w14:textId="50437D0C" w:rsidR="00BC4D96" w:rsidRDefault="00BC4D96" w:rsidP="00450480">
      <w:pPr>
        <w:spacing w:after="0" w:line="240" w:lineRule="auto"/>
        <w:ind w:left="720" w:hanging="360"/>
        <w:contextualSpacing/>
      </w:pPr>
      <w:r w:rsidRPr="00BC4D96">
        <w:t xml:space="preserve">A challenge for the school </w:t>
      </w:r>
      <w:r>
        <w:t>has been the national impact of Covid19.</w:t>
      </w:r>
      <w:bookmarkStart w:id="1" w:name="_Hlk32922845"/>
    </w:p>
    <w:p w14:paraId="482116EA" w14:textId="223F4423" w:rsidR="00450480" w:rsidRDefault="00450480" w:rsidP="00450480">
      <w:pPr>
        <w:spacing w:after="0" w:line="240" w:lineRule="auto"/>
        <w:ind w:left="720" w:hanging="360"/>
        <w:contextualSpacing/>
      </w:pPr>
    </w:p>
    <w:p w14:paraId="7025BCAB" w14:textId="77777777" w:rsidR="00450480" w:rsidRPr="00450480" w:rsidRDefault="00450480" w:rsidP="00450480">
      <w:pPr>
        <w:spacing w:after="0" w:line="240" w:lineRule="auto"/>
        <w:ind w:left="720" w:hanging="360"/>
        <w:contextualSpacing/>
      </w:pPr>
    </w:p>
    <w:bookmarkEnd w:id="1"/>
    <w:p w14:paraId="2B93A716" w14:textId="0A6ED895" w:rsidR="00B10319" w:rsidRDefault="004D5E45" w:rsidP="001B2E33">
      <w:pPr>
        <w:pStyle w:val="Heading1"/>
      </w:pPr>
      <w:r>
        <w:t>Reporting against our priorities</w:t>
      </w:r>
    </w:p>
    <w:p w14:paraId="5A7DC0CC" w14:textId="2AD29AC3" w:rsidR="00837137" w:rsidRPr="000F0410" w:rsidRDefault="00837137" w:rsidP="00837137">
      <w:pPr>
        <w:pStyle w:val="Heading2"/>
        <w:tabs>
          <w:tab w:val="clear" w:pos="2410"/>
          <w:tab w:val="left" w:pos="1276"/>
        </w:tabs>
        <w:ind w:left="1276" w:hanging="1276"/>
        <w:rPr>
          <w:color w:val="auto"/>
        </w:rPr>
      </w:pPr>
      <w:r w:rsidRPr="000F0410">
        <w:t>Priority 1:</w:t>
      </w:r>
      <w:r w:rsidR="007A1588">
        <w:rPr>
          <w:color w:val="auto"/>
        </w:rPr>
        <w:t xml:space="preserve"> </w:t>
      </w:r>
      <w:r w:rsidR="00396C89" w:rsidRPr="001522BB">
        <w:rPr>
          <w:b/>
          <w:bCs/>
          <w:color w:val="auto"/>
        </w:rPr>
        <w:t>Academic growth for all students</w:t>
      </w:r>
    </w:p>
    <w:p w14:paraId="255A28BA" w14:textId="77777777" w:rsidR="004D5E45" w:rsidRPr="00837137" w:rsidRDefault="006D2F6B" w:rsidP="00837137">
      <w:pPr>
        <w:pStyle w:val="Heading3"/>
      </w:pPr>
      <w:r w:rsidRPr="00837137">
        <w:t>Targets or measures</w:t>
      </w:r>
    </w:p>
    <w:p w14:paraId="2F59A40E" w14:textId="77777777" w:rsidR="00391B00" w:rsidRDefault="00391B00" w:rsidP="00391B00">
      <w:pPr>
        <w:spacing w:after="200"/>
      </w:pPr>
      <w:r>
        <w:t xml:space="preserve">By the end of 2021 the school will: </w:t>
      </w:r>
    </w:p>
    <w:p w14:paraId="1CF77279" w14:textId="77777777" w:rsidR="00391B00" w:rsidRDefault="00391B00" w:rsidP="00391B00">
      <w:pPr>
        <w:numPr>
          <w:ilvl w:val="0"/>
          <w:numId w:val="25"/>
        </w:numPr>
        <w:spacing w:after="200" w:line="276" w:lineRule="auto"/>
        <w:ind w:hanging="360"/>
        <w:contextualSpacing/>
      </w:pPr>
      <w:r>
        <w:t>achieve NAPLAN targets as set by ED within the confidence range</w:t>
      </w:r>
    </w:p>
    <w:p w14:paraId="5BEF4713" w14:textId="77777777" w:rsidR="00391B00" w:rsidRDefault="00391B00" w:rsidP="00391B00">
      <w:pPr>
        <w:numPr>
          <w:ilvl w:val="0"/>
          <w:numId w:val="26"/>
        </w:numPr>
        <w:spacing w:after="200" w:line="276" w:lineRule="auto"/>
        <w:ind w:hanging="360"/>
        <w:contextualSpacing/>
      </w:pPr>
      <w:r>
        <w:t xml:space="preserve">increase the percentage of students in years 3 and 5 achieving at the proficient range in NAPLAN by 6% points from the 2016 figures  </w:t>
      </w:r>
    </w:p>
    <w:p w14:paraId="058689CF" w14:textId="77777777" w:rsidR="00391B00" w:rsidRDefault="00391B00" w:rsidP="00391B00">
      <w:pPr>
        <w:numPr>
          <w:ilvl w:val="0"/>
          <w:numId w:val="26"/>
        </w:numPr>
        <w:spacing w:after="200" w:line="276" w:lineRule="auto"/>
        <w:ind w:hanging="360"/>
        <w:contextualSpacing/>
      </w:pPr>
      <w:r>
        <w:t>decrease the percentage of students in years 3 and 5 achieving at or below the national Minimum Standard in NAPLAN tests by 2% points from the 2016 figures</w:t>
      </w:r>
    </w:p>
    <w:p w14:paraId="15617EE0" w14:textId="77777777" w:rsidR="00391B00" w:rsidRDefault="00391B00" w:rsidP="00391B00">
      <w:pPr>
        <w:numPr>
          <w:ilvl w:val="0"/>
          <w:numId w:val="26"/>
        </w:numPr>
        <w:spacing w:after="200" w:line="276" w:lineRule="auto"/>
        <w:ind w:hanging="360"/>
        <w:contextualSpacing/>
      </w:pPr>
      <w:r>
        <w:t>decrease the percentage of students making less than expected progress in PIPS reading and Maths by 15% points from the 2016 results</w:t>
      </w:r>
    </w:p>
    <w:p w14:paraId="584D2573" w14:textId="36117845" w:rsidR="00391B00" w:rsidRDefault="00391B00" w:rsidP="00391B00">
      <w:pPr>
        <w:numPr>
          <w:ilvl w:val="0"/>
          <w:numId w:val="26"/>
        </w:numPr>
        <w:spacing w:after="200" w:line="276" w:lineRule="auto"/>
        <w:ind w:hanging="360"/>
        <w:contextualSpacing/>
      </w:pPr>
      <w:r>
        <w:t xml:space="preserve">achieve a 2% point improvement (each year, over the life of the 10 % in total) in the proportion of within school match students achieving expected growth in NAPLAN, based </w:t>
      </w:r>
      <w:proofErr w:type="gramStart"/>
      <w:r>
        <w:t>on  the</w:t>
      </w:r>
      <w:proofErr w:type="gramEnd"/>
      <w:r>
        <w:t xml:space="preserve"> 2016 results.</w:t>
      </w:r>
    </w:p>
    <w:p w14:paraId="0D94D41B" w14:textId="77777777" w:rsidR="00391B00" w:rsidRDefault="00391B00" w:rsidP="00391B00">
      <w:pPr>
        <w:spacing w:after="200" w:line="276" w:lineRule="auto"/>
        <w:ind w:left="720"/>
        <w:contextualSpacing/>
      </w:pPr>
    </w:p>
    <w:p w14:paraId="3886D0E4" w14:textId="50A4A5F5" w:rsidR="00B70785" w:rsidRPr="00450480" w:rsidRDefault="00391B00" w:rsidP="00450480">
      <w:pPr>
        <w:spacing w:after="200"/>
        <w:rPr>
          <w:color w:val="FF0000"/>
        </w:rPr>
      </w:pPr>
      <w:r>
        <w:rPr>
          <w:b/>
          <w:sz w:val="24"/>
          <w:szCs w:val="24"/>
        </w:rPr>
        <w:t xml:space="preserve">National Quality Standard Area covered by this priority: </w:t>
      </w:r>
      <w:r>
        <w:t>QA1 Education Program and Practice</w:t>
      </w:r>
    </w:p>
    <w:p w14:paraId="1319DBFF" w14:textId="660A72B3" w:rsidR="004D5E45" w:rsidRDefault="004D5E45" w:rsidP="00837137">
      <w:pPr>
        <w:pStyle w:val="BodyText"/>
      </w:pPr>
      <w:r w:rsidRPr="00373DC0">
        <w:t>In 20</w:t>
      </w:r>
      <w:r w:rsidR="00C100E4">
        <w:t>20</w:t>
      </w:r>
      <w:r w:rsidRPr="00373DC0">
        <w:t xml:space="preserve"> we </w:t>
      </w:r>
      <w:r w:rsidR="00997CD0">
        <w:t>implemented</w:t>
      </w:r>
      <w:r w:rsidRPr="00373DC0">
        <w:t xml:space="preserve"> this priority throug</w:t>
      </w:r>
      <w:r w:rsidR="00997CD0">
        <w:t xml:space="preserve">h the following </w:t>
      </w:r>
      <w:r w:rsidRPr="00373DC0">
        <w:t>strategies.</w:t>
      </w:r>
    </w:p>
    <w:p w14:paraId="2E29049D" w14:textId="5D0D26BB" w:rsidR="00B70785" w:rsidRDefault="00B70785" w:rsidP="00B70785">
      <w:pPr>
        <w:pStyle w:val="ListBullet"/>
      </w:pPr>
      <w:r>
        <w:t>Reallocating resourcing to allow cohort PLTs and vertical PLTs to research, plan and implement best practice pedagogy plan for learning based on school data</w:t>
      </w:r>
    </w:p>
    <w:p w14:paraId="1A7527B4" w14:textId="77777777" w:rsidR="00B70785" w:rsidRPr="00132917" w:rsidRDefault="00B70785" w:rsidP="00B70785">
      <w:pPr>
        <w:pStyle w:val="ListBullet"/>
      </w:pPr>
      <w:r>
        <w:t>Incorporating remediation and extension of guaranteed skills through RTI/RTN teaching cycles</w:t>
      </w:r>
    </w:p>
    <w:p w14:paraId="097FE4FC" w14:textId="3F8395AA" w:rsidR="000E0345" w:rsidRDefault="00B70785" w:rsidP="009B454E">
      <w:pPr>
        <w:pStyle w:val="ListBullet"/>
      </w:pPr>
      <w:r>
        <w:t>Implementing data cycles of PLC inquir</w:t>
      </w:r>
      <w:r w:rsidR="00450480">
        <w:t>y</w:t>
      </w:r>
    </w:p>
    <w:p w14:paraId="74C36639" w14:textId="77777777" w:rsidR="000E0345" w:rsidRDefault="000E0345" w:rsidP="009B454E">
      <w:pPr>
        <w:pStyle w:val="BodyText"/>
      </w:pPr>
    </w:p>
    <w:p w14:paraId="7DFF073D" w14:textId="00ADB628"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206668F0" w:rsidR="008A01DA" w:rsidRDefault="008A01DA" w:rsidP="00C0648C">
      <w:pPr>
        <w:pStyle w:val="Heading4"/>
      </w:pPr>
      <w:r w:rsidRPr="00C0648C">
        <w:t>Student learning data</w:t>
      </w:r>
    </w:p>
    <w:tbl>
      <w:tblPr>
        <w:tblStyle w:val="TableGrid1"/>
        <w:tblW w:w="9831" w:type="dxa"/>
        <w:jc w:val="center"/>
        <w:tblCellMar>
          <w:top w:w="57" w:type="dxa"/>
          <w:left w:w="57" w:type="dxa"/>
          <w:bottom w:w="57" w:type="dxa"/>
          <w:right w:w="57" w:type="dxa"/>
        </w:tblCellMar>
        <w:tblLook w:val="04A0" w:firstRow="1" w:lastRow="0" w:firstColumn="1" w:lastColumn="0" w:noHBand="0" w:noVBand="1"/>
      </w:tblPr>
      <w:tblGrid>
        <w:gridCol w:w="3114"/>
        <w:gridCol w:w="1855"/>
        <w:gridCol w:w="1032"/>
        <w:gridCol w:w="766"/>
        <w:gridCol w:w="766"/>
        <w:gridCol w:w="766"/>
        <w:gridCol w:w="766"/>
        <w:gridCol w:w="766"/>
      </w:tblGrid>
      <w:tr w:rsidR="00060B89" w14:paraId="39B786FE" w14:textId="77777777" w:rsidTr="00624E8F">
        <w:trPr>
          <w:jc w:val="center"/>
        </w:trPr>
        <w:tc>
          <w:tcPr>
            <w:tcW w:w="3114" w:type="dxa"/>
            <w:shd w:val="clear" w:color="auto" w:fill="auto"/>
          </w:tcPr>
          <w:p w14:paraId="2E301BEE" w14:textId="77777777" w:rsidR="00060B89" w:rsidRPr="00D03B0C" w:rsidRDefault="00060B89" w:rsidP="00624E8F">
            <w:pPr>
              <w:rPr>
                <w:b/>
              </w:rPr>
            </w:pPr>
            <w:r w:rsidRPr="00D03B0C">
              <w:rPr>
                <w:b/>
              </w:rPr>
              <w:t>Targets or Measures</w:t>
            </w:r>
          </w:p>
        </w:tc>
        <w:tc>
          <w:tcPr>
            <w:tcW w:w="1855" w:type="dxa"/>
          </w:tcPr>
          <w:p w14:paraId="06AC425F" w14:textId="77777777" w:rsidR="00060B89" w:rsidRPr="00D03B0C" w:rsidRDefault="00060B89" w:rsidP="00624E8F">
            <w:pPr>
              <w:jc w:val="center"/>
              <w:rPr>
                <w:b/>
              </w:rPr>
            </w:pPr>
            <w:r>
              <w:rPr>
                <w:b/>
              </w:rPr>
              <w:t>Measure</w:t>
            </w:r>
          </w:p>
        </w:tc>
        <w:tc>
          <w:tcPr>
            <w:tcW w:w="1032" w:type="dxa"/>
          </w:tcPr>
          <w:p w14:paraId="197ADFE0" w14:textId="77777777" w:rsidR="00060B89" w:rsidRPr="00D03B0C" w:rsidRDefault="00060B89" w:rsidP="00624E8F">
            <w:pPr>
              <w:jc w:val="center"/>
              <w:rPr>
                <w:b/>
              </w:rPr>
            </w:pPr>
          </w:p>
        </w:tc>
        <w:tc>
          <w:tcPr>
            <w:tcW w:w="766" w:type="dxa"/>
            <w:shd w:val="clear" w:color="auto" w:fill="auto"/>
          </w:tcPr>
          <w:p w14:paraId="19EB520B" w14:textId="77777777" w:rsidR="00060B89" w:rsidRPr="00D03B0C" w:rsidRDefault="00060B89" w:rsidP="00624E8F">
            <w:pPr>
              <w:jc w:val="center"/>
              <w:rPr>
                <w:b/>
              </w:rPr>
            </w:pPr>
            <w:r>
              <w:rPr>
                <w:b/>
              </w:rPr>
              <w:t>2016</w:t>
            </w:r>
          </w:p>
        </w:tc>
        <w:tc>
          <w:tcPr>
            <w:tcW w:w="766" w:type="dxa"/>
            <w:shd w:val="clear" w:color="auto" w:fill="auto"/>
          </w:tcPr>
          <w:p w14:paraId="73B73647" w14:textId="77777777" w:rsidR="00060B89" w:rsidRPr="00D03B0C" w:rsidRDefault="00060B89" w:rsidP="00624E8F">
            <w:pPr>
              <w:jc w:val="center"/>
              <w:rPr>
                <w:b/>
              </w:rPr>
            </w:pPr>
            <w:r>
              <w:rPr>
                <w:b/>
              </w:rPr>
              <w:t>2017</w:t>
            </w:r>
          </w:p>
        </w:tc>
        <w:tc>
          <w:tcPr>
            <w:tcW w:w="766" w:type="dxa"/>
            <w:shd w:val="clear" w:color="auto" w:fill="auto"/>
          </w:tcPr>
          <w:p w14:paraId="56AA2A2B" w14:textId="77777777" w:rsidR="00060B89" w:rsidRPr="00D03B0C" w:rsidRDefault="00060B89" w:rsidP="00624E8F">
            <w:pPr>
              <w:jc w:val="center"/>
              <w:rPr>
                <w:b/>
              </w:rPr>
            </w:pPr>
            <w:r>
              <w:rPr>
                <w:b/>
              </w:rPr>
              <w:t>2018</w:t>
            </w:r>
          </w:p>
        </w:tc>
        <w:tc>
          <w:tcPr>
            <w:tcW w:w="766" w:type="dxa"/>
            <w:shd w:val="clear" w:color="auto" w:fill="auto"/>
          </w:tcPr>
          <w:p w14:paraId="59208E82" w14:textId="77777777" w:rsidR="00060B89" w:rsidRPr="00D03B0C" w:rsidRDefault="00060B89" w:rsidP="00624E8F">
            <w:pPr>
              <w:jc w:val="center"/>
              <w:rPr>
                <w:b/>
              </w:rPr>
            </w:pPr>
            <w:r>
              <w:rPr>
                <w:b/>
              </w:rPr>
              <w:t>2019</w:t>
            </w:r>
          </w:p>
        </w:tc>
        <w:tc>
          <w:tcPr>
            <w:tcW w:w="766" w:type="dxa"/>
            <w:shd w:val="clear" w:color="auto" w:fill="auto"/>
          </w:tcPr>
          <w:p w14:paraId="5107F7BA" w14:textId="77777777" w:rsidR="00060B89" w:rsidRPr="00D03B0C" w:rsidRDefault="00060B89" w:rsidP="00624E8F">
            <w:pPr>
              <w:jc w:val="center"/>
              <w:rPr>
                <w:b/>
              </w:rPr>
            </w:pPr>
            <w:r>
              <w:rPr>
                <w:b/>
              </w:rPr>
              <w:t>2020</w:t>
            </w:r>
          </w:p>
        </w:tc>
      </w:tr>
      <w:tr w:rsidR="00060B89" w14:paraId="41A37F94" w14:textId="77777777" w:rsidTr="00624E8F">
        <w:trPr>
          <w:jc w:val="center"/>
        </w:trPr>
        <w:tc>
          <w:tcPr>
            <w:tcW w:w="3114" w:type="dxa"/>
            <w:vMerge w:val="restart"/>
            <w:shd w:val="clear" w:color="auto" w:fill="auto"/>
          </w:tcPr>
          <w:p w14:paraId="50C291BE" w14:textId="77777777" w:rsidR="00060B89" w:rsidRPr="00D03B0C" w:rsidRDefault="00060B89" w:rsidP="00624E8F">
            <w:pPr>
              <w:pStyle w:val="PlainText"/>
            </w:pPr>
            <w:r>
              <w:t xml:space="preserve">Increase the percentage of students in Years 3 and 5 achieving at the proficient range in NAPLAN by 6% points from the 2016 figures </w:t>
            </w:r>
          </w:p>
        </w:tc>
        <w:tc>
          <w:tcPr>
            <w:tcW w:w="1855" w:type="dxa"/>
            <w:vMerge w:val="restart"/>
          </w:tcPr>
          <w:p w14:paraId="535E0D33" w14:textId="77777777" w:rsidR="00060B89" w:rsidRPr="00D03B0C" w:rsidRDefault="00060B89" w:rsidP="00624E8F">
            <w:r>
              <w:t>% of students at or above minimum standard</w:t>
            </w:r>
          </w:p>
        </w:tc>
        <w:tc>
          <w:tcPr>
            <w:tcW w:w="1032" w:type="dxa"/>
          </w:tcPr>
          <w:p w14:paraId="5A2D3BF0" w14:textId="77777777" w:rsidR="00060B89" w:rsidRDefault="00060B89" w:rsidP="00624E8F">
            <w:r>
              <w:t>Year 3</w:t>
            </w:r>
          </w:p>
          <w:p w14:paraId="14613AEF" w14:textId="77777777" w:rsidR="00060B89" w:rsidRPr="00D03B0C" w:rsidRDefault="00060B89" w:rsidP="00624E8F">
            <w:r>
              <w:t>Number</w:t>
            </w:r>
          </w:p>
        </w:tc>
        <w:tc>
          <w:tcPr>
            <w:tcW w:w="766" w:type="dxa"/>
            <w:shd w:val="clear" w:color="auto" w:fill="auto"/>
          </w:tcPr>
          <w:p w14:paraId="711EA702" w14:textId="77777777" w:rsidR="00060B89" w:rsidRPr="00D03B0C" w:rsidRDefault="00060B89" w:rsidP="00624E8F">
            <w:r>
              <w:t>99%</w:t>
            </w:r>
          </w:p>
        </w:tc>
        <w:tc>
          <w:tcPr>
            <w:tcW w:w="766" w:type="dxa"/>
            <w:shd w:val="clear" w:color="auto" w:fill="auto"/>
          </w:tcPr>
          <w:p w14:paraId="3FF9DCCE" w14:textId="77777777" w:rsidR="00060B89" w:rsidRPr="00D03B0C" w:rsidRDefault="00060B89" w:rsidP="00624E8F">
            <w:r>
              <w:t>92%</w:t>
            </w:r>
          </w:p>
        </w:tc>
        <w:tc>
          <w:tcPr>
            <w:tcW w:w="766" w:type="dxa"/>
            <w:shd w:val="clear" w:color="auto" w:fill="auto"/>
          </w:tcPr>
          <w:p w14:paraId="6F98A605" w14:textId="77777777" w:rsidR="00060B89" w:rsidRPr="00D03B0C" w:rsidRDefault="00060B89" w:rsidP="00624E8F">
            <w:r>
              <w:t>94%</w:t>
            </w:r>
          </w:p>
        </w:tc>
        <w:tc>
          <w:tcPr>
            <w:tcW w:w="766" w:type="dxa"/>
            <w:shd w:val="clear" w:color="auto" w:fill="auto"/>
          </w:tcPr>
          <w:p w14:paraId="4E261031" w14:textId="77777777" w:rsidR="00060B89" w:rsidRDefault="00060B89" w:rsidP="00624E8F">
            <w:r>
              <w:t>97%</w:t>
            </w:r>
          </w:p>
          <w:p w14:paraId="254803BD" w14:textId="77777777" w:rsidR="00060B89" w:rsidRPr="00D03B0C" w:rsidRDefault="00060B89" w:rsidP="00624E8F"/>
        </w:tc>
        <w:tc>
          <w:tcPr>
            <w:tcW w:w="766" w:type="dxa"/>
            <w:shd w:val="clear" w:color="auto" w:fill="auto"/>
          </w:tcPr>
          <w:p w14:paraId="0CE8ED4A" w14:textId="471E6E0B" w:rsidR="00060B89" w:rsidRDefault="00E21F0E" w:rsidP="00624E8F">
            <w:r>
              <w:t>N/A</w:t>
            </w:r>
          </w:p>
          <w:p w14:paraId="56C43EA1" w14:textId="1C757EAB" w:rsidR="00060B89" w:rsidRPr="00D03B0C" w:rsidRDefault="00060B89" w:rsidP="00624E8F">
            <w:r>
              <w:t>C-19</w:t>
            </w:r>
          </w:p>
        </w:tc>
      </w:tr>
      <w:tr w:rsidR="00060B89" w14:paraId="65CCB84E" w14:textId="77777777" w:rsidTr="00624E8F">
        <w:trPr>
          <w:jc w:val="center"/>
        </w:trPr>
        <w:tc>
          <w:tcPr>
            <w:tcW w:w="3114" w:type="dxa"/>
            <w:vMerge/>
            <w:shd w:val="clear" w:color="auto" w:fill="auto"/>
          </w:tcPr>
          <w:p w14:paraId="3862297B" w14:textId="77777777" w:rsidR="00060B89" w:rsidRDefault="00060B89" w:rsidP="00624E8F"/>
        </w:tc>
        <w:tc>
          <w:tcPr>
            <w:tcW w:w="1855" w:type="dxa"/>
            <w:vMerge/>
            <w:shd w:val="clear" w:color="auto" w:fill="auto"/>
          </w:tcPr>
          <w:p w14:paraId="28DE2FEC" w14:textId="77777777" w:rsidR="00060B89" w:rsidRDefault="00060B89" w:rsidP="00624E8F"/>
        </w:tc>
        <w:tc>
          <w:tcPr>
            <w:tcW w:w="1032" w:type="dxa"/>
          </w:tcPr>
          <w:p w14:paraId="6EE13B36" w14:textId="77777777" w:rsidR="00060B89" w:rsidRDefault="00060B89" w:rsidP="00624E8F">
            <w:r>
              <w:t>Year 3 Reading</w:t>
            </w:r>
          </w:p>
        </w:tc>
        <w:tc>
          <w:tcPr>
            <w:tcW w:w="766" w:type="dxa"/>
            <w:shd w:val="clear" w:color="auto" w:fill="auto"/>
          </w:tcPr>
          <w:p w14:paraId="51A97596" w14:textId="77777777" w:rsidR="00060B89" w:rsidRDefault="00060B89" w:rsidP="00624E8F">
            <w:r>
              <w:t>95%</w:t>
            </w:r>
          </w:p>
        </w:tc>
        <w:tc>
          <w:tcPr>
            <w:tcW w:w="766" w:type="dxa"/>
            <w:shd w:val="clear" w:color="auto" w:fill="auto"/>
          </w:tcPr>
          <w:p w14:paraId="6D10D5C7" w14:textId="77777777" w:rsidR="00060B89" w:rsidRDefault="00060B89" w:rsidP="00624E8F">
            <w:r>
              <w:t>93%</w:t>
            </w:r>
          </w:p>
        </w:tc>
        <w:tc>
          <w:tcPr>
            <w:tcW w:w="766" w:type="dxa"/>
            <w:shd w:val="clear" w:color="auto" w:fill="auto"/>
          </w:tcPr>
          <w:p w14:paraId="39E62EC7" w14:textId="77777777" w:rsidR="00060B89" w:rsidRDefault="00060B89" w:rsidP="00624E8F">
            <w:r>
              <w:t>89%</w:t>
            </w:r>
          </w:p>
        </w:tc>
        <w:tc>
          <w:tcPr>
            <w:tcW w:w="766" w:type="dxa"/>
            <w:shd w:val="clear" w:color="auto" w:fill="auto"/>
          </w:tcPr>
          <w:p w14:paraId="4E9D48F5" w14:textId="77777777" w:rsidR="00060B89" w:rsidRDefault="00060B89" w:rsidP="00624E8F">
            <w:r>
              <w:t>96%</w:t>
            </w:r>
          </w:p>
        </w:tc>
        <w:tc>
          <w:tcPr>
            <w:tcW w:w="766" w:type="dxa"/>
            <w:shd w:val="clear" w:color="auto" w:fill="auto"/>
          </w:tcPr>
          <w:p w14:paraId="74239E68" w14:textId="304DCD01" w:rsidR="00E21F0E" w:rsidRDefault="00E21F0E" w:rsidP="00624E8F">
            <w:r>
              <w:t>N/A</w:t>
            </w:r>
          </w:p>
          <w:p w14:paraId="0304AF7B" w14:textId="757066C6" w:rsidR="00060B89" w:rsidRPr="00D03B0C" w:rsidRDefault="00060B89" w:rsidP="00624E8F">
            <w:r>
              <w:t>C-19</w:t>
            </w:r>
          </w:p>
        </w:tc>
      </w:tr>
      <w:tr w:rsidR="00060B89" w14:paraId="11317A96" w14:textId="77777777" w:rsidTr="00624E8F">
        <w:trPr>
          <w:jc w:val="center"/>
        </w:trPr>
        <w:tc>
          <w:tcPr>
            <w:tcW w:w="3114" w:type="dxa"/>
            <w:vMerge/>
            <w:shd w:val="clear" w:color="auto" w:fill="auto"/>
          </w:tcPr>
          <w:p w14:paraId="79C77222" w14:textId="77777777" w:rsidR="00060B89" w:rsidRDefault="00060B89" w:rsidP="00624E8F"/>
        </w:tc>
        <w:tc>
          <w:tcPr>
            <w:tcW w:w="1855" w:type="dxa"/>
            <w:vMerge/>
            <w:shd w:val="clear" w:color="auto" w:fill="auto"/>
          </w:tcPr>
          <w:p w14:paraId="73728579" w14:textId="77777777" w:rsidR="00060B89" w:rsidRDefault="00060B89" w:rsidP="00624E8F"/>
        </w:tc>
        <w:tc>
          <w:tcPr>
            <w:tcW w:w="1032" w:type="dxa"/>
          </w:tcPr>
          <w:p w14:paraId="0B776E5E" w14:textId="77777777" w:rsidR="00060B89" w:rsidRDefault="00060B89" w:rsidP="00624E8F">
            <w:r>
              <w:t>Year 5</w:t>
            </w:r>
          </w:p>
          <w:p w14:paraId="7FD1C5EA" w14:textId="77777777" w:rsidR="00060B89" w:rsidRDefault="00060B89" w:rsidP="00624E8F">
            <w:r>
              <w:t>Number</w:t>
            </w:r>
          </w:p>
        </w:tc>
        <w:tc>
          <w:tcPr>
            <w:tcW w:w="766" w:type="dxa"/>
            <w:shd w:val="clear" w:color="auto" w:fill="auto"/>
          </w:tcPr>
          <w:p w14:paraId="2DA2A3EF" w14:textId="77777777" w:rsidR="00060B89" w:rsidRDefault="00060B89" w:rsidP="00624E8F">
            <w:r>
              <w:t>80%</w:t>
            </w:r>
          </w:p>
        </w:tc>
        <w:tc>
          <w:tcPr>
            <w:tcW w:w="766" w:type="dxa"/>
            <w:shd w:val="clear" w:color="auto" w:fill="auto"/>
          </w:tcPr>
          <w:p w14:paraId="5377E077" w14:textId="77777777" w:rsidR="00060B89" w:rsidRDefault="00060B89" w:rsidP="00624E8F">
            <w:r>
              <w:t>76%</w:t>
            </w:r>
          </w:p>
        </w:tc>
        <w:tc>
          <w:tcPr>
            <w:tcW w:w="766" w:type="dxa"/>
            <w:shd w:val="clear" w:color="auto" w:fill="auto"/>
          </w:tcPr>
          <w:p w14:paraId="38EB0A80" w14:textId="77777777" w:rsidR="00060B89" w:rsidRDefault="00060B89" w:rsidP="00624E8F">
            <w:r>
              <w:t>74%</w:t>
            </w:r>
          </w:p>
        </w:tc>
        <w:tc>
          <w:tcPr>
            <w:tcW w:w="766" w:type="dxa"/>
            <w:shd w:val="clear" w:color="auto" w:fill="auto"/>
          </w:tcPr>
          <w:p w14:paraId="2BFE9F1A" w14:textId="77777777" w:rsidR="00060B89" w:rsidRDefault="00060B89" w:rsidP="00624E8F">
            <w:r>
              <w:t>90%</w:t>
            </w:r>
          </w:p>
        </w:tc>
        <w:tc>
          <w:tcPr>
            <w:tcW w:w="766" w:type="dxa"/>
            <w:shd w:val="clear" w:color="auto" w:fill="auto"/>
          </w:tcPr>
          <w:p w14:paraId="2A5CB2AC" w14:textId="0141CFB1" w:rsidR="00E21F0E" w:rsidRDefault="00E21F0E" w:rsidP="00624E8F">
            <w:r>
              <w:t>N/A</w:t>
            </w:r>
          </w:p>
          <w:p w14:paraId="622A70AD" w14:textId="33BE6606" w:rsidR="00060B89" w:rsidRPr="00D03B0C" w:rsidRDefault="00060B89" w:rsidP="00624E8F">
            <w:r>
              <w:t>C-19</w:t>
            </w:r>
          </w:p>
        </w:tc>
      </w:tr>
      <w:tr w:rsidR="00060B89" w14:paraId="1C841D59" w14:textId="77777777" w:rsidTr="00624E8F">
        <w:trPr>
          <w:jc w:val="center"/>
        </w:trPr>
        <w:tc>
          <w:tcPr>
            <w:tcW w:w="3114" w:type="dxa"/>
            <w:vMerge/>
            <w:shd w:val="clear" w:color="auto" w:fill="auto"/>
          </w:tcPr>
          <w:p w14:paraId="323888E3" w14:textId="77777777" w:rsidR="00060B89" w:rsidRDefault="00060B89" w:rsidP="00624E8F"/>
        </w:tc>
        <w:tc>
          <w:tcPr>
            <w:tcW w:w="1855" w:type="dxa"/>
            <w:vMerge/>
            <w:shd w:val="clear" w:color="auto" w:fill="auto"/>
          </w:tcPr>
          <w:p w14:paraId="3DE82F60" w14:textId="77777777" w:rsidR="00060B89" w:rsidRDefault="00060B89" w:rsidP="00624E8F"/>
        </w:tc>
        <w:tc>
          <w:tcPr>
            <w:tcW w:w="1032" w:type="dxa"/>
          </w:tcPr>
          <w:p w14:paraId="0F6E5796" w14:textId="77777777" w:rsidR="00060B89" w:rsidRDefault="00060B89" w:rsidP="00624E8F">
            <w:r>
              <w:t>Year 5</w:t>
            </w:r>
          </w:p>
          <w:p w14:paraId="1722C393" w14:textId="77777777" w:rsidR="00060B89" w:rsidRDefault="00060B89" w:rsidP="00624E8F">
            <w:r>
              <w:t>Reading</w:t>
            </w:r>
          </w:p>
        </w:tc>
        <w:tc>
          <w:tcPr>
            <w:tcW w:w="766" w:type="dxa"/>
            <w:shd w:val="clear" w:color="auto" w:fill="auto"/>
          </w:tcPr>
          <w:p w14:paraId="2BB5AD14" w14:textId="77777777" w:rsidR="00060B89" w:rsidRDefault="00060B89" w:rsidP="00624E8F">
            <w:r>
              <w:t>93%</w:t>
            </w:r>
          </w:p>
        </w:tc>
        <w:tc>
          <w:tcPr>
            <w:tcW w:w="766" w:type="dxa"/>
            <w:shd w:val="clear" w:color="auto" w:fill="auto"/>
          </w:tcPr>
          <w:p w14:paraId="73BDA776" w14:textId="77777777" w:rsidR="00060B89" w:rsidRDefault="00060B89" w:rsidP="00624E8F">
            <w:r>
              <w:t>91%</w:t>
            </w:r>
          </w:p>
        </w:tc>
        <w:tc>
          <w:tcPr>
            <w:tcW w:w="766" w:type="dxa"/>
            <w:shd w:val="clear" w:color="auto" w:fill="auto"/>
          </w:tcPr>
          <w:p w14:paraId="4DCE59D8" w14:textId="77777777" w:rsidR="00060B89" w:rsidRDefault="00060B89" w:rsidP="00624E8F">
            <w:r>
              <w:t>87%</w:t>
            </w:r>
          </w:p>
        </w:tc>
        <w:tc>
          <w:tcPr>
            <w:tcW w:w="766" w:type="dxa"/>
            <w:shd w:val="clear" w:color="auto" w:fill="auto"/>
          </w:tcPr>
          <w:p w14:paraId="0059969A" w14:textId="77777777" w:rsidR="00060B89" w:rsidRDefault="00060B89" w:rsidP="00624E8F">
            <w:r>
              <w:t>87%</w:t>
            </w:r>
          </w:p>
        </w:tc>
        <w:tc>
          <w:tcPr>
            <w:tcW w:w="766" w:type="dxa"/>
            <w:shd w:val="clear" w:color="auto" w:fill="auto"/>
          </w:tcPr>
          <w:p w14:paraId="4F2AF6C9" w14:textId="469B32A2" w:rsidR="00E21F0E" w:rsidRDefault="00E21F0E" w:rsidP="00624E8F">
            <w:r>
              <w:t>N/A</w:t>
            </w:r>
          </w:p>
          <w:p w14:paraId="07F35157" w14:textId="54C97218" w:rsidR="00060B89" w:rsidRPr="00D03B0C" w:rsidRDefault="00060B89" w:rsidP="00624E8F">
            <w:r>
              <w:t>C-19</w:t>
            </w:r>
          </w:p>
        </w:tc>
      </w:tr>
      <w:tr w:rsidR="00060B89" w14:paraId="396689B0" w14:textId="77777777" w:rsidTr="00624E8F">
        <w:trPr>
          <w:jc w:val="center"/>
        </w:trPr>
        <w:tc>
          <w:tcPr>
            <w:tcW w:w="3114" w:type="dxa"/>
            <w:vMerge w:val="restart"/>
            <w:shd w:val="clear" w:color="auto" w:fill="auto"/>
          </w:tcPr>
          <w:p w14:paraId="13669DAB" w14:textId="77777777" w:rsidR="00060B89" w:rsidRPr="00D03B0C" w:rsidRDefault="00060B89" w:rsidP="00624E8F">
            <w:r>
              <w:t>Decrease the percentage of students in Years 3 and 5 achieving at or below the national minimum standard in NAPLAN tests by 2% points from the 2016 figures</w:t>
            </w:r>
          </w:p>
        </w:tc>
        <w:tc>
          <w:tcPr>
            <w:tcW w:w="1855" w:type="dxa"/>
            <w:vMerge w:val="restart"/>
          </w:tcPr>
          <w:p w14:paraId="62BB5224" w14:textId="77777777" w:rsidR="00060B89" w:rsidRPr="004F2838" w:rsidRDefault="00060B89" w:rsidP="00624E8F">
            <w:pPr>
              <w:rPr>
                <w:rFonts w:cstheme="minorHAnsi"/>
              </w:rPr>
            </w:pPr>
            <w:r w:rsidRPr="004F2838">
              <w:rPr>
                <w:rFonts w:eastAsia="Arial" w:cstheme="minorHAnsi"/>
                <w:lang w:eastAsia="en-AU"/>
              </w:rPr>
              <w:t>% of students at or below minimum standard</w:t>
            </w:r>
          </w:p>
        </w:tc>
        <w:tc>
          <w:tcPr>
            <w:tcW w:w="1032" w:type="dxa"/>
          </w:tcPr>
          <w:p w14:paraId="474B2D4B" w14:textId="77777777" w:rsidR="00060B89" w:rsidRDefault="00060B89" w:rsidP="00624E8F">
            <w:r>
              <w:t>Year 3</w:t>
            </w:r>
          </w:p>
          <w:p w14:paraId="2A15824B" w14:textId="77777777" w:rsidR="00060B89" w:rsidRPr="00D03B0C" w:rsidRDefault="00060B89" w:rsidP="00624E8F">
            <w:r>
              <w:t>Number</w:t>
            </w:r>
          </w:p>
        </w:tc>
        <w:tc>
          <w:tcPr>
            <w:tcW w:w="766" w:type="dxa"/>
            <w:shd w:val="clear" w:color="auto" w:fill="auto"/>
          </w:tcPr>
          <w:p w14:paraId="16344E3E" w14:textId="77777777" w:rsidR="00060B89" w:rsidRPr="00D03B0C" w:rsidRDefault="00060B89" w:rsidP="00624E8F">
            <w:r>
              <w:t>19%</w:t>
            </w:r>
          </w:p>
        </w:tc>
        <w:tc>
          <w:tcPr>
            <w:tcW w:w="766" w:type="dxa"/>
            <w:shd w:val="clear" w:color="auto" w:fill="auto"/>
          </w:tcPr>
          <w:p w14:paraId="6FAA4F93" w14:textId="77777777" w:rsidR="00060B89" w:rsidRPr="00D03B0C" w:rsidRDefault="00060B89" w:rsidP="00624E8F">
            <w:r>
              <w:t>20%</w:t>
            </w:r>
          </w:p>
        </w:tc>
        <w:tc>
          <w:tcPr>
            <w:tcW w:w="766" w:type="dxa"/>
            <w:shd w:val="clear" w:color="auto" w:fill="auto"/>
          </w:tcPr>
          <w:p w14:paraId="73BBBD4D" w14:textId="77777777" w:rsidR="00060B89" w:rsidRPr="00D03B0C" w:rsidRDefault="00060B89" w:rsidP="00624E8F">
            <w:r>
              <w:t>20%</w:t>
            </w:r>
          </w:p>
        </w:tc>
        <w:tc>
          <w:tcPr>
            <w:tcW w:w="766" w:type="dxa"/>
            <w:shd w:val="clear" w:color="auto" w:fill="auto"/>
          </w:tcPr>
          <w:p w14:paraId="045A1967" w14:textId="77777777" w:rsidR="00060B89" w:rsidRPr="00D03B0C" w:rsidRDefault="00060B89" w:rsidP="00624E8F">
            <w:r>
              <w:t>13%</w:t>
            </w:r>
          </w:p>
        </w:tc>
        <w:tc>
          <w:tcPr>
            <w:tcW w:w="766" w:type="dxa"/>
            <w:shd w:val="clear" w:color="auto" w:fill="auto"/>
          </w:tcPr>
          <w:p w14:paraId="4C255A1A" w14:textId="0C2FA8D6" w:rsidR="00E21F0E" w:rsidRDefault="00E21F0E" w:rsidP="00624E8F">
            <w:r>
              <w:t>N/A</w:t>
            </w:r>
          </w:p>
          <w:p w14:paraId="0F8D4396" w14:textId="4AF24A9E" w:rsidR="00060B89" w:rsidRPr="00D03B0C" w:rsidRDefault="00060B89" w:rsidP="00624E8F">
            <w:r>
              <w:t>C-19</w:t>
            </w:r>
          </w:p>
        </w:tc>
      </w:tr>
      <w:tr w:rsidR="00060B89" w14:paraId="18CA23F2" w14:textId="77777777" w:rsidTr="00624E8F">
        <w:trPr>
          <w:jc w:val="center"/>
        </w:trPr>
        <w:tc>
          <w:tcPr>
            <w:tcW w:w="3114" w:type="dxa"/>
            <w:vMerge/>
            <w:shd w:val="clear" w:color="auto" w:fill="auto"/>
          </w:tcPr>
          <w:p w14:paraId="2DBD079F" w14:textId="77777777" w:rsidR="00060B89" w:rsidRPr="00E3179D" w:rsidRDefault="00060B89" w:rsidP="00624E8F">
            <w:pPr>
              <w:rPr>
                <w:rFonts w:ascii="Arial" w:eastAsia="Arial" w:hAnsi="Arial" w:cs="Arial"/>
                <w:lang w:eastAsia="en-AU"/>
              </w:rPr>
            </w:pPr>
          </w:p>
        </w:tc>
        <w:tc>
          <w:tcPr>
            <w:tcW w:w="1855" w:type="dxa"/>
            <w:vMerge/>
            <w:shd w:val="clear" w:color="auto" w:fill="auto"/>
          </w:tcPr>
          <w:p w14:paraId="47DA1AB4" w14:textId="77777777" w:rsidR="00060B89" w:rsidRPr="00E3179D" w:rsidRDefault="00060B89" w:rsidP="00624E8F">
            <w:pPr>
              <w:rPr>
                <w:rFonts w:ascii="Arial" w:eastAsia="Arial" w:hAnsi="Arial" w:cs="Arial"/>
                <w:lang w:eastAsia="en-AU"/>
              </w:rPr>
            </w:pPr>
          </w:p>
        </w:tc>
        <w:tc>
          <w:tcPr>
            <w:tcW w:w="1032" w:type="dxa"/>
          </w:tcPr>
          <w:p w14:paraId="153F5139" w14:textId="77777777" w:rsidR="00060B89" w:rsidRDefault="00060B89" w:rsidP="00624E8F">
            <w:r>
              <w:t>Year 3</w:t>
            </w:r>
          </w:p>
          <w:p w14:paraId="391BA56A" w14:textId="77777777" w:rsidR="00060B89" w:rsidRPr="00D03B0C" w:rsidRDefault="00060B89" w:rsidP="00624E8F">
            <w:r>
              <w:t>Reading</w:t>
            </w:r>
          </w:p>
        </w:tc>
        <w:tc>
          <w:tcPr>
            <w:tcW w:w="766" w:type="dxa"/>
            <w:shd w:val="clear" w:color="auto" w:fill="auto"/>
          </w:tcPr>
          <w:p w14:paraId="74A5A5B4" w14:textId="77777777" w:rsidR="00060B89" w:rsidRPr="00D03B0C" w:rsidRDefault="00060B89" w:rsidP="00624E8F">
            <w:r>
              <w:t>10%</w:t>
            </w:r>
          </w:p>
        </w:tc>
        <w:tc>
          <w:tcPr>
            <w:tcW w:w="766" w:type="dxa"/>
            <w:shd w:val="clear" w:color="auto" w:fill="auto"/>
          </w:tcPr>
          <w:p w14:paraId="11D2CE33" w14:textId="77777777" w:rsidR="00060B89" w:rsidRPr="00D03B0C" w:rsidRDefault="00060B89" w:rsidP="00624E8F">
            <w:r>
              <w:t>16%</w:t>
            </w:r>
          </w:p>
        </w:tc>
        <w:tc>
          <w:tcPr>
            <w:tcW w:w="766" w:type="dxa"/>
            <w:shd w:val="clear" w:color="auto" w:fill="auto"/>
          </w:tcPr>
          <w:p w14:paraId="5F3D2BE7" w14:textId="77777777" w:rsidR="00060B89" w:rsidRPr="00D03B0C" w:rsidRDefault="00060B89" w:rsidP="00624E8F">
            <w:r>
              <w:t>16%</w:t>
            </w:r>
          </w:p>
        </w:tc>
        <w:tc>
          <w:tcPr>
            <w:tcW w:w="766" w:type="dxa"/>
            <w:shd w:val="clear" w:color="auto" w:fill="auto"/>
          </w:tcPr>
          <w:p w14:paraId="48CA31A8" w14:textId="77777777" w:rsidR="00060B89" w:rsidRPr="00D03B0C" w:rsidRDefault="00060B89" w:rsidP="00624E8F">
            <w:r>
              <w:t>20%</w:t>
            </w:r>
          </w:p>
        </w:tc>
        <w:tc>
          <w:tcPr>
            <w:tcW w:w="766" w:type="dxa"/>
            <w:shd w:val="clear" w:color="auto" w:fill="auto"/>
          </w:tcPr>
          <w:p w14:paraId="3912231E" w14:textId="2F86C75E" w:rsidR="00E21F0E" w:rsidRDefault="00E21F0E" w:rsidP="00624E8F">
            <w:r>
              <w:t>N/A</w:t>
            </w:r>
          </w:p>
          <w:p w14:paraId="0FDFD3B9" w14:textId="1B6CD41D" w:rsidR="00060B89" w:rsidRPr="00D03B0C" w:rsidRDefault="00060B89" w:rsidP="00624E8F">
            <w:r>
              <w:t>C-19</w:t>
            </w:r>
          </w:p>
        </w:tc>
      </w:tr>
      <w:tr w:rsidR="00060B89" w14:paraId="6243C450" w14:textId="77777777" w:rsidTr="00624E8F">
        <w:trPr>
          <w:jc w:val="center"/>
        </w:trPr>
        <w:tc>
          <w:tcPr>
            <w:tcW w:w="3114" w:type="dxa"/>
            <w:vMerge/>
            <w:shd w:val="clear" w:color="auto" w:fill="auto"/>
          </w:tcPr>
          <w:p w14:paraId="1DD1B62F" w14:textId="77777777" w:rsidR="00060B89" w:rsidRPr="00E3179D" w:rsidRDefault="00060B89" w:rsidP="00624E8F">
            <w:pPr>
              <w:rPr>
                <w:rFonts w:ascii="Arial" w:eastAsia="Arial" w:hAnsi="Arial" w:cs="Arial"/>
                <w:lang w:eastAsia="en-AU"/>
              </w:rPr>
            </w:pPr>
          </w:p>
        </w:tc>
        <w:tc>
          <w:tcPr>
            <w:tcW w:w="1855" w:type="dxa"/>
            <w:vMerge/>
            <w:shd w:val="clear" w:color="auto" w:fill="auto"/>
          </w:tcPr>
          <w:p w14:paraId="1146F68E" w14:textId="77777777" w:rsidR="00060B89" w:rsidRPr="00E3179D" w:rsidRDefault="00060B89" w:rsidP="00624E8F">
            <w:pPr>
              <w:rPr>
                <w:rFonts w:ascii="Arial" w:eastAsia="Arial" w:hAnsi="Arial" w:cs="Arial"/>
                <w:lang w:eastAsia="en-AU"/>
              </w:rPr>
            </w:pPr>
          </w:p>
        </w:tc>
        <w:tc>
          <w:tcPr>
            <w:tcW w:w="1032" w:type="dxa"/>
          </w:tcPr>
          <w:p w14:paraId="6A6D5204" w14:textId="77777777" w:rsidR="00060B89" w:rsidRDefault="00060B89" w:rsidP="00624E8F">
            <w:r>
              <w:t>Year 5</w:t>
            </w:r>
          </w:p>
          <w:p w14:paraId="7EF058A3" w14:textId="77777777" w:rsidR="00060B89" w:rsidRPr="00D03B0C" w:rsidRDefault="00060B89" w:rsidP="00624E8F">
            <w:r>
              <w:t>Number</w:t>
            </w:r>
          </w:p>
        </w:tc>
        <w:tc>
          <w:tcPr>
            <w:tcW w:w="766" w:type="dxa"/>
            <w:shd w:val="clear" w:color="auto" w:fill="auto"/>
          </w:tcPr>
          <w:p w14:paraId="658568B6" w14:textId="77777777" w:rsidR="00060B89" w:rsidRPr="00D03B0C" w:rsidRDefault="00060B89" w:rsidP="00624E8F">
            <w:r>
              <w:t>21%</w:t>
            </w:r>
          </w:p>
        </w:tc>
        <w:tc>
          <w:tcPr>
            <w:tcW w:w="766" w:type="dxa"/>
            <w:shd w:val="clear" w:color="auto" w:fill="auto"/>
          </w:tcPr>
          <w:p w14:paraId="4A0F05ED" w14:textId="77777777" w:rsidR="00060B89" w:rsidRPr="00D03B0C" w:rsidRDefault="00060B89" w:rsidP="00624E8F">
            <w:r>
              <w:t>25%</w:t>
            </w:r>
          </w:p>
        </w:tc>
        <w:tc>
          <w:tcPr>
            <w:tcW w:w="766" w:type="dxa"/>
            <w:shd w:val="clear" w:color="auto" w:fill="auto"/>
          </w:tcPr>
          <w:p w14:paraId="3D633FF2" w14:textId="77777777" w:rsidR="00060B89" w:rsidRPr="00D03B0C" w:rsidRDefault="00060B89" w:rsidP="00624E8F">
            <w:r>
              <w:t>25%</w:t>
            </w:r>
          </w:p>
        </w:tc>
        <w:tc>
          <w:tcPr>
            <w:tcW w:w="766" w:type="dxa"/>
            <w:shd w:val="clear" w:color="auto" w:fill="auto"/>
          </w:tcPr>
          <w:p w14:paraId="23990181" w14:textId="77777777" w:rsidR="00060B89" w:rsidRPr="00D03B0C" w:rsidRDefault="00060B89" w:rsidP="00624E8F">
            <w:r>
              <w:t>29%</w:t>
            </w:r>
          </w:p>
        </w:tc>
        <w:tc>
          <w:tcPr>
            <w:tcW w:w="766" w:type="dxa"/>
            <w:shd w:val="clear" w:color="auto" w:fill="auto"/>
          </w:tcPr>
          <w:p w14:paraId="39BDA0ED" w14:textId="427D44C2" w:rsidR="00E21F0E" w:rsidRDefault="00E21F0E" w:rsidP="00624E8F">
            <w:r>
              <w:t>N/A</w:t>
            </w:r>
          </w:p>
          <w:p w14:paraId="3FDB7C7E" w14:textId="609B1D3D" w:rsidR="00060B89" w:rsidRPr="00D03B0C" w:rsidRDefault="00060B89" w:rsidP="00624E8F">
            <w:r>
              <w:t>C-19</w:t>
            </w:r>
          </w:p>
        </w:tc>
      </w:tr>
      <w:tr w:rsidR="00060B89" w14:paraId="6E1D677B" w14:textId="77777777" w:rsidTr="00624E8F">
        <w:trPr>
          <w:jc w:val="center"/>
        </w:trPr>
        <w:tc>
          <w:tcPr>
            <w:tcW w:w="3114" w:type="dxa"/>
            <w:vMerge/>
            <w:shd w:val="clear" w:color="auto" w:fill="auto"/>
          </w:tcPr>
          <w:p w14:paraId="5CCF2965" w14:textId="77777777" w:rsidR="00060B89" w:rsidRPr="00E3179D" w:rsidRDefault="00060B89" w:rsidP="00624E8F">
            <w:pPr>
              <w:rPr>
                <w:rFonts w:ascii="Arial" w:eastAsia="Arial" w:hAnsi="Arial" w:cs="Arial"/>
                <w:lang w:eastAsia="en-AU"/>
              </w:rPr>
            </w:pPr>
          </w:p>
        </w:tc>
        <w:tc>
          <w:tcPr>
            <w:tcW w:w="1855" w:type="dxa"/>
            <w:vMerge/>
            <w:shd w:val="clear" w:color="auto" w:fill="auto"/>
          </w:tcPr>
          <w:p w14:paraId="1273FCF5" w14:textId="77777777" w:rsidR="00060B89" w:rsidRPr="00E3179D" w:rsidRDefault="00060B89" w:rsidP="00624E8F">
            <w:pPr>
              <w:rPr>
                <w:rFonts w:ascii="Arial" w:eastAsia="Arial" w:hAnsi="Arial" w:cs="Arial"/>
                <w:lang w:eastAsia="en-AU"/>
              </w:rPr>
            </w:pPr>
          </w:p>
        </w:tc>
        <w:tc>
          <w:tcPr>
            <w:tcW w:w="1032" w:type="dxa"/>
          </w:tcPr>
          <w:p w14:paraId="06BC00C0" w14:textId="77777777" w:rsidR="00060B89" w:rsidRDefault="00060B89" w:rsidP="00624E8F">
            <w:r>
              <w:t>Year 5</w:t>
            </w:r>
          </w:p>
          <w:p w14:paraId="75756CA3" w14:textId="77777777" w:rsidR="00060B89" w:rsidRDefault="00060B89" w:rsidP="00624E8F">
            <w:r>
              <w:t>Reading</w:t>
            </w:r>
          </w:p>
        </w:tc>
        <w:tc>
          <w:tcPr>
            <w:tcW w:w="766" w:type="dxa"/>
            <w:shd w:val="clear" w:color="auto" w:fill="auto"/>
          </w:tcPr>
          <w:p w14:paraId="34D58D78" w14:textId="77777777" w:rsidR="00060B89" w:rsidRPr="00D03B0C" w:rsidRDefault="00060B89" w:rsidP="00624E8F">
            <w:r>
              <w:t>24%</w:t>
            </w:r>
          </w:p>
        </w:tc>
        <w:tc>
          <w:tcPr>
            <w:tcW w:w="766" w:type="dxa"/>
            <w:shd w:val="clear" w:color="auto" w:fill="auto"/>
          </w:tcPr>
          <w:p w14:paraId="7FA10FEE" w14:textId="77777777" w:rsidR="00060B89" w:rsidRPr="00D03B0C" w:rsidRDefault="00060B89" w:rsidP="00624E8F">
            <w:r>
              <w:t>25%</w:t>
            </w:r>
          </w:p>
        </w:tc>
        <w:tc>
          <w:tcPr>
            <w:tcW w:w="766" w:type="dxa"/>
            <w:shd w:val="clear" w:color="auto" w:fill="auto"/>
          </w:tcPr>
          <w:p w14:paraId="60ED0768" w14:textId="77777777" w:rsidR="00060B89" w:rsidRPr="00D03B0C" w:rsidRDefault="00060B89" w:rsidP="00624E8F">
            <w:r>
              <w:t>20%</w:t>
            </w:r>
          </w:p>
        </w:tc>
        <w:tc>
          <w:tcPr>
            <w:tcW w:w="766" w:type="dxa"/>
            <w:shd w:val="clear" w:color="auto" w:fill="auto"/>
          </w:tcPr>
          <w:p w14:paraId="00421AFE" w14:textId="77777777" w:rsidR="00060B89" w:rsidRPr="00D03B0C" w:rsidRDefault="00060B89" w:rsidP="00624E8F">
            <w:r>
              <w:t>17%</w:t>
            </w:r>
          </w:p>
        </w:tc>
        <w:tc>
          <w:tcPr>
            <w:tcW w:w="766" w:type="dxa"/>
            <w:shd w:val="clear" w:color="auto" w:fill="auto"/>
          </w:tcPr>
          <w:p w14:paraId="1D2C5DA3" w14:textId="04B3417A" w:rsidR="00E21F0E" w:rsidRDefault="00E21F0E" w:rsidP="00624E8F">
            <w:r>
              <w:t>N/A</w:t>
            </w:r>
          </w:p>
          <w:p w14:paraId="03123F92" w14:textId="5AC39B5E" w:rsidR="00060B89" w:rsidRPr="00D03B0C" w:rsidRDefault="00060B89" w:rsidP="00624E8F">
            <w:r>
              <w:t>C-19</w:t>
            </w:r>
          </w:p>
        </w:tc>
      </w:tr>
      <w:tr w:rsidR="00060B89" w14:paraId="1A3A0BB1" w14:textId="77777777" w:rsidTr="00624E8F">
        <w:trPr>
          <w:trHeight w:val="609"/>
          <w:jc w:val="center"/>
        </w:trPr>
        <w:tc>
          <w:tcPr>
            <w:tcW w:w="3114" w:type="dxa"/>
            <w:vMerge w:val="restart"/>
            <w:shd w:val="clear" w:color="auto" w:fill="auto"/>
          </w:tcPr>
          <w:p w14:paraId="7917BEAC" w14:textId="77777777" w:rsidR="00060B89" w:rsidRDefault="00060B89" w:rsidP="00624E8F">
            <w:r>
              <w:t>Decrease the percentage of students making less than expected progress in PIPS Reading and Maths by 15% points from the 2016 results</w:t>
            </w:r>
          </w:p>
        </w:tc>
        <w:tc>
          <w:tcPr>
            <w:tcW w:w="1855" w:type="dxa"/>
            <w:vMerge w:val="restart"/>
          </w:tcPr>
          <w:p w14:paraId="1EFAC725" w14:textId="77777777" w:rsidR="00060B89" w:rsidRPr="00E3179D" w:rsidRDefault="00060B89" w:rsidP="00624E8F">
            <w:pPr>
              <w:rPr>
                <w:rFonts w:ascii="Arial" w:eastAsia="Arial" w:hAnsi="Arial" w:cs="Arial"/>
                <w:lang w:eastAsia="en-AU"/>
              </w:rPr>
            </w:pPr>
            <w:r>
              <w:t>Students who achieved expected growth in PIPS</w:t>
            </w:r>
          </w:p>
        </w:tc>
        <w:tc>
          <w:tcPr>
            <w:tcW w:w="1032" w:type="dxa"/>
          </w:tcPr>
          <w:p w14:paraId="15B69742" w14:textId="77777777" w:rsidR="00060B89" w:rsidRDefault="00060B89" w:rsidP="00624E8F">
            <w:r>
              <w:t>Reading</w:t>
            </w:r>
          </w:p>
        </w:tc>
        <w:tc>
          <w:tcPr>
            <w:tcW w:w="766" w:type="dxa"/>
            <w:shd w:val="clear" w:color="auto" w:fill="auto"/>
          </w:tcPr>
          <w:p w14:paraId="18D57707" w14:textId="77777777" w:rsidR="00060B89" w:rsidRDefault="00060B89" w:rsidP="00624E8F">
            <w:r>
              <w:t>64%</w:t>
            </w:r>
          </w:p>
        </w:tc>
        <w:tc>
          <w:tcPr>
            <w:tcW w:w="766" w:type="dxa"/>
            <w:shd w:val="clear" w:color="auto" w:fill="auto"/>
          </w:tcPr>
          <w:p w14:paraId="5043F5EC" w14:textId="77777777" w:rsidR="00060B89" w:rsidRDefault="00060B89" w:rsidP="00624E8F">
            <w:r>
              <w:t>53%</w:t>
            </w:r>
          </w:p>
        </w:tc>
        <w:tc>
          <w:tcPr>
            <w:tcW w:w="766" w:type="dxa"/>
            <w:shd w:val="clear" w:color="auto" w:fill="auto"/>
          </w:tcPr>
          <w:p w14:paraId="5A3E4948" w14:textId="77777777" w:rsidR="00060B89" w:rsidRDefault="00060B89" w:rsidP="00624E8F">
            <w:r>
              <w:t>53%</w:t>
            </w:r>
          </w:p>
        </w:tc>
        <w:tc>
          <w:tcPr>
            <w:tcW w:w="766" w:type="dxa"/>
            <w:shd w:val="clear" w:color="auto" w:fill="auto"/>
          </w:tcPr>
          <w:p w14:paraId="228E343D" w14:textId="77777777" w:rsidR="00060B89" w:rsidRPr="006B1FAC" w:rsidRDefault="00060B89" w:rsidP="00624E8F">
            <w:pPr>
              <w:rPr>
                <w:color w:val="FF0000"/>
              </w:rPr>
            </w:pPr>
            <w:r w:rsidRPr="00692DC1">
              <w:t>51%</w:t>
            </w:r>
          </w:p>
        </w:tc>
        <w:tc>
          <w:tcPr>
            <w:tcW w:w="766" w:type="dxa"/>
            <w:shd w:val="clear" w:color="auto" w:fill="auto"/>
          </w:tcPr>
          <w:p w14:paraId="15EAF5F7" w14:textId="7FAA66E3" w:rsidR="00E21F0E" w:rsidRDefault="00E21F0E" w:rsidP="00624E8F">
            <w:r>
              <w:t>N/A</w:t>
            </w:r>
          </w:p>
          <w:p w14:paraId="4476BCE9" w14:textId="6BE39C2A" w:rsidR="00060B89" w:rsidRPr="00D03B0C" w:rsidRDefault="00060B89" w:rsidP="00624E8F">
            <w:r>
              <w:t>C-19</w:t>
            </w:r>
          </w:p>
        </w:tc>
      </w:tr>
      <w:tr w:rsidR="00060B89" w14:paraId="2DA2E2CC" w14:textId="77777777" w:rsidTr="00624E8F">
        <w:trPr>
          <w:trHeight w:val="610"/>
          <w:jc w:val="center"/>
        </w:trPr>
        <w:tc>
          <w:tcPr>
            <w:tcW w:w="3114" w:type="dxa"/>
            <w:vMerge/>
            <w:shd w:val="clear" w:color="auto" w:fill="auto"/>
          </w:tcPr>
          <w:p w14:paraId="3FDF3EFF" w14:textId="77777777" w:rsidR="00060B89" w:rsidRDefault="00060B89" w:rsidP="00624E8F"/>
        </w:tc>
        <w:tc>
          <w:tcPr>
            <w:tcW w:w="1855" w:type="dxa"/>
            <w:vMerge/>
            <w:shd w:val="clear" w:color="auto" w:fill="auto"/>
          </w:tcPr>
          <w:p w14:paraId="7280913A" w14:textId="77777777" w:rsidR="00060B89" w:rsidRDefault="00060B89" w:rsidP="00624E8F"/>
        </w:tc>
        <w:tc>
          <w:tcPr>
            <w:tcW w:w="1032" w:type="dxa"/>
          </w:tcPr>
          <w:p w14:paraId="4950610B" w14:textId="77777777" w:rsidR="00060B89" w:rsidRDefault="00060B89" w:rsidP="00624E8F">
            <w:r>
              <w:t>Numeracy</w:t>
            </w:r>
          </w:p>
        </w:tc>
        <w:tc>
          <w:tcPr>
            <w:tcW w:w="766" w:type="dxa"/>
            <w:shd w:val="clear" w:color="auto" w:fill="auto"/>
          </w:tcPr>
          <w:p w14:paraId="2BA7D051" w14:textId="77777777" w:rsidR="00060B89" w:rsidRDefault="00060B89" w:rsidP="00624E8F">
            <w:r>
              <w:t>60%</w:t>
            </w:r>
          </w:p>
        </w:tc>
        <w:tc>
          <w:tcPr>
            <w:tcW w:w="766" w:type="dxa"/>
            <w:shd w:val="clear" w:color="auto" w:fill="auto"/>
          </w:tcPr>
          <w:p w14:paraId="5FEF8DCA" w14:textId="77777777" w:rsidR="00060B89" w:rsidRDefault="00060B89" w:rsidP="00624E8F">
            <w:r>
              <w:t>78%</w:t>
            </w:r>
          </w:p>
        </w:tc>
        <w:tc>
          <w:tcPr>
            <w:tcW w:w="766" w:type="dxa"/>
            <w:shd w:val="clear" w:color="auto" w:fill="auto"/>
          </w:tcPr>
          <w:p w14:paraId="041F5A79" w14:textId="77777777" w:rsidR="00060B89" w:rsidRDefault="00060B89" w:rsidP="00624E8F">
            <w:r>
              <w:t>79%</w:t>
            </w:r>
          </w:p>
        </w:tc>
        <w:tc>
          <w:tcPr>
            <w:tcW w:w="766" w:type="dxa"/>
            <w:shd w:val="clear" w:color="auto" w:fill="auto"/>
          </w:tcPr>
          <w:p w14:paraId="41DE9080" w14:textId="77777777" w:rsidR="00060B89" w:rsidRDefault="00060B89" w:rsidP="00624E8F">
            <w:r>
              <w:t>62%</w:t>
            </w:r>
          </w:p>
        </w:tc>
        <w:tc>
          <w:tcPr>
            <w:tcW w:w="766" w:type="dxa"/>
            <w:shd w:val="clear" w:color="auto" w:fill="auto"/>
          </w:tcPr>
          <w:p w14:paraId="1902266C" w14:textId="44D4D4D3" w:rsidR="00E21F0E" w:rsidRDefault="00E21F0E" w:rsidP="00624E8F">
            <w:r>
              <w:t>N/A</w:t>
            </w:r>
          </w:p>
          <w:p w14:paraId="125A4F5A" w14:textId="473A0C99" w:rsidR="00060B89" w:rsidRPr="00D03B0C" w:rsidRDefault="00060B89" w:rsidP="00624E8F">
            <w:r>
              <w:t>C-19</w:t>
            </w:r>
          </w:p>
        </w:tc>
      </w:tr>
      <w:tr w:rsidR="00060B89" w14:paraId="6A2262C8" w14:textId="77777777" w:rsidTr="00624E8F">
        <w:trPr>
          <w:trHeight w:val="878"/>
          <w:jc w:val="center"/>
        </w:trPr>
        <w:tc>
          <w:tcPr>
            <w:tcW w:w="3114" w:type="dxa"/>
            <w:vMerge w:val="restart"/>
            <w:shd w:val="clear" w:color="auto" w:fill="auto"/>
          </w:tcPr>
          <w:p w14:paraId="5CE3814D" w14:textId="77777777" w:rsidR="00060B89" w:rsidRDefault="00060B89" w:rsidP="00624E8F">
            <w:r>
              <w:t xml:space="preserve">Achieve a </w:t>
            </w:r>
            <w:proofErr w:type="gramStart"/>
            <w:r>
              <w:t>2% point</w:t>
            </w:r>
            <w:proofErr w:type="gramEnd"/>
            <w:r>
              <w:t xml:space="preserve"> improvement (each year, over the life of the 10 % in total) in the proportion of within school match students achieving expected growth in NAPLAN, based on the 2016 results.</w:t>
            </w:r>
          </w:p>
        </w:tc>
        <w:tc>
          <w:tcPr>
            <w:tcW w:w="1855" w:type="dxa"/>
            <w:vMerge w:val="restart"/>
          </w:tcPr>
          <w:p w14:paraId="1EE454F8" w14:textId="77777777" w:rsidR="00060B89" w:rsidRDefault="00060B89" w:rsidP="00624E8F">
            <w:r>
              <w:t>% of students achieving expected growth</w:t>
            </w:r>
          </w:p>
        </w:tc>
        <w:tc>
          <w:tcPr>
            <w:tcW w:w="1032" w:type="dxa"/>
          </w:tcPr>
          <w:p w14:paraId="389C7A72" w14:textId="77777777" w:rsidR="00060B89" w:rsidRDefault="00060B89" w:rsidP="00624E8F">
            <w:r>
              <w:t>Reading</w:t>
            </w:r>
          </w:p>
        </w:tc>
        <w:tc>
          <w:tcPr>
            <w:tcW w:w="766" w:type="dxa"/>
            <w:shd w:val="clear" w:color="auto" w:fill="auto"/>
          </w:tcPr>
          <w:p w14:paraId="661244C6" w14:textId="77777777" w:rsidR="00060B89" w:rsidRDefault="00060B89" w:rsidP="00624E8F">
            <w:r>
              <w:t>45.8%</w:t>
            </w:r>
          </w:p>
        </w:tc>
        <w:tc>
          <w:tcPr>
            <w:tcW w:w="766" w:type="dxa"/>
            <w:shd w:val="clear" w:color="auto" w:fill="auto"/>
          </w:tcPr>
          <w:p w14:paraId="65E54634" w14:textId="77777777" w:rsidR="00060B89" w:rsidRDefault="00060B89" w:rsidP="00624E8F">
            <w:r>
              <w:t>58.3%</w:t>
            </w:r>
          </w:p>
        </w:tc>
        <w:tc>
          <w:tcPr>
            <w:tcW w:w="766" w:type="dxa"/>
            <w:shd w:val="clear" w:color="auto" w:fill="auto"/>
          </w:tcPr>
          <w:p w14:paraId="27C336C6" w14:textId="77777777" w:rsidR="00060B89" w:rsidRDefault="00060B89" w:rsidP="00624E8F">
            <w:r>
              <w:t>54.7%</w:t>
            </w:r>
          </w:p>
        </w:tc>
        <w:tc>
          <w:tcPr>
            <w:tcW w:w="766" w:type="dxa"/>
            <w:shd w:val="clear" w:color="auto" w:fill="auto"/>
          </w:tcPr>
          <w:p w14:paraId="07190367" w14:textId="77777777" w:rsidR="00060B89" w:rsidRDefault="00060B89" w:rsidP="00624E8F">
            <w:r>
              <w:t>57%</w:t>
            </w:r>
          </w:p>
        </w:tc>
        <w:tc>
          <w:tcPr>
            <w:tcW w:w="766" w:type="dxa"/>
            <w:shd w:val="clear" w:color="auto" w:fill="auto"/>
          </w:tcPr>
          <w:p w14:paraId="692EFC8B" w14:textId="1C38598B" w:rsidR="00E21F0E" w:rsidRDefault="00E21F0E" w:rsidP="00624E8F">
            <w:r>
              <w:t>N/A</w:t>
            </w:r>
          </w:p>
          <w:p w14:paraId="65A4461B" w14:textId="33F56BA2" w:rsidR="00060B89" w:rsidRPr="00D03B0C" w:rsidRDefault="00060B89" w:rsidP="00624E8F">
            <w:r>
              <w:t>C-19</w:t>
            </w:r>
          </w:p>
        </w:tc>
      </w:tr>
      <w:tr w:rsidR="00060B89" w14:paraId="66E37EA7" w14:textId="77777777" w:rsidTr="00624E8F">
        <w:trPr>
          <w:trHeight w:val="878"/>
          <w:jc w:val="center"/>
        </w:trPr>
        <w:tc>
          <w:tcPr>
            <w:tcW w:w="3114" w:type="dxa"/>
            <w:vMerge/>
            <w:shd w:val="clear" w:color="auto" w:fill="auto"/>
          </w:tcPr>
          <w:p w14:paraId="44347EDA" w14:textId="77777777" w:rsidR="00060B89" w:rsidRDefault="00060B89" w:rsidP="00624E8F"/>
        </w:tc>
        <w:tc>
          <w:tcPr>
            <w:tcW w:w="1855" w:type="dxa"/>
            <w:vMerge/>
            <w:shd w:val="clear" w:color="auto" w:fill="auto"/>
          </w:tcPr>
          <w:p w14:paraId="2CF35620" w14:textId="77777777" w:rsidR="00060B89" w:rsidRDefault="00060B89" w:rsidP="00624E8F"/>
        </w:tc>
        <w:tc>
          <w:tcPr>
            <w:tcW w:w="1032" w:type="dxa"/>
          </w:tcPr>
          <w:p w14:paraId="0E3BD6CE" w14:textId="77777777" w:rsidR="00060B89" w:rsidRDefault="00060B89" w:rsidP="00624E8F">
            <w:r>
              <w:t>Numeracy</w:t>
            </w:r>
          </w:p>
        </w:tc>
        <w:tc>
          <w:tcPr>
            <w:tcW w:w="766" w:type="dxa"/>
            <w:shd w:val="clear" w:color="auto" w:fill="auto"/>
          </w:tcPr>
          <w:p w14:paraId="28AC53C3" w14:textId="77777777" w:rsidR="00060B89" w:rsidRDefault="00060B89" w:rsidP="00624E8F">
            <w:r>
              <w:t>44%</w:t>
            </w:r>
          </w:p>
        </w:tc>
        <w:tc>
          <w:tcPr>
            <w:tcW w:w="766" w:type="dxa"/>
            <w:shd w:val="clear" w:color="auto" w:fill="auto"/>
          </w:tcPr>
          <w:p w14:paraId="761618C8" w14:textId="77777777" w:rsidR="00060B89" w:rsidRDefault="00060B89" w:rsidP="00624E8F">
            <w:r>
              <w:t>56.5%</w:t>
            </w:r>
          </w:p>
        </w:tc>
        <w:tc>
          <w:tcPr>
            <w:tcW w:w="766" w:type="dxa"/>
            <w:shd w:val="clear" w:color="auto" w:fill="auto"/>
          </w:tcPr>
          <w:p w14:paraId="48C1B2A8" w14:textId="77777777" w:rsidR="00060B89" w:rsidRDefault="00060B89" w:rsidP="00624E8F">
            <w:r>
              <w:t>44.6%</w:t>
            </w:r>
          </w:p>
        </w:tc>
        <w:tc>
          <w:tcPr>
            <w:tcW w:w="766" w:type="dxa"/>
            <w:shd w:val="clear" w:color="auto" w:fill="auto"/>
          </w:tcPr>
          <w:p w14:paraId="49EFB691" w14:textId="77777777" w:rsidR="00060B89" w:rsidRDefault="00060B89" w:rsidP="00624E8F">
            <w:r>
              <w:t>39%</w:t>
            </w:r>
          </w:p>
        </w:tc>
        <w:tc>
          <w:tcPr>
            <w:tcW w:w="766" w:type="dxa"/>
            <w:shd w:val="clear" w:color="auto" w:fill="auto"/>
          </w:tcPr>
          <w:p w14:paraId="1C2BADCD" w14:textId="4F803E7A" w:rsidR="00E21F0E" w:rsidRDefault="00E21F0E" w:rsidP="00624E8F">
            <w:r>
              <w:t>N/A</w:t>
            </w:r>
          </w:p>
          <w:p w14:paraId="0C3BA2DC" w14:textId="38CFEFB4" w:rsidR="00060B89" w:rsidRPr="00D03B0C" w:rsidRDefault="00060B89" w:rsidP="00624E8F">
            <w:r>
              <w:t>C-19</w:t>
            </w:r>
          </w:p>
        </w:tc>
      </w:tr>
      <w:tr w:rsidR="00060B89" w14:paraId="650724B1" w14:textId="77777777" w:rsidTr="00624E8F">
        <w:trPr>
          <w:jc w:val="center"/>
        </w:trPr>
        <w:tc>
          <w:tcPr>
            <w:tcW w:w="3114" w:type="dxa"/>
            <w:shd w:val="clear" w:color="auto" w:fill="auto"/>
          </w:tcPr>
          <w:p w14:paraId="407EB75E" w14:textId="71FFE2C9" w:rsidR="00060B89" w:rsidRDefault="00060B89" w:rsidP="00624E8F">
            <w:r>
              <w:t>90%</w:t>
            </w:r>
            <w:r w:rsidR="00ED73EC">
              <w:t xml:space="preserve"> </w:t>
            </w:r>
            <w:r>
              <w:t>of students achieving at level or above for writing based on the Australian Curriculum Achievement Standards</w:t>
            </w:r>
          </w:p>
        </w:tc>
        <w:tc>
          <w:tcPr>
            <w:tcW w:w="1855" w:type="dxa"/>
            <w:shd w:val="clear" w:color="auto" w:fill="auto"/>
          </w:tcPr>
          <w:p w14:paraId="584D5DCD" w14:textId="77777777" w:rsidR="00060B89" w:rsidRDefault="00060B89" w:rsidP="00624E8F"/>
        </w:tc>
        <w:tc>
          <w:tcPr>
            <w:tcW w:w="1032" w:type="dxa"/>
          </w:tcPr>
          <w:p w14:paraId="2B145458" w14:textId="77777777" w:rsidR="00060B89" w:rsidRDefault="00060B89" w:rsidP="00624E8F">
            <w:r>
              <w:t>Writing</w:t>
            </w:r>
          </w:p>
        </w:tc>
        <w:tc>
          <w:tcPr>
            <w:tcW w:w="766" w:type="dxa"/>
            <w:shd w:val="clear" w:color="auto" w:fill="auto"/>
          </w:tcPr>
          <w:p w14:paraId="45F489C3" w14:textId="77777777" w:rsidR="00060B89" w:rsidRDefault="00060B89" w:rsidP="00624E8F"/>
        </w:tc>
        <w:tc>
          <w:tcPr>
            <w:tcW w:w="766" w:type="dxa"/>
            <w:shd w:val="clear" w:color="auto" w:fill="auto"/>
          </w:tcPr>
          <w:p w14:paraId="5155D6DB" w14:textId="77777777" w:rsidR="00060B89" w:rsidRDefault="00060B89" w:rsidP="00624E8F"/>
        </w:tc>
        <w:tc>
          <w:tcPr>
            <w:tcW w:w="766" w:type="dxa"/>
            <w:shd w:val="clear" w:color="auto" w:fill="auto"/>
          </w:tcPr>
          <w:p w14:paraId="6520614E" w14:textId="77777777" w:rsidR="00060B89" w:rsidRDefault="00060B89" w:rsidP="00624E8F">
            <w:r>
              <w:t>69%</w:t>
            </w:r>
          </w:p>
        </w:tc>
        <w:tc>
          <w:tcPr>
            <w:tcW w:w="766" w:type="dxa"/>
            <w:shd w:val="clear" w:color="auto" w:fill="auto"/>
          </w:tcPr>
          <w:p w14:paraId="2641CDB2" w14:textId="77777777" w:rsidR="00060B89" w:rsidRDefault="00060B89" w:rsidP="00624E8F">
            <w:r>
              <w:t>68%</w:t>
            </w:r>
          </w:p>
        </w:tc>
        <w:tc>
          <w:tcPr>
            <w:tcW w:w="766" w:type="dxa"/>
            <w:shd w:val="clear" w:color="auto" w:fill="auto"/>
          </w:tcPr>
          <w:p w14:paraId="457CEFC5" w14:textId="4AE93CC3" w:rsidR="00060B89" w:rsidRPr="004D28B3" w:rsidRDefault="004D28B3" w:rsidP="00624E8F">
            <w:pPr>
              <w:rPr>
                <w:color w:val="000000" w:themeColor="text1"/>
              </w:rPr>
            </w:pPr>
            <w:r w:rsidRPr="004D28B3">
              <w:rPr>
                <w:color w:val="000000" w:themeColor="text1"/>
              </w:rPr>
              <w:t>76%</w:t>
            </w:r>
          </w:p>
        </w:tc>
      </w:tr>
    </w:tbl>
    <w:p w14:paraId="0106642F" w14:textId="77777777" w:rsidR="004D06D6" w:rsidRDefault="004D06D6" w:rsidP="00C0648C">
      <w:pPr>
        <w:pStyle w:val="Heading4"/>
      </w:pPr>
    </w:p>
    <w:p w14:paraId="7F0327DB" w14:textId="0A6767FF" w:rsidR="004D06D6" w:rsidRDefault="004D06D6" w:rsidP="00C0648C">
      <w:pPr>
        <w:pStyle w:val="Heading4"/>
      </w:pPr>
    </w:p>
    <w:p w14:paraId="3C0D4DB2" w14:textId="656A7802" w:rsidR="004D28B3" w:rsidRDefault="004D28B3" w:rsidP="004D28B3"/>
    <w:p w14:paraId="408AD678" w14:textId="77777777" w:rsidR="004D28B3" w:rsidRPr="004D28B3" w:rsidRDefault="004D28B3" w:rsidP="004D28B3"/>
    <w:p w14:paraId="64BF1F74" w14:textId="6D3E02ED" w:rsidR="008A01DA" w:rsidRDefault="008A01DA" w:rsidP="00C0648C">
      <w:pPr>
        <w:pStyle w:val="Heading4"/>
      </w:pPr>
      <w:r>
        <w:t>Perception Data</w:t>
      </w:r>
    </w:p>
    <w:tbl>
      <w:tblPr>
        <w:tblStyle w:val="TableGrid2"/>
        <w:tblW w:w="9856" w:type="dxa"/>
        <w:jc w:val="center"/>
        <w:tblCellMar>
          <w:top w:w="57" w:type="dxa"/>
          <w:left w:w="57" w:type="dxa"/>
          <w:bottom w:w="57" w:type="dxa"/>
          <w:right w:w="57" w:type="dxa"/>
        </w:tblCellMar>
        <w:tblLook w:val="04A0" w:firstRow="1" w:lastRow="0" w:firstColumn="1" w:lastColumn="0" w:noHBand="0" w:noVBand="1"/>
      </w:tblPr>
      <w:tblGrid>
        <w:gridCol w:w="3941"/>
        <w:gridCol w:w="1183"/>
        <w:gridCol w:w="1183"/>
        <w:gridCol w:w="1183"/>
        <w:gridCol w:w="1183"/>
        <w:gridCol w:w="1183"/>
      </w:tblGrid>
      <w:tr w:rsidR="00060B89" w:rsidRPr="00060B89" w14:paraId="3061D9EE" w14:textId="77777777" w:rsidTr="00624E8F">
        <w:trPr>
          <w:trHeight w:val="343"/>
          <w:jc w:val="center"/>
        </w:trPr>
        <w:tc>
          <w:tcPr>
            <w:tcW w:w="3941" w:type="dxa"/>
            <w:shd w:val="clear" w:color="auto" w:fill="auto"/>
          </w:tcPr>
          <w:p w14:paraId="118D730C" w14:textId="77777777" w:rsidR="00060B89" w:rsidRPr="00060B89" w:rsidRDefault="00060B89" w:rsidP="00060B89">
            <w:pPr>
              <w:ind w:left="-486" w:firstLine="486"/>
              <w:rPr>
                <w:b/>
              </w:rPr>
            </w:pPr>
            <w:r w:rsidRPr="00060B89">
              <w:rPr>
                <w:b/>
              </w:rPr>
              <w:t>Targets or Measures</w:t>
            </w:r>
          </w:p>
        </w:tc>
        <w:tc>
          <w:tcPr>
            <w:tcW w:w="1183" w:type="dxa"/>
            <w:shd w:val="clear" w:color="auto" w:fill="auto"/>
          </w:tcPr>
          <w:p w14:paraId="7A834496" w14:textId="77777777" w:rsidR="00060B89" w:rsidRPr="00060B89" w:rsidRDefault="00060B89" w:rsidP="00060B89">
            <w:pPr>
              <w:jc w:val="center"/>
              <w:rPr>
                <w:b/>
              </w:rPr>
            </w:pPr>
            <w:r w:rsidRPr="00060B89">
              <w:rPr>
                <w:b/>
              </w:rPr>
              <w:t>2016</w:t>
            </w:r>
          </w:p>
        </w:tc>
        <w:tc>
          <w:tcPr>
            <w:tcW w:w="1183" w:type="dxa"/>
            <w:shd w:val="clear" w:color="auto" w:fill="auto"/>
          </w:tcPr>
          <w:p w14:paraId="18EB154C" w14:textId="77777777" w:rsidR="00060B89" w:rsidRPr="00060B89" w:rsidRDefault="00060B89" w:rsidP="00060B89">
            <w:pPr>
              <w:jc w:val="center"/>
              <w:rPr>
                <w:b/>
              </w:rPr>
            </w:pPr>
            <w:r w:rsidRPr="00060B89">
              <w:rPr>
                <w:b/>
              </w:rPr>
              <w:t>2017</w:t>
            </w:r>
          </w:p>
        </w:tc>
        <w:tc>
          <w:tcPr>
            <w:tcW w:w="1183" w:type="dxa"/>
            <w:shd w:val="clear" w:color="auto" w:fill="auto"/>
          </w:tcPr>
          <w:p w14:paraId="0D9CC02E" w14:textId="77777777" w:rsidR="00060B89" w:rsidRPr="00060B89" w:rsidRDefault="00060B89" w:rsidP="00060B89">
            <w:pPr>
              <w:jc w:val="center"/>
              <w:rPr>
                <w:b/>
              </w:rPr>
            </w:pPr>
            <w:r w:rsidRPr="00060B89">
              <w:rPr>
                <w:b/>
              </w:rPr>
              <w:t>2018</w:t>
            </w:r>
          </w:p>
        </w:tc>
        <w:tc>
          <w:tcPr>
            <w:tcW w:w="1183" w:type="dxa"/>
            <w:shd w:val="clear" w:color="auto" w:fill="auto"/>
          </w:tcPr>
          <w:p w14:paraId="518567B2" w14:textId="77777777" w:rsidR="00060B89" w:rsidRPr="00060B89" w:rsidRDefault="00060B89" w:rsidP="00060B89">
            <w:pPr>
              <w:jc w:val="center"/>
              <w:rPr>
                <w:b/>
              </w:rPr>
            </w:pPr>
            <w:r w:rsidRPr="00060B89">
              <w:rPr>
                <w:b/>
              </w:rPr>
              <w:t>2019</w:t>
            </w:r>
          </w:p>
        </w:tc>
        <w:tc>
          <w:tcPr>
            <w:tcW w:w="1183" w:type="dxa"/>
            <w:shd w:val="clear" w:color="auto" w:fill="auto"/>
          </w:tcPr>
          <w:p w14:paraId="05E80058" w14:textId="77777777" w:rsidR="00060B89" w:rsidRPr="00060B89" w:rsidRDefault="00060B89" w:rsidP="00060B89">
            <w:pPr>
              <w:jc w:val="center"/>
              <w:rPr>
                <w:b/>
              </w:rPr>
            </w:pPr>
            <w:r w:rsidRPr="00060B89">
              <w:rPr>
                <w:b/>
              </w:rPr>
              <w:t>2020</w:t>
            </w:r>
          </w:p>
        </w:tc>
      </w:tr>
      <w:tr w:rsidR="00060B89" w:rsidRPr="00060B89" w14:paraId="45613A86" w14:textId="77777777" w:rsidTr="00624E8F">
        <w:trPr>
          <w:trHeight w:val="1049"/>
          <w:jc w:val="center"/>
        </w:trPr>
        <w:tc>
          <w:tcPr>
            <w:tcW w:w="3941" w:type="dxa"/>
            <w:shd w:val="clear" w:color="auto" w:fill="auto"/>
          </w:tcPr>
          <w:p w14:paraId="34F24E83" w14:textId="79C05D49" w:rsidR="00060B89" w:rsidRPr="00060B89" w:rsidRDefault="00060B89" w:rsidP="00060B89">
            <w:pPr>
              <w:rPr>
                <w:rFonts w:ascii="Calibri" w:hAnsi="Calibri" w:cs="Consolas"/>
                <w:szCs w:val="21"/>
              </w:rPr>
            </w:pPr>
            <w:r w:rsidRPr="00060B89">
              <w:rPr>
                <w:rFonts w:ascii="Calibri" w:hAnsi="Calibri" w:cs="Consolas"/>
                <w:szCs w:val="21"/>
              </w:rPr>
              <w:t xml:space="preserve">Parent satisfaction against </w:t>
            </w:r>
            <w:r w:rsidR="00613A55" w:rsidRPr="00613A55">
              <w:rPr>
                <w:rFonts w:ascii="Calibri" w:hAnsi="Calibri" w:cs="Consolas"/>
                <w:szCs w:val="21"/>
              </w:rPr>
              <w:t>‘Overall, I am satisfied with my child's education at this school.’</w:t>
            </w:r>
          </w:p>
        </w:tc>
        <w:tc>
          <w:tcPr>
            <w:tcW w:w="1183" w:type="dxa"/>
            <w:shd w:val="clear" w:color="auto" w:fill="auto"/>
          </w:tcPr>
          <w:p w14:paraId="4EBAC344" w14:textId="6C45B5E5" w:rsidR="00060B89" w:rsidRPr="00060B89" w:rsidRDefault="00B000C3" w:rsidP="00060B89">
            <w:r>
              <w:t>88.7%</w:t>
            </w:r>
          </w:p>
        </w:tc>
        <w:tc>
          <w:tcPr>
            <w:tcW w:w="1183" w:type="dxa"/>
            <w:shd w:val="clear" w:color="auto" w:fill="auto"/>
          </w:tcPr>
          <w:p w14:paraId="6DE1F313" w14:textId="15100DF8" w:rsidR="00060B89" w:rsidRPr="00060B89" w:rsidRDefault="00B000C3" w:rsidP="00060B89">
            <w:r>
              <w:t>75.2%</w:t>
            </w:r>
          </w:p>
        </w:tc>
        <w:tc>
          <w:tcPr>
            <w:tcW w:w="1183" w:type="dxa"/>
            <w:shd w:val="clear" w:color="auto" w:fill="auto"/>
          </w:tcPr>
          <w:p w14:paraId="103704E9" w14:textId="4D3080D8" w:rsidR="00060B89" w:rsidRPr="00060B89" w:rsidRDefault="00B000C3" w:rsidP="00060B89">
            <w:r>
              <w:t>88.</w:t>
            </w:r>
            <w:r w:rsidR="00F60F49">
              <w:t>4</w:t>
            </w:r>
            <w:r>
              <w:t>%</w:t>
            </w:r>
          </w:p>
        </w:tc>
        <w:tc>
          <w:tcPr>
            <w:tcW w:w="1183" w:type="dxa"/>
            <w:shd w:val="clear" w:color="auto" w:fill="auto"/>
          </w:tcPr>
          <w:p w14:paraId="29C40C6D" w14:textId="7BC9B7A7" w:rsidR="00060B89" w:rsidRPr="00060B89" w:rsidRDefault="00060B89" w:rsidP="00060B89">
            <w:r w:rsidRPr="00060B89">
              <w:t>8</w:t>
            </w:r>
            <w:r w:rsidR="00B000C3">
              <w:t>0.8%</w:t>
            </w:r>
          </w:p>
        </w:tc>
        <w:tc>
          <w:tcPr>
            <w:tcW w:w="1183" w:type="dxa"/>
            <w:shd w:val="clear" w:color="auto" w:fill="auto"/>
          </w:tcPr>
          <w:p w14:paraId="611D8AC3" w14:textId="0C97E961" w:rsidR="00060B89" w:rsidRPr="00060B89" w:rsidRDefault="00B000C3" w:rsidP="00B000C3">
            <w:pPr>
              <w:ind w:firstLine="486"/>
              <w:jc w:val="both"/>
            </w:pPr>
            <w:r>
              <w:t>79.4%</w:t>
            </w:r>
          </w:p>
        </w:tc>
      </w:tr>
    </w:tbl>
    <w:p w14:paraId="02078B9E" w14:textId="6A96BC76" w:rsidR="008A01DA" w:rsidRDefault="008A01DA" w:rsidP="00C0648C">
      <w:pPr>
        <w:pStyle w:val="Heading4"/>
      </w:pPr>
      <w:r>
        <w:t>School program and process data</w:t>
      </w:r>
    </w:p>
    <w:tbl>
      <w:tblPr>
        <w:tblStyle w:val="TableGrid3"/>
        <w:tblW w:w="9918" w:type="dxa"/>
        <w:jc w:val="center"/>
        <w:tblCellMar>
          <w:top w:w="57" w:type="dxa"/>
          <w:left w:w="57" w:type="dxa"/>
          <w:bottom w:w="57" w:type="dxa"/>
          <w:right w:w="57" w:type="dxa"/>
        </w:tblCellMar>
        <w:tblLook w:val="04A0" w:firstRow="1" w:lastRow="0" w:firstColumn="1" w:lastColumn="0" w:noHBand="0" w:noVBand="1"/>
      </w:tblPr>
      <w:tblGrid>
        <w:gridCol w:w="5511"/>
        <w:gridCol w:w="867"/>
        <w:gridCol w:w="867"/>
        <w:gridCol w:w="867"/>
        <w:gridCol w:w="867"/>
        <w:gridCol w:w="939"/>
      </w:tblGrid>
      <w:tr w:rsidR="00060B89" w:rsidRPr="00060B89" w14:paraId="05390834" w14:textId="77777777" w:rsidTr="00E21F0E">
        <w:trPr>
          <w:trHeight w:val="290"/>
          <w:jc w:val="center"/>
        </w:trPr>
        <w:tc>
          <w:tcPr>
            <w:tcW w:w="5511" w:type="dxa"/>
            <w:shd w:val="clear" w:color="auto" w:fill="auto"/>
          </w:tcPr>
          <w:p w14:paraId="707C685E" w14:textId="77777777" w:rsidR="00060B89" w:rsidRPr="00060B89" w:rsidRDefault="00060B89" w:rsidP="00060B89">
            <w:pPr>
              <w:rPr>
                <w:b/>
              </w:rPr>
            </w:pPr>
            <w:r w:rsidRPr="00060B89">
              <w:rPr>
                <w:b/>
              </w:rPr>
              <w:t>Targets or Measures</w:t>
            </w:r>
          </w:p>
        </w:tc>
        <w:tc>
          <w:tcPr>
            <w:tcW w:w="867" w:type="dxa"/>
            <w:shd w:val="clear" w:color="auto" w:fill="auto"/>
          </w:tcPr>
          <w:p w14:paraId="6FBCDAE7" w14:textId="77777777" w:rsidR="00060B89" w:rsidRPr="00060B89" w:rsidRDefault="00060B89" w:rsidP="00060B89">
            <w:pPr>
              <w:jc w:val="center"/>
              <w:rPr>
                <w:b/>
              </w:rPr>
            </w:pPr>
            <w:r w:rsidRPr="00060B89">
              <w:rPr>
                <w:b/>
              </w:rPr>
              <w:t>2016</w:t>
            </w:r>
          </w:p>
        </w:tc>
        <w:tc>
          <w:tcPr>
            <w:tcW w:w="867" w:type="dxa"/>
            <w:shd w:val="clear" w:color="auto" w:fill="auto"/>
          </w:tcPr>
          <w:p w14:paraId="3B26BA64" w14:textId="77777777" w:rsidR="00060B89" w:rsidRPr="00060B89" w:rsidRDefault="00060B89" w:rsidP="00060B89">
            <w:pPr>
              <w:jc w:val="center"/>
              <w:rPr>
                <w:b/>
              </w:rPr>
            </w:pPr>
            <w:r w:rsidRPr="00060B89">
              <w:rPr>
                <w:b/>
              </w:rPr>
              <w:t>2017</w:t>
            </w:r>
          </w:p>
        </w:tc>
        <w:tc>
          <w:tcPr>
            <w:tcW w:w="867" w:type="dxa"/>
            <w:shd w:val="clear" w:color="auto" w:fill="auto"/>
          </w:tcPr>
          <w:p w14:paraId="57C96C83" w14:textId="77777777" w:rsidR="00060B89" w:rsidRPr="00060B89" w:rsidRDefault="00060B89" w:rsidP="00060B89">
            <w:pPr>
              <w:jc w:val="center"/>
              <w:rPr>
                <w:b/>
              </w:rPr>
            </w:pPr>
            <w:r w:rsidRPr="00060B89">
              <w:rPr>
                <w:b/>
              </w:rPr>
              <w:t>2018</w:t>
            </w:r>
          </w:p>
        </w:tc>
        <w:tc>
          <w:tcPr>
            <w:tcW w:w="867" w:type="dxa"/>
            <w:shd w:val="clear" w:color="auto" w:fill="auto"/>
          </w:tcPr>
          <w:p w14:paraId="6554C3CA" w14:textId="77777777" w:rsidR="00060B89" w:rsidRPr="00060B89" w:rsidRDefault="00060B89" w:rsidP="00060B89">
            <w:pPr>
              <w:jc w:val="center"/>
              <w:rPr>
                <w:b/>
              </w:rPr>
            </w:pPr>
            <w:r w:rsidRPr="00060B89">
              <w:rPr>
                <w:b/>
              </w:rPr>
              <w:t>2019</w:t>
            </w:r>
          </w:p>
        </w:tc>
        <w:tc>
          <w:tcPr>
            <w:tcW w:w="939" w:type="dxa"/>
            <w:shd w:val="clear" w:color="auto" w:fill="auto"/>
          </w:tcPr>
          <w:p w14:paraId="7FE8134A" w14:textId="77777777" w:rsidR="00060B89" w:rsidRPr="00060B89" w:rsidRDefault="00060B89" w:rsidP="00060B89">
            <w:pPr>
              <w:jc w:val="center"/>
              <w:rPr>
                <w:b/>
              </w:rPr>
            </w:pPr>
            <w:r w:rsidRPr="00060B89">
              <w:rPr>
                <w:b/>
              </w:rPr>
              <w:t>2020</w:t>
            </w:r>
          </w:p>
        </w:tc>
      </w:tr>
      <w:tr w:rsidR="00060B89" w:rsidRPr="00060B89" w14:paraId="73785978" w14:textId="77777777" w:rsidTr="00E21F0E">
        <w:trPr>
          <w:trHeight w:val="1161"/>
          <w:jc w:val="center"/>
        </w:trPr>
        <w:tc>
          <w:tcPr>
            <w:tcW w:w="5511" w:type="dxa"/>
            <w:shd w:val="clear" w:color="auto" w:fill="auto"/>
          </w:tcPr>
          <w:p w14:paraId="05EDA55D" w14:textId="77777777" w:rsidR="00060B89" w:rsidRDefault="00060B89" w:rsidP="00060B89">
            <w:pPr>
              <w:rPr>
                <w:rFonts w:ascii="Calibri" w:hAnsi="Calibri" w:cs="Consolas"/>
                <w:szCs w:val="21"/>
              </w:rPr>
            </w:pPr>
            <w:r w:rsidRPr="00060B89">
              <w:rPr>
                <w:rFonts w:ascii="Calibri" w:hAnsi="Calibri" w:cs="Consolas"/>
                <w:szCs w:val="21"/>
              </w:rPr>
              <w:t xml:space="preserve">Implementation of </w:t>
            </w:r>
            <w:proofErr w:type="spellStart"/>
            <w:r w:rsidRPr="00060B89">
              <w:rPr>
                <w:rFonts w:ascii="Calibri" w:hAnsi="Calibri" w:cs="Consolas"/>
                <w:szCs w:val="21"/>
              </w:rPr>
              <w:t>Origo</w:t>
            </w:r>
            <w:proofErr w:type="spellEnd"/>
            <w:r w:rsidRPr="00060B89">
              <w:rPr>
                <w:rFonts w:ascii="Calibri" w:hAnsi="Calibri" w:cs="Consolas"/>
                <w:szCs w:val="21"/>
              </w:rPr>
              <w:t xml:space="preserve"> Education </w:t>
            </w:r>
            <w:proofErr w:type="gramStart"/>
            <w:r w:rsidRPr="00060B89">
              <w:rPr>
                <w:rFonts w:ascii="Calibri" w:hAnsi="Calibri" w:cs="Consolas"/>
                <w:szCs w:val="21"/>
              </w:rPr>
              <w:t>Stepping Stones</w:t>
            </w:r>
            <w:proofErr w:type="gramEnd"/>
          </w:p>
          <w:p w14:paraId="1D691F7F" w14:textId="77777777" w:rsidR="0021300D" w:rsidRDefault="0021300D" w:rsidP="00060B89">
            <w:pPr>
              <w:rPr>
                <w:rFonts w:ascii="Calibri" w:hAnsi="Calibri" w:cs="Consolas"/>
                <w:szCs w:val="21"/>
              </w:rPr>
            </w:pPr>
          </w:p>
          <w:p w14:paraId="77FC725A" w14:textId="08ED9490" w:rsidR="0021300D" w:rsidRPr="00060B89" w:rsidRDefault="0021300D" w:rsidP="00060B89">
            <w:pPr>
              <w:rPr>
                <w:rFonts w:ascii="Calibri" w:hAnsi="Calibri" w:cs="Consolas"/>
                <w:szCs w:val="21"/>
              </w:rPr>
            </w:pPr>
          </w:p>
        </w:tc>
        <w:tc>
          <w:tcPr>
            <w:tcW w:w="867" w:type="dxa"/>
            <w:shd w:val="clear" w:color="auto" w:fill="auto"/>
          </w:tcPr>
          <w:p w14:paraId="2ABBE121" w14:textId="77777777" w:rsidR="00060B89" w:rsidRPr="00060B89" w:rsidRDefault="00060B89" w:rsidP="00060B89"/>
        </w:tc>
        <w:tc>
          <w:tcPr>
            <w:tcW w:w="867" w:type="dxa"/>
            <w:shd w:val="clear" w:color="auto" w:fill="auto"/>
          </w:tcPr>
          <w:p w14:paraId="04B88157" w14:textId="77777777" w:rsidR="00060B89" w:rsidRPr="00060B89" w:rsidRDefault="00060B89" w:rsidP="00060B89">
            <w:r w:rsidRPr="00060B89">
              <w:t>Term 4</w:t>
            </w:r>
          </w:p>
        </w:tc>
        <w:tc>
          <w:tcPr>
            <w:tcW w:w="867" w:type="dxa"/>
            <w:shd w:val="clear" w:color="auto" w:fill="auto"/>
          </w:tcPr>
          <w:p w14:paraId="35468B9F" w14:textId="77777777" w:rsidR="00060B89" w:rsidRPr="00060B89" w:rsidRDefault="00060B89" w:rsidP="00060B89">
            <w:r w:rsidRPr="00060B89">
              <w:t>Term 1</w:t>
            </w:r>
          </w:p>
          <w:p w14:paraId="6E672242" w14:textId="77777777" w:rsidR="00060B89" w:rsidRPr="00060B89" w:rsidRDefault="00060B89" w:rsidP="00060B89">
            <w:r w:rsidRPr="00060B89">
              <w:t>Term 2</w:t>
            </w:r>
          </w:p>
          <w:p w14:paraId="059A3378" w14:textId="77777777" w:rsidR="00060B89" w:rsidRPr="00060B89" w:rsidRDefault="00060B89" w:rsidP="00060B89">
            <w:r w:rsidRPr="00060B89">
              <w:t>Term 3</w:t>
            </w:r>
          </w:p>
          <w:p w14:paraId="07B52EE1" w14:textId="77777777" w:rsidR="00060B89" w:rsidRPr="00060B89" w:rsidRDefault="00060B89" w:rsidP="00060B89">
            <w:r w:rsidRPr="00060B89">
              <w:t>Term 4</w:t>
            </w:r>
          </w:p>
        </w:tc>
        <w:tc>
          <w:tcPr>
            <w:tcW w:w="867" w:type="dxa"/>
            <w:shd w:val="clear" w:color="auto" w:fill="auto"/>
          </w:tcPr>
          <w:p w14:paraId="4CD42EA0" w14:textId="77777777" w:rsidR="00060B89" w:rsidRPr="00060B89" w:rsidRDefault="00060B89" w:rsidP="00060B89">
            <w:r w:rsidRPr="00060B89">
              <w:t>Term 1</w:t>
            </w:r>
          </w:p>
          <w:p w14:paraId="030D9582" w14:textId="77777777" w:rsidR="00060B89" w:rsidRPr="00060B89" w:rsidRDefault="00060B89" w:rsidP="00060B89">
            <w:r w:rsidRPr="00060B89">
              <w:t>Term 2</w:t>
            </w:r>
          </w:p>
          <w:p w14:paraId="3B2D467D" w14:textId="77777777" w:rsidR="00060B89" w:rsidRPr="00060B89" w:rsidRDefault="00060B89" w:rsidP="00060B89">
            <w:r w:rsidRPr="00060B89">
              <w:t>Term 3</w:t>
            </w:r>
          </w:p>
          <w:p w14:paraId="52F5EDF9" w14:textId="77777777" w:rsidR="00060B89" w:rsidRPr="00060B89" w:rsidRDefault="00060B89" w:rsidP="00060B89">
            <w:r w:rsidRPr="00060B89">
              <w:t>Term 4</w:t>
            </w:r>
          </w:p>
        </w:tc>
        <w:tc>
          <w:tcPr>
            <w:tcW w:w="939" w:type="dxa"/>
            <w:shd w:val="clear" w:color="auto" w:fill="auto"/>
          </w:tcPr>
          <w:p w14:paraId="6A9F0A66" w14:textId="737274DF" w:rsidR="0021300D" w:rsidRDefault="0021300D" w:rsidP="0021300D"/>
          <w:p w14:paraId="725ED3E8" w14:textId="4F2CE012" w:rsidR="0021300D" w:rsidRDefault="00E21F0E" w:rsidP="0021300D">
            <w:r>
              <w:t xml:space="preserve">N/A </w:t>
            </w:r>
            <w:r w:rsidR="0021300D">
              <w:t>C-19</w:t>
            </w:r>
          </w:p>
          <w:p w14:paraId="3AF450F6" w14:textId="0B52A083" w:rsidR="0021300D" w:rsidRDefault="0021300D" w:rsidP="0021300D"/>
          <w:p w14:paraId="3FB73BA7" w14:textId="63383BCF" w:rsidR="00060B89" w:rsidRPr="00060B89" w:rsidRDefault="00060B89" w:rsidP="0021300D"/>
        </w:tc>
      </w:tr>
      <w:tr w:rsidR="00060B89" w:rsidRPr="00060B89" w14:paraId="4743446C" w14:textId="77777777" w:rsidTr="00E21F0E">
        <w:trPr>
          <w:trHeight w:val="1161"/>
          <w:jc w:val="center"/>
        </w:trPr>
        <w:tc>
          <w:tcPr>
            <w:tcW w:w="5511" w:type="dxa"/>
            <w:shd w:val="clear" w:color="auto" w:fill="auto"/>
          </w:tcPr>
          <w:p w14:paraId="6B0D4EB2" w14:textId="77777777" w:rsidR="00060B89" w:rsidRPr="00060B89" w:rsidRDefault="00060B89" w:rsidP="00060B89">
            <w:r w:rsidRPr="00060B89">
              <w:t>Play Matters – Walker Learning (Kindergarten to Year 2)</w:t>
            </w:r>
          </w:p>
        </w:tc>
        <w:tc>
          <w:tcPr>
            <w:tcW w:w="867" w:type="dxa"/>
            <w:shd w:val="clear" w:color="auto" w:fill="auto"/>
          </w:tcPr>
          <w:p w14:paraId="7890F779" w14:textId="77777777" w:rsidR="00060B89" w:rsidRPr="00060B89" w:rsidRDefault="00060B89" w:rsidP="00060B89">
            <w:r w:rsidRPr="00060B89">
              <w:t>Term 1</w:t>
            </w:r>
          </w:p>
          <w:p w14:paraId="6C72E40D" w14:textId="77777777" w:rsidR="00060B89" w:rsidRPr="00060B89" w:rsidRDefault="00060B89" w:rsidP="00060B89">
            <w:r w:rsidRPr="00060B89">
              <w:t>Term 2</w:t>
            </w:r>
          </w:p>
          <w:p w14:paraId="0EA3B3BF" w14:textId="77777777" w:rsidR="00060B89" w:rsidRPr="00060B89" w:rsidRDefault="00060B89" w:rsidP="00060B89">
            <w:r w:rsidRPr="00060B89">
              <w:t>Term 3</w:t>
            </w:r>
          </w:p>
          <w:p w14:paraId="393364F4" w14:textId="77777777" w:rsidR="00060B89" w:rsidRPr="00060B89" w:rsidRDefault="00060B89" w:rsidP="00060B89">
            <w:r w:rsidRPr="00060B89">
              <w:t>Term 4</w:t>
            </w:r>
          </w:p>
        </w:tc>
        <w:tc>
          <w:tcPr>
            <w:tcW w:w="867" w:type="dxa"/>
            <w:shd w:val="clear" w:color="auto" w:fill="auto"/>
          </w:tcPr>
          <w:p w14:paraId="03B4B1D2" w14:textId="77777777" w:rsidR="00060B89" w:rsidRPr="00060B89" w:rsidRDefault="00060B89" w:rsidP="00060B89">
            <w:r w:rsidRPr="00060B89">
              <w:t>Term 1</w:t>
            </w:r>
          </w:p>
          <w:p w14:paraId="46167C36" w14:textId="77777777" w:rsidR="00060B89" w:rsidRPr="00060B89" w:rsidRDefault="00060B89" w:rsidP="00060B89">
            <w:r w:rsidRPr="00060B89">
              <w:t>Term 2</w:t>
            </w:r>
          </w:p>
          <w:p w14:paraId="67A802ED" w14:textId="77777777" w:rsidR="00060B89" w:rsidRPr="00060B89" w:rsidRDefault="00060B89" w:rsidP="00060B89">
            <w:r w:rsidRPr="00060B89">
              <w:t>Term 3</w:t>
            </w:r>
          </w:p>
          <w:p w14:paraId="338519BC" w14:textId="77777777" w:rsidR="00060B89" w:rsidRPr="00060B89" w:rsidRDefault="00060B89" w:rsidP="00060B89">
            <w:r w:rsidRPr="00060B89">
              <w:t>Term 4</w:t>
            </w:r>
          </w:p>
        </w:tc>
        <w:tc>
          <w:tcPr>
            <w:tcW w:w="867" w:type="dxa"/>
            <w:shd w:val="clear" w:color="auto" w:fill="auto"/>
          </w:tcPr>
          <w:p w14:paraId="143920C2" w14:textId="77777777" w:rsidR="00060B89" w:rsidRPr="00060B89" w:rsidRDefault="00060B89" w:rsidP="00060B89">
            <w:r w:rsidRPr="00060B89">
              <w:t>Term 1</w:t>
            </w:r>
          </w:p>
          <w:p w14:paraId="6EAA75AF" w14:textId="77777777" w:rsidR="00060B89" w:rsidRPr="00060B89" w:rsidRDefault="00060B89" w:rsidP="00060B89">
            <w:r w:rsidRPr="00060B89">
              <w:t>Term 2</w:t>
            </w:r>
          </w:p>
          <w:p w14:paraId="1C71B828" w14:textId="77777777" w:rsidR="00060B89" w:rsidRPr="00060B89" w:rsidRDefault="00060B89" w:rsidP="00060B89">
            <w:r w:rsidRPr="00060B89">
              <w:t>Term 3</w:t>
            </w:r>
          </w:p>
          <w:p w14:paraId="51B29A7E" w14:textId="77777777" w:rsidR="00060B89" w:rsidRPr="00060B89" w:rsidRDefault="00060B89" w:rsidP="00060B89">
            <w:r w:rsidRPr="00060B89">
              <w:t>Term 4</w:t>
            </w:r>
          </w:p>
        </w:tc>
        <w:tc>
          <w:tcPr>
            <w:tcW w:w="867" w:type="dxa"/>
            <w:shd w:val="clear" w:color="auto" w:fill="auto"/>
          </w:tcPr>
          <w:p w14:paraId="4BDDA3F2" w14:textId="77777777" w:rsidR="00060B89" w:rsidRPr="00060B89" w:rsidRDefault="00060B89" w:rsidP="00060B89">
            <w:r w:rsidRPr="00060B89">
              <w:t>Term 1</w:t>
            </w:r>
          </w:p>
          <w:p w14:paraId="10E76265" w14:textId="77777777" w:rsidR="00060B89" w:rsidRPr="00060B89" w:rsidRDefault="00060B89" w:rsidP="00060B89">
            <w:r w:rsidRPr="00060B89">
              <w:t>Term 2</w:t>
            </w:r>
          </w:p>
          <w:p w14:paraId="17B66A40" w14:textId="77777777" w:rsidR="00060B89" w:rsidRPr="00060B89" w:rsidRDefault="00060B89" w:rsidP="00060B89">
            <w:r w:rsidRPr="00060B89">
              <w:t>Term 3</w:t>
            </w:r>
          </w:p>
          <w:p w14:paraId="4C16DD82" w14:textId="77777777" w:rsidR="00060B89" w:rsidRPr="00060B89" w:rsidRDefault="00060B89" w:rsidP="00060B89">
            <w:r w:rsidRPr="00060B89">
              <w:t>Term 4</w:t>
            </w:r>
          </w:p>
        </w:tc>
        <w:tc>
          <w:tcPr>
            <w:tcW w:w="939" w:type="dxa"/>
            <w:shd w:val="clear" w:color="auto" w:fill="auto"/>
          </w:tcPr>
          <w:p w14:paraId="6F57B0B3" w14:textId="1536DB4D" w:rsidR="0021300D" w:rsidRDefault="0021300D" w:rsidP="0021300D"/>
          <w:p w14:paraId="243CB046" w14:textId="2A119679" w:rsidR="00060B89" w:rsidRPr="00060B89" w:rsidRDefault="00E21F0E" w:rsidP="0021300D">
            <w:r>
              <w:t xml:space="preserve">N/A </w:t>
            </w:r>
            <w:r w:rsidR="0021300D">
              <w:t>C-19</w:t>
            </w:r>
          </w:p>
        </w:tc>
      </w:tr>
      <w:tr w:rsidR="00060B89" w:rsidRPr="00060B89" w14:paraId="34BD4485" w14:textId="77777777" w:rsidTr="00E21F0E">
        <w:trPr>
          <w:trHeight w:val="1161"/>
          <w:jc w:val="center"/>
        </w:trPr>
        <w:tc>
          <w:tcPr>
            <w:tcW w:w="5511" w:type="dxa"/>
            <w:shd w:val="clear" w:color="auto" w:fill="auto"/>
          </w:tcPr>
          <w:p w14:paraId="7AA4B8A6" w14:textId="77777777" w:rsidR="00060B89" w:rsidRPr="00060B89" w:rsidRDefault="00060B89" w:rsidP="00060B89">
            <w:r w:rsidRPr="00060B89">
              <w:t>Engagement Matters – Walker Learning (Years 3 to 6)</w:t>
            </w:r>
          </w:p>
        </w:tc>
        <w:tc>
          <w:tcPr>
            <w:tcW w:w="867" w:type="dxa"/>
            <w:shd w:val="clear" w:color="auto" w:fill="auto"/>
          </w:tcPr>
          <w:p w14:paraId="1C4CBB35" w14:textId="77777777" w:rsidR="00060B89" w:rsidRPr="00060B89" w:rsidRDefault="00060B89" w:rsidP="00060B89"/>
        </w:tc>
        <w:tc>
          <w:tcPr>
            <w:tcW w:w="867" w:type="dxa"/>
            <w:shd w:val="clear" w:color="auto" w:fill="auto"/>
          </w:tcPr>
          <w:p w14:paraId="46B6A051" w14:textId="77777777" w:rsidR="00060B89" w:rsidRPr="00060B89" w:rsidRDefault="00060B89" w:rsidP="00060B89">
            <w:r w:rsidRPr="00060B89">
              <w:t>Term 1</w:t>
            </w:r>
          </w:p>
          <w:p w14:paraId="673128E0" w14:textId="77777777" w:rsidR="00060B89" w:rsidRPr="00060B89" w:rsidRDefault="00060B89" w:rsidP="00060B89">
            <w:r w:rsidRPr="00060B89">
              <w:t>Term 2</w:t>
            </w:r>
          </w:p>
          <w:p w14:paraId="63FA1754" w14:textId="77777777" w:rsidR="00060B89" w:rsidRPr="00060B89" w:rsidRDefault="00060B89" w:rsidP="00060B89">
            <w:r w:rsidRPr="00060B89">
              <w:t>Term 3</w:t>
            </w:r>
          </w:p>
          <w:p w14:paraId="0C5DD852" w14:textId="77777777" w:rsidR="00060B89" w:rsidRPr="00060B89" w:rsidRDefault="00060B89" w:rsidP="00060B89">
            <w:r w:rsidRPr="00060B89">
              <w:t>Term 4</w:t>
            </w:r>
          </w:p>
        </w:tc>
        <w:tc>
          <w:tcPr>
            <w:tcW w:w="867" w:type="dxa"/>
            <w:shd w:val="clear" w:color="auto" w:fill="auto"/>
          </w:tcPr>
          <w:p w14:paraId="07407D5C" w14:textId="77777777" w:rsidR="00060B89" w:rsidRPr="00060B89" w:rsidRDefault="00060B89" w:rsidP="00060B89">
            <w:r w:rsidRPr="00060B89">
              <w:t>Term 1</w:t>
            </w:r>
          </w:p>
          <w:p w14:paraId="5015F568" w14:textId="77777777" w:rsidR="00060B89" w:rsidRPr="00060B89" w:rsidRDefault="00060B89" w:rsidP="00060B89">
            <w:r w:rsidRPr="00060B89">
              <w:t>Term 2</w:t>
            </w:r>
          </w:p>
          <w:p w14:paraId="75747F74" w14:textId="77777777" w:rsidR="00060B89" w:rsidRPr="00060B89" w:rsidRDefault="00060B89" w:rsidP="00060B89">
            <w:r w:rsidRPr="00060B89">
              <w:t>Term 3</w:t>
            </w:r>
          </w:p>
          <w:p w14:paraId="114A7BD5" w14:textId="77777777" w:rsidR="00060B89" w:rsidRPr="00060B89" w:rsidRDefault="00060B89" w:rsidP="00060B89">
            <w:r w:rsidRPr="00060B89">
              <w:t>Term 4</w:t>
            </w:r>
          </w:p>
        </w:tc>
        <w:tc>
          <w:tcPr>
            <w:tcW w:w="867" w:type="dxa"/>
            <w:shd w:val="clear" w:color="auto" w:fill="auto"/>
          </w:tcPr>
          <w:p w14:paraId="717D4310" w14:textId="77777777" w:rsidR="00060B89" w:rsidRPr="00060B89" w:rsidRDefault="00060B89" w:rsidP="00060B89">
            <w:r w:rsidRPr="00060B89">
              <w:t>Term 1</w:t>
            </w:r>
          </w:p>
          <w:p w14:paraId="6D82AEDA" w14:textId="77777777" w:rsidR="00060B89" w:rsidRPr="00060B89" w:rsidRDefault="00060B89" w:rsidP="00060B89">
            <w:r w:rsidRPr="00060B89">
              <w:t>Term 2</w:t>
            </w:r>
          </w:p>
          <w:p w14:paraId="497ACCB8" w14:textId="77777777" w:rsidR="00060B89" w:rsidRPr="00060B89" w:rsidRDefault="00060B89" w:rsidP="00060B89">
            <w:r w:rsidRPr="00060B89">
              <w:t>Term 3</w:t>
            </w:r>
          </w:p>
          <w:p w14:paraId="070C7B80" w14:textId="77777777" w:rsidR="00060B89" w:rsidRPr="00060B89" w:rsidRDefault="00060B89" w:rsidP="00060B89">
            <w:r w:rsidRPr="00060B89">
              <w:t>Term 4</w:t>
            </w:r>
          </w:p>
        </w:tc>
        <w:tc>
          <w:tcPr>
            <w:tcW w:w="939" w:type="dxa"/>
            <w:shd w:val="clear" w:color="auto" w:fill="auto"/>
          </w:tcPr>
          <w:p w14:paraId="6AB4D61E" w14:textId="0D5819CC" w:rsidR="00060B89" w:rsidRDefault="00060B89" w:rsidP="00060B89"/>
          <w:p w14:paraId="752F96F4" w14:textId="3EBD3BEA" w:rsidR="0021300D" w:rsidRDefault="00E21F0E" w:rsidP="00060B89">
            <w:r>
              <w:t xml:space="preserve">N/A </w:t>
            </w:r>
            <w:r w:rsidR="0021300D">
              <w:t>C-19</w:t>
            </w:r>
          </w:p>
          <w:p w14:paraId="205033E8" w14:textId="5511FF1A" w:rsidR="0021300D" w:rsidRDefault="0021300D" w:rsidP="00060B89"/>
          <w:p w14:paraId="04EA8A03" w14:textId="12B1B178" w:rsidR="0021300D" w:rsidRPr="00060B89" w:rsidRDefault="0021300D" w:rsidP="00060B89"/>
        </w:tc>
      </w:tr>
      <w:tr w:rsidR="00060B89" w:rsidRPr="00060B89" w14:paraId="16CEC0C2" w14:textId="77777777" w:rsidTr="00E21F0E">
        <w:trPr>
          <w:trHeight w:val="1161"/>
          <w:jc w:val="center"/>
        </w:trPr>
        <w:tc>
          <w:tcPr>
            <w:tcW w:w="5511" w:type="dxa"/>
            <w:shd w:val="clear" w:color="auto" w:fill="auto"/>
          </w:tcPr>
          <w:p w14:paraId="5BFA7B54" w14:textId="77777777" w:rsidR="00060B89" w:rsidRPr="00060B89" w:rsidRDefault="00060B89" w:rsidP="00060B89">
            <w:r w:rsidRPr="00060B89">
              <w:t>The Power of Inquiry</w:t>
            </w:r>
          </w:p>
        </w:tc>
        <w:tc>
          <w:tcPr>
            <w:tcW w:w="867" w:type="dxa"/>
            <w:shd w:val="clear" w:color="auto" w:fill="auto"/>
          </w:tcPr>
          <w:p w14:paraId="335A3DA0" w14:textId="77777777" w:rsidR="00060B89" w:rsidRPr="00060B89" w:rsidRDefault="00060B89" w:rsidP="00060B89"/>
        </w:tc>
        <w:tc>
          <w:tcPr>
            <w:tcW w:w="867" w:type="dxa"/>
            <w:shd w:val="clear" w:color="auto" w:fill="auto"/>
          </w:tcPr>
          <w:p w14:paraId="27FB037C" w14:textId="77777777" w:rsidR="00060B89" w:rsidRPr="00060B89" w:rsidRDefault="00060B89" w:rsidP="00060B89"/>
        </w:tc>
        <w:tc>
          <w:tcPr>
            <w:tcW w:w="867" w:type="dxa"/>
            <w:shd w:val="clear" w:color="auto" w:fill="auto"/>
          </w:tcPr>
          <w:p w14:paraId="63C17626" w14:textId="77777777" w:rsidR="00060B89" w:rsidRPr="00060B89" w:rsidRDefault="00060B89" w:rsidP="00060B89"/>
          <w:p w14:paraId="0FDE824C" w14:textId="77777777" w:rsidR="00060B89" w:rsidRPr="00060B89" w:rsidRDefault="00060B89" w:rsidP="00060B89">
            <w:r w:rsidRPr="00060B89">
              <w:t>Term 2</w:t>
            </w:r>
          </w:p>
          <w:p w14:paraId="66396610" w14:textId="77777777" w:rsidR="00060B89" w:rsidRPr="00060B89" w:rsidRDefault="00060B89" w:rsidP="00060B89">
            <w:r w:rsidRPr="00060B89">
              <w:t>Term 3</w:t>
            </w:r>
          </w:p>
          <w:p w14:paraId="430D6674" w14:textId="77777777" w:rsidR="00060B89" w:rsidRPr="00060B89" w:rsidRDefault="00060B89" w:rsidP="00060B89">
            <w:r w:rsidRPr="00060B89">
              <w:t>Term 4</w:t>
            </w:r>
          </w:p>
        </w:tc>
        <w:tc>
          <w:tcPr>
            <w:tcW w:w="867" w:type="dxa"/>
            <w:shd w:val="clear" w:color="auto" w:fill="auto"/>
          </w:tcPr>
          <w:p w14:paraId="74204688" w14:textId="77777777" w:rsidR="00060B89" w:rsidRPr="00060B89" w:rsidRDefault="00060B89" w:rsidP="00060B89">
            <w:r w:rsidRPr="00060B89">
              <w:t>Term 1</w:t>
            </w:r>
          </w:p>
          <w:p w14:paraId="153EB9CF" w14:textId="77777777" w:rsidR="00060B89" w:rsidRPr="00060B89" w:rsidRDefault="00060B89" w:rsidP="00060B89">
            <w:r w:rsidRPr="00060B89">
              <w:t>Term 2</w:t>
            </w:r>
          </w:p>
          <w:p w14:paraId="226AEAFB" w14:textId="77777777" w:rsidR="00060B89" w:rsidRPr="00060B89" w:rsidRDefault="00060B89" w:rsidP="00060B89">
            <w:r w:rsidRPr="00060B89">
              <w:t>Term 3</w:t>
            </w:r>
          </w:p>
          <w:p w14:paraId="7AC55C2C" w14:textId="77777777" w:rsidR="00060B89" w:rsidRPr="00060B89" w:rsidRDefault="00060B89" w:rsidP="00060B89">
            <w:r w:rsidRPr="00060B89">
              <w:t>Term 4</w:t>
            </w:r>
          </w:p>
        </w:tc>
        <w:tc>
          <w:tcPr>
            <w:tcW w:w="939" w:type="dxa"/>
            <w:shd w:val="clear" w:color="auto" w:fill="auto"/>
          </w:tcPr>
          <w:p w14:paraId="53F6D03E" w14:textId="59ABA269" w:rsidR="0021300D" w:rsidRDefault="0021300D" w:rsidP="0021300D"/>
          <w:p w14:paraId="3E9FC8D1" w14:textId="27623AD9" w:rsidR="0021300D" w:rsidRDefault="00E21F0E" w:rsidP="0021300D">
            <w:r>
              <w:t xml:space="preserve">N/A </w:t>
            </w:r>
            <w:r w:rsidR="0021300D">
              <w:t>C-19</w:t>
            </w:r>
          </w:p>
          <w:p w14:paraId="12E7E227" w14:textId="65E384F2" w:rsidR="0021300D" w:rsidRDefault="0021300D" w:rsidP="0021300D"/>
          <w:p w14:paraId="006DFEA5" w14:textId="7569CBC0" w:rsidR="00060B89" w:rsidRPr="00060B89" w:rsidRDefault="00060B89" w:rsidP="0021300D"/>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0EC5043A" w14:textId="7B3E6BD1" w:rsidR="0021300D" w:rsidRDefault="00E21F0E" w:rsidP="003C69DC">
            <w:pPr>
              <w:pStyle w:val="PlainText"/>
              <w:numPr>
                <w:ilvl w:val="0"/>
                <w:numId w:val="2"/>
              </w:numPr>
              <w:ind w:left="426" w:hanging="425"/>
            </w:pPr>
            <w:r>
              <w:t>As o</w:t>
            </w:r>
            <w:r w:rsidR="0021300D">
              <w:t xml:space="preserve">ur school’s data collection was impacted by </w:t>
            </w:r>
            <w:r w:rsidR="00BC4D96">
              <w:t>CO</w:t>
            </w:r>
            <w:r w:rsidR="0021300D">
              <w:t>VID-19</w:t>
            </w:r>
            <w:r>
              <w:t xml:space="preserve">, </w:t>
            </w:r>
            <w:r w:rsidR="0021300D">
              <w:t xml:space="preserve"> </w:t>
            </w:r>
            <w:r>
              <w:t xml:space="preserve">there are significant implications for subsequent plans to include a systematic school wide collection of data over time </w:t>
            </w:r>
            <w:r w:rsidR="0021300D">
              <w:t xml:space="preserve">as most of our data used in this plan was from NAPLAN and PIPS/BASE which were impacted by not running at a national level. </w:t>
            </w:r>
            <w:r w:rsidR="0028059A">
              <w:t xml:space="preserve">Due to the interruption of COVID19, only the priority will be reported on. </w:t>
            </w:r>
          </w:p>
          <w:p w14:paraId="2DFB70DA" w14:textId="7181268B" w:rsidR="00161E50" w:rsidRDefault="0028059A" w:rsidP="00F60F49">
            <w:pPr>
              <w:pStyle w:val="PlainText"/>
              <w:numPr>
                <w:ilvl w:val="0"/>
                <w:numId w:val="2"/>
              </w:numPr>
              <w:ind w:left="426" w:hanging="425"/>
            </w:pPr>
            <w:r>
              <w:t>Our priorities have shifted in the late part of the life of the plan. The focus for all of 2020 was on implementing the PLC approach throughout the school and considerable gains have been made against this priority. The targets in the next plan will likely build on PLC structures in the school</w:t>
            </w:r>
          </w:p>
        </w:tc>
      </w:tr>
    </w:tbl>
    <w:p w14:paraId="113E7E85" w14:textId="4A8004DD" w:rsidR="002F4184" w:rsidRDefault="00937D6F" w:rsidP="002F4184">
      <w:pPr>
        <w:pStyle w:val="Heading3"/>
      </w:pPr>
      <w:r>
        <w:t>Our achievements for this priority</w:t>
      </w:r>
    </w:p>
    <w:p w14:paraId="2C475ECA" w14:textId="2331CE10"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71CDF82F" w14:textId="5683464D" w:rsidR="002F4184" w:rsidRDefault="003C1B43" w:rsidP="003C1B43">
            <w:pPr>
              <w:pStyle w:val="BodyText"/>
              <w:rPr>
                <w:b/>
              </w:rPr>
            </w:pPr>
            <w:r w:rsidRPr="003C1B43">
              <w:rPr>
                <w:b/>
              </w:rPr>
              <w:t xml:space="preserve">ACTION: Continue to develop and implement PLC practices at Mount Rogers Primary School </w:t>
            </w:r>
          </w:p>
          <w:p w14:paraId="60C32718" w14:textId="577E19FF" w:rsidR="00BB6ED8" w:rsidRPr="00450480" w:rsidRDefault="00BB6ED8" w:rsidP="00BB6ED8">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450480">
              <w:rPr>
                <w:rFonts w:asciiTheme="minorHAnsi" w:hAnsiTheme="minorHAnsi" w:cstheme="minorHAnsi"/>
                <w:color w:val="000000"/>
                <w:sz w:val="22"/>
                <w:szCs w:val="22"/>
              </w:rPr>
              <w:t xml:space="preserve">Staff meetings were re-imagined </w:t>
            </w:r>
            <w:r w:rsidR="00391B00" w:rsidRPr="00450480">
              <w:rPr>
                <w:rFonts w:asciiTheme="minorHAnsi" w:hAnsiTheme="minorHAnsi" w:cstheme="minorHAnsi"/>
                <w:color w:val="000000"/>
                <w:sz w:val="22"/>
                <w:szCs w:val="22"/>
              </w:rPr>
              <w:t>focussing</w:t>
            </w:r>
            <w:r w:rsidRPr="00450480">
              <w:rPr>
                <w:rFonts w:asciiTheme="minorHAnsi" w:hAnsiTheme="minorHAnsi" w:cstheme="minorHAnsi"/>
                <w:color w:val="000000"/>
                <w:sz w:val="22"/>
                <w:szCs w:val="22"/>
              </w:rPr>
              <w:t xml:space="preserve"> on PLC PL (process and real data) for teachers</w:t>
            </w:r>
          </w:p>
          <w:p w14:paraId="2E8A8556" w14:textId="26803F8E" w:rsidR="003C1B43" w:rsidRPr="00450480" w:rsidRDefault="003C1B43" w:rsidP="003C1B43">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450480">
              <w:rPr>
                <w:rFonts w:asciiTheme="minorHAnsi" w:hAnsiTheme="minorHAnsi" w:cstheme="minorHAnsi"/>
                <w:color w:val="000000"/>
                <w:sz w:val="22"/>
                <w:szCs w:val="22"/>
              </w:rPr>
              <w:t>Teachers participated in Guaranteed Curriculum PL and have guaranteed English &amp; Maths (and some other subjects) in all cohorts (except preschool)</w:t>
            </w:r>
          </w:p>
          <w:p w14:paraId="132A0B3D" w14:textId="6C90605B" w:rsidR="003C1B43" w:rsidRPr="00450480" w:rsidRDefault="003C1B43" w:rsidP="003C1B43">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450480">
              <w:rPr>
                <w:rFonts w:asciiTheme="minorHAnsi" w:hAnsiTheme="minorHAnsi" w:cstheme="minorHAnsi"/>
                <w:color w:val="000000"/>
                <w:sz w:val="22"/>
                <w:szCs w:val="22"/>
              </w:rPr>
              <w:t>All PLT’s participated in one or 2 cycles of PLC inquiry on topics relevant to their own cohorts</w:t>
            </w:r>
          </w:p>
          <w:p w14:paraId="79CD862E" w14:textId="0E5302A3" w:rsidR="003C1B43" w:rsidRPr="00450480" w:rsidRDefault="003C1B43" w:rsidP="003C1B43">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450480">
              <w:rPr>
                <w:rFonts w:asciiTheme="minorHAnsi" w:hAnsiTheme="minorHAnsi" w:cstheme="minorHAnsi"/>
                <w:color w:val="000000"/>
                <w:sz w:val="22"/>
                <w:szCs w:val="22"/>
              </w:rPr>
              <w:t xml:space="preserve">All PLTs have used cohort data to plan and implement </w:t>
            </w:r>
            <w:r w:rsidR="00BB6ED8" w:rsidRPr="00450480">
              <w:rPr>
                <w:rFonts w:asciiTheme="minorHAnsi" w:hAnsiTheme="minorHAnsi" w:cstheme="minorHAnsi"/>
                <w:color w:val="000000"/>
                <w:sz w:val="22"/>
                <w:szCs w:val="22"/>
              </w:rPr>
              <w:t>an RTI/RTN cycle</w:t>
            </w:r>
          </w:p>
          <w:p w14:paraId="4EFDD237" w14:textId="77777777" w:rsidR="003C1B43" w:rsidRPr="00450480" w:rsidRDefault="003C1B43" w:rsidP="003C1B43">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450480">
              <w:rPr>
                <w:rFonts w:asciiTheme="minorHAnsi" w:hAnsiTheme="minorHAnsi" w:cstheme="minorHAnsi"/>
                <w:color w:val="000000"/>
                <w:sz w:val="22"/>
                <w:szCs w:val="22"/>
              </w:rPr>
              <w:t>Whole school reading data has been collected for use in term 1 2020</w:t>
            </w:r>
          </w:p>
          <w:p w14:paraId="7A766483" w14:textId="77777777" w:rsidR="003C1B43" w:rsidRPr="00450480" w:rsidRDefault="003C1B43" w:rsidP="003C1B43">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450480">
              <w:rPr>
                <w:rFonts w:asciiTheme="minorHAnsi" w:hAnsiTheme="minorHAnsi" w:cstheme="minorHAnsi"/>
                <w:color w:val="000000"/>
                <w:sz w:val="22"/>
                <w:szCs w:val="22"/>
              </w:rPr>
              <w:t>School Leader A &amp; B have enrolled in formal PLC professional learning over summer</w:t>
            </w:r>
          </w:p>
          <w:p w14:paraId="2AFB024F" w14:textId="0C567E35" w:rsidR="003C1B43" w:rsidRPr="00450480" w:rsidRDefault="003C1B43" w:rsidP="003C1B43">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450480">
              <w:rPr>
                <w:rFonts w:asciiTheme="minorHAnsi" w:hAnsiTheme="minorHAnsi" w:cstheme="minorHAnsi"/>
                <w:color w:val="000000"/>
                <w:sz w:val="22"/>
                <w:szCs w:val="22"/>
              </w:rPr>
              <w:t>School Leader A has identified an external coach</w:t>
            </w:r>
            <w:r w:rsidR="00BB6ED8" w:rsidRPr="00450480">
              <w:rPr>
                <w:rFonts w:asciiTheme="minorHAnsi" w:hAnsiTheme="minorHAnsi" w:cstheme="minorHAnsi"/>
                <w:color w:val="000000"/>
                <w:sz w:val="22"/>
                <w:szCs w:val="22"/>
              </w:rPr>
              <w:t xml:space="preserve"> and scheduled visits with members of the </w:t>
            </w:r>
          </w:p>
          <w:p w14:paraId="7A9448F8" w14:textId="77777777" w:rsidR="003C1B43" w:rsidRPr="00450480" w:rsidRDefault="003C1B43" w:rsidP="003C1B43">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450480">
              <w:rPr>
                <w:rFonts w:asciiTheme="minorHAnsi" w:hAnsiTheme="minorHAnsi" w:cstheme="minorHAnsi"/>
                <w:color w:val="000000"/>
                <w:sz w:val="22"/>
                <w:szCs w:val="22"/>
              </w:rPr>
              <w:t>School Leader A and members of the Advocate Group (AGs!) will be able to visit and complete guided observation of PLC processes in another setting)</w:t>
            </w:r>
          </w:p>
          <w:p w14:paraId="55321117" w14:textId="3F806A84" w:rsidR="00BB6ED8" w:rsidRPr="00450480" w:rsidRDefault="003C1B43" w:rsidP="006358C2">
            <w:pPr>
              <w:pStyle w:val="NormalWeb"/>
              <w:numPr>
                <w:ilvl w:val="0"/>
                <w:numId w:val="19"/>
              </w:numPr>
              <w:spacing w:before="0" w:beforeAutospacing="0" w:after="120" w:afterAutospacing="0"/>
              <w:textAlignment w:val="baseline"/>
              <w:rPr>
                <w:rFonts w:asciiTheme="minorHAnsi" w:hAnsiTheme="minorHAnsi" w:cstheme="minorHAnsi"/>
                <w:sz w:val="22"/>
                <w:szCs w:val="22"/>
              </w:rPr>
            </w:pPr>
            <w:r w:rsidRPr="00450480">
              <w:rPr>
                <w:rFonts w:asciiTheme="minorHAnsi" w:hAnsiTheme="minorHAnsi" w:cstheme="minorHAnsi"/>
                <w:color w:val="000000"/>
                <w:sz w:val="22"/>
                <w:szCs w:val="22"/>
              </w:rPr>
              <w:t>The advocate group has formed and met 4 times – there has been in action in and in between in each meeting</w:t>
            </w:r>
          </w:p>
          <w:p w14:paraId="3C831BA0" w14:textId="7A20893D" w:rsidR="00BB6ED8" w:rsidRPr="00450480" w:rsidRDefault="00BB6ED8" w:rsidP="006358C2">
            <w:pPr>
              <w:pStyle w:val="NormalWeb"/>
              <w:numPr>
                <w:ilvl w:val="0"/>
                <w:numId w:val="19"/>
              </w:numPr>
              <w:spacing w:before="0" w:beforeAutospacing="0" w:after="120" w:afterAutospacing="0"/>
              <w:textAlignment w:val="baseline"/>
              <w:rPr>
                <w:rFonts w:asciiTheme="minorHAnsi" w:hAnsiTheme="minorHAnsi" w:cstheme="minorHAnsi"/>
                <w:sz w:val="22"/>
                <w:szCs w:val="22"/>
              </w:rPr>
            </w:pPr>
            <w:r w:rsidRPr="00450480">
              <w:rPr>
                <w:rFonts w:asciiTheme="minorHAnsi" w:hAnsiTheme="minorHAnsi" w:cstheme="minorHAnsi"/>
                <w:color w:val="000000"/>
                <w:sz w:val="22"/>
                <w:szCs w:val="22"/>
              </w:rPr>
              <w:t>Advocate meetings record operational and strategic focus</w:t>
            </w:r>
          </w:p>
          <w:p w14:paraId="4D0ABCEE" w14:textId="658BCE90" w:rsidR="003C1B43" w:rsidRPr="00450480" w:rsidRDefault="00BB6ED8" w:rsidP="006358C2">
            <w:pPr>
              <w:pStyle w:val="NormalWeb"/>
              <w:numPr>
                <w:ilvl w:val="0"/>
                <w:numId w:val="19"/>
              </w:numPr>
              <w:spacing w:before="0" w:beforeAutospacing="0" w:after="120" w:afterAutospacing="0"/>
              <w:textAlignment w:val="baseline"/>
              <w:rPr>
                <w:rFonts w:asciiTheme="minorHAnsi" w:hAnsiTheme="minorHAnsi" w:cstheme="minorHAnsi"/>
                <w:sz w:val="22"/>
                <w:szCs w:val="22"/>
              </w:rPr>
            </w:pPr>
            <w:r w:rsidRPr="00450480">
              <w:rPr>
                <w:rFonts w:asciiTheme="minorHAnsi" w:hAnsiTheme="minorHAnsi" w:cstheme="minorHAnsi"/>
                <w:sz w:val="22"/>
                <w:szCs w:val="22"/>
              </w:rPr>
              <w:t>I</w:t>
            </w:r>
            <w:r w:rsidR="003C1B43" w:rsidRPr="00450480">
              <w:rPr>
                <w:rFonts w:asciiTheme="minorHAnsi" w:hAnsiTheme="minorHAnsi" w:cstheme="minorHAnsi"/>
                <w:sz w:val="22"/>
                <w:szCs w:val="22"/>
              </w:rPr>
              <w:t>ncorporating remediation and extension of guaranteed skills through RTI/RTN teaching cycles</w:t>
            </w:r>
          </w:p>
          <w:p w14:paraId="2FFEC237" w14:textId="77777777" w:rsidR="003C1B43" w:rsidRPr="00450480" w:rsidRDefault="003C1B43" w:rsidP="003C1B43">
            <w:pPr>
              <w:pStyle w:val="ListBullet"/>
              <w:numPr>
                <w:ilvl w:val="0"/>
                <w:numId w:val="19"/>
              </w:numPr>
              <w:rPr>
                <w:rFonts w:cstheme="minorHAnsi"/>
              </w:rPr>
            </w:pPr>
            <w:r w:rsidRPr="00450480">
              <w:rPr>
                <w:rFonts w:cstheme="minorHAnsi"/>
              </w:rPr>
              <w:t>Reallocating resourcing to allow cohort PLTs and vertical PLTs to research, plan and implement best practice pedagogy plan for learning based on school data</w:t>
            </w:r>
          </w:p>
          <w:p w14:paraId="3ACD38C8" w14:textId="6E082C37" w:rsidR="003C1B43" w:rsidRDefault="003C1B43" w:rsidP="003C1B43">
            <w:pPr>
              <w:pStyle w:val="ListBullet"/>
              <w:numPr>
                <w:ilvl w:val="0"/>
                <w:numId w:val="0"/>
              </w:numPr>
              <w:ind w:left="360" w:hanging="360"/>
            </w:pPr>
          </w:p>
          <w:p w14:paraId="4A9538D5" w14:textId="60B541DE" w:rsidR="003C1B43" w:rsidRPr="003C1B43" w:rsidRDefault="003C1B43" w:rsidP="003C1B43">
            <w:pPr>
              <w:pStyle w:val="ListBullet"/>
              <w:numPr>
                <w:ilvl w:val="0"/>
                <w:numId w:val="0"/>
              </w:numPr>
              <w:ind w:left="360" w:hanging="360"/>
              <w:rPr>
                <w:b/>
                <w:bCs/>
              </w:rPr>
            </w:pPr>
            <w:r w:rsidRPr="003C1B43">
              <w:rPr>
                <w:b/>
                <w:bCs/>
              </w:rPr>
              <w:t xml:space="preserve">ACTION: </w:t>
            </w:r>
            <w:r w:rsidRPr="003C1B43">
              <w:rPr>
                <w:b/>
                <w:bCs/>
                <w:color w:val="000000" w:themeColor="text1"/>
              </w:rPr>
              <w:t>Conduct a ‘spiral of inquiry’ into maths teaching and learning</w:t>
            </w:r>
          </w:p>
          <w:p w14:paraId="48C5D032" w14:textId="16140BE7" w:rsidR="00CA26FB" w:rsidRPr="00CA26FB" w:rsidRDefault="003C1B43" w:rsidP="003C1B43">
            <w:pPr>
              <w:pStyle w:val="ListBullet"/>
              <w:numPr>
                <w:ilvl w:val="0"/>
                <w:numId w:val="19"/>
              </w:numPr>
            </w:pPr>
            <w:r>
              <w:t>Implementing data cycles of PLC inquiry</w:t>
            </w:r>
          </w:p>
        </w:tc>
      </w:tr>
    </w:tbl>
    <w:p w14:paraId="53530C31" w14:textId="77777777" w:rsidR="00937D6F" w:rsidRDefault="00937D6F" w:rsidP="00937D6F">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p w14:paraId="73AF730F" w14:textId="48BAF1C3"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098F11A5" w14:textId="77777777" w:rsidR="00450480" w:rsidRDefault="006C2D62" w:rsidP="006C2D62">
            <w:pPr>
              <w:pStyle w:val="ListBullet"/>
              <w:numPr>
                <w:ilvl w:val="0"/>
                <w:numId w:val="0"/>
              </w:numPr>
              <w:ind w:left="360" w:hanging="360"/>
            </w:pPr>
            <w:r>
              <w:t xml:space="preserve">Challenges in working as a PLC will be met through </w:t>
            </w:r>
            <w:r w:rsidR="00DC74EC">
              <w:t>using the PLC Maturity Matrix</w:t>
            </w:r>
            <w:r w:rsidR="00BB6ED8">
              <w:t xml:space="preserve"> from </w:t>
            </w:r>
          </w:p>
          <w:p w14:paraId="4D467D62" w14:textId="4F0EE5B4" w:rsidR="00932E67" w:rsidRDefault="006C2D62" w:rsidP="006C2D62">
            <w:pPr>
              <w:pStyle w:val="ListBullet"/>
              <w:numPr>
                <w:ilvl w:val="0"/>
                <w:numId w:val="0"/>
              </w:numPr>
              <w:ind w:left="360" w:hanging="360"/>
            </w:pPr>
            <w:r>
              <w:t>Emerging level to Evolving by end of 2021</w:t>
            </w:r>
            <w:r w:rsidR="00DC74EC">
              <w:t>. Initially, this will include the following actions:</w:t>
            </w:r>
          </w:p>
          <w:p w14:paraId="4A43B662" w14:textId="77777777" w:rsidR="00450480" w:rsidRDefault="00450480" w:rsidP="006C2D62">
            <w:pPr>
              <w:pStyle w:val="ListBullet"/>
              <w:numPr>
                <w:ilvl w:val="0"/>
                <w:numId w:val="0"/>
              </w:numPr>
              <w:ind w:left="360" w:hanging="360"/>
            </w:pPr>
          </w:p>
          <w:p w14:paraId="0E373A27" w14:textId="7EDDB607" w:rsidR="006C2D62" w:rsidRPr="006C2D62" w:rsidRDefault="00DC74EC" w:rsidP="006C2D62">
            <w:pPr>
              <w:numPr>
                <w:ilvl w:val="0"/>
                <w:numId w:val="20"/>
              </w:numPr>
              <w:textAlignment w:val="baseline"/>
              <w:rPr>
                <w:rFonts w:ascii="Calibri" w:eastAsia="Times New Roman" w:hAnsi="Calibri" w:cs="Calibri"/>
                <w:color w:val="000000"/>
                <w:lang w:eastAsia="en-AU"/>
              </w:rPr>
            </w:pPr>
            <w:r>
              <w:rPr>
                <w:rFonts w:ascii="Calibri" w:eastAsia="Times New Roman" w:hAnsi="Calibri" w:cs="Calibri"/>
                <w:color w:val="000000"/>
                <w:lang w:eastAsia="en-AU"/>
              </w:rPr>
              <w:t>Semester Check in surveys from each teacher</w:t>
            </w:r>
          </w:p>
          <w:p w14:paraId="77BEA163" w14:textId="77777777" w:rsidR="006C2D62" w:rsidRPr="006C2D62" w:rsidRDefault="006C2D62" w:rsidP="006C2D62">
            <w:pPr>
              <w:numPr>
                <w:ilvl w:val="0"/>
                <w:numId w:val="20"/>
              </w:numPr>
              <w:textAlignment w:val="baseline"/>
              <w:rPr>
                <w:rFonts w:ascii="Calibri" w:eastAsia="Times New Roman" w:hAnsi="Calibri" w:cs="Calibri"/>
                <w:color w:val="000000"/>
                <w:lang w:eastAsia="en-AU"/>
              </w:rPr>
            </w:pPr>
            <w:r w:rsidRPr="006C2D62">
              <w:rPr>
                <w:rFonts w:ascii="Calibri" w:eastAsia="Times New Roman" w:hAnsi="Calibri" w:cs="Calibri"/>
                <w:color w:val="000000"/>
                <w:lang w:eastAsia="en-AU"/>
              </w:rPr>
              <w:t>Guaranteed Curriculum review by executive</w:t>
            </w:r>
          </w:p>
          <w:p w14:paraId="75BCD2F4" w14:textId="78440600" w:rsidR="006C2D62" w:rsidRPr="006C2D62" w:rsidRDefault="006C2D62" w:rsidP="006C2D62">
            <w:pPr>
              <w:numPr>
                <w:ilvl w:val="0"/>
                <w:numId w:val="21"/>
              </w:numPr>
              <w:textAlignment w:val="baseline"/>
              <w:rPr>
                <w:rFonts w:ascii="Calibri" w:eastAsia="Times New Roman" w:hAnsi="Calibri" w:cs="Calibri"/>
                <w:color w:val="000000"/>
                <w:lang w:eastAsia="en-AU"/>
              </w:rPr>
            </w:pPr>
            <w:r w:rsidRPr="006C2D62">
              <w:rPr>
                <w:rFonts w:ascii="Calibri" w:eastAsia="Times New Roman" w:hAnsi="Calibri" w:cs="Calibri"/>
                <w:color w:val="000000"/>
                <w:lang w:eastAsia="en-AU"/>
              </w:rPr>
              <w:t xml:space="preserve">Reorganisation of </w:t>
            </w:r>
            <w:r>
              <w:rPr>
                <w:rFonts w:ascii="Calibri" w:eastAsia="Times New Roman" w:hAnsi="Calibri" w:cs="Calibri"/>
                <w:color w:val="000000"/>
                <w:lang w:eastAsia="en-AU"/>
              </w:rPr>
              <w:t>the role of the L</w:t>
            </w:r>
            <w:r w:rsidRPr="006C2D62">
              <w:rPr>
                <w:rFonts w:ascii="Calibri" w:eastAsia="Times New Roman" w:hAnsi="Calibri" w:cs="Calibri"/>
                <w:color w:val="000000"/>
                <w:lang w:eastAsia="en-AU"/>
              </w:rPr>
              <w:t xml:space="preserve">eadership </w:t>
            </w:r>
            <w:r>
              <w:rPr>
                <w:rFonts w:ascii="Calibri" w:eastAsia="Times New Roman" w:hAnsi="Calibri" w:cs="Calibri"/>
                <w:color w:val="000000"/>
                <w:lang w:eastAsia="en-AU"/>
              </w:rPr>
              <w:t>T</w:t>
            </w:r>
            <w:r w:rsidRPr="006C2D62">
              <w:rPr>
                <w:rFonts w:ascii="Calibri" w:eastAsia="Times New Roman" w:hAnsi="Calibri" w:cs="Calibri"/>
                <w:color w:val="000000"/>
                <w:lang w:eastAsia="en-AU"/>
              </w:rPr>
              <w:t xml:space="preserve">eam </w:t>
            </w:r>
          </w:p>
          <w:p w14:paraId="67F5E1F6" w14:textId="77777777" w:rsidR="006C2D62" w:rsidRPr="006C2D62" w:rsidRDefault="006C2D62" w:rsidP="006C2D62">
            <w:pPr>
              <w:numPr>
                <w:ilvl w:val="0"/>
                <w:numId w:val="21"/>
              </w:numPr>
              <w:textAlignment w:val="baseline"/>
              <w:rPr>
                <w:rFonts w:ascii="Calibri" w:eastAsia="Times New Roman" w:hAnsi="Calibri" w:cs="Calibri"/>
                <w:color w:val="000000"/>
                <w:lang w:eastAsia="en-AU"/>
              </w:rPr>
            </w:pPr>
            <w:r w:rsidRPr="006C2D62">
              <w:rPr>
                <w:rFonts w:ascii="Calibri" w:eastAsia="Times New Roman" w:hAnsi="Calibri" w:cs="Calibri"/>
                <w:color w:val="000000"/>
                <w:lang w:eastAsia="en-AU"/>
              </w:rPr>
              <w:t>Vertical alignment of guaranteed curriculum – all teachers to participate</w:t>
            </w:r>
          </w:p>
          <w:p w14:paraId="5EEA7601" w14:textId="77777777" w:rsidR="006C2D62" w:rsidRPr="006C2D62" w:rsidRDefault="006C2D62" w:rsidP="006C2D62">
            <w:pPr>
              <w:numPr>
                <w:ilvl w:val="0"/>
                <w:numId w:val="21"/>
              </w:numPr>
              <w:textAlignment w:val="baseline"/>
              <w:rPr>
                <w:rFonts w:ascii="Calibri" w:eastAsia="Times New Roman" w:hAnsi="Calibri" w:cs="Calibri"/>
                <w:color w:val="000000"/>
                <w:lang w:eastAsia="en-AU"/>
              </w:rPr>
            </w:pPr>
            <w:r w:rsidRPr="006C2D62">
              <w:rPr>
                <w:rFonts w:ascii="Calibri" w:eastAsia="Times New Roman" w:hAnsi="Calibri" w:cs="Calibri"/>
                <w:color w:val="000000"/>
                <w:lang w:eastAsia="en-AU"/>
              </w:rPr>
              <w:t>Admin and support educators attend PLC PL</w:t>
            </w:r>
          </w:p>
          <w:p w14:paraId="63BDE3D2" w14:textId="77777777" w:rsidR="006C2D62" w:rsidRPr="006C2D62" w:rsidRDefault="006C2D62" w:rsidP="006C2D62">
            <w:pPr>
              <w:numPr>
                <w:ilvl w:val="0"/>
                <w:numId w:val="21"/>
              </w:numPr>
              <w:textAlignment w:val="baseline"/>
              <w:rPr>
                <w:rFonts w:ascii="Calibri" w:eastAsia="Times New Roman" w:hAnsi="Calibri" w:cs="Calibri"/>
                <w:color w:val="000000"/>
                <w:lang w:eastAsia="en-AU"/>
              </w:rPr>
            </w:pPr>
            <w:r w:rsidRPr="006C2D62">
              <w:rPr>
                <w:rFonts w:ascii="Calibri" w:eastAsia="Times New Roman" w:hAnsi="Calibri" w:cs="Calibri"/>
                <w:color w:val="000000"/>
                <w:lang w:eastAsia="en-AU"/>
              </w:rPr>
              <w:t>Admin and support educators participate in whole school reading inquiry &amp; at least one team inquiry </w:t>
            </w:r>
          </w:p>
          <w:p w14:paraId="06D9D8DE" w14:textId="77777777" w:rsidR="006C2D62" w:rsidRPr="006C2D62" w:rsidRDefault="006C2D62" w:rsidP="006C2D62">
            <w:pPr>
              <w:numPr>
                <w:ilvl w:val="0"/>
                <w:numId w:val="21"/>
              </w:numPr>
              <w:textAlignment w:val="baseline"/>
              <w:rPr>
                <w:rFonts w:ascii="Calibri" w:eastAsia="Times New Roman" w:hAnsi="Calibri" w:cs="Calibri"/>
                <w:color w:val="000000"/>
                <w:lang w:eastAsia="en-AU"/>
              </w:rPr>
            </w:pPr>
            <w:r w:rsidRPr="006C2D62">
              <w:rPr>
                <w:rFonts w:ascii="Calibri" w:eastAsia="Times New Roman" w:hAnsi="Calibri" w:cs="Calibri"/>
                <w:color w:val="000000"/>
                <w:lang w:eastAsia="en-AU"/>
              </w:rPr>
              <w:t>Connection of mission and vision to our daily work</w:t>
            </w:r>
          </w:p>
          <w:p w14:paraId="6E616D80" w14:textId="77777777" w:rsidR="006C2D62" w:rsidRPr="006C2D62" w:rsidRDefault="006C2D62" w:rsidP="006C2D62">
            <w:pPr>
              <w:numPr>
                <w:ilvl w:val="0"/>
                <w:numId w:val="21"/>
              </w:numPr>
              <w:textAlignment w:val="baseline"/>
              <w:rPr>
                <w:rFonts w:ascii="Calibri" w:eastAsia="Times New Roman" w:hAnsi="Calibri" w:cs="Calibri"/>
                <w:color w:val="000000"/>
                <w:lang w:eastAsia="en-AU"/>
              </w:rPr>
            </w:pPr>
            <w:r w:rsidRPr="006C2D62">
              <w:rPr>
                <w:rFonts w:ascii="Calibri" w:eastAsia="Times New Roman" w:hAnsi="Calibri" w:cs="Calibri"/>
                <w:color w:val="000000"/>
                <w:lang w:eastAsia="en-AU"/>
              </w:rPr>
              <w:t>One whole school PLC Agenda template being used</w:t>
            </w:r>
          </w:p>
          <w:p w14:paraId="3E28CC10" w14:textId="77777777" w:rsidR="006C2D62" w:rsidRDefault="006C2D62" w:rsidP="00DC74EC">
            <w:pPr>
              <w:pStyle w:val="ListBullet"/>
              <w:numPr>
                <w:ilvl w:val="0"/>
                <w:numId w:val="0"/>
              </w:numPr>
              <w:ind w:left="720"/>
            </w:pPr>
          </w:p>
          <w:p w14:paraId="21501890" w14:textId="1F65C526" w:rsidR="00937D6F" w:rsidRDefault="00937D6F" w:rsidP="006C2D62">
            <w:pPr>
              <w:pStyle w:val="ListBullet2"/>
              <w:numPr>
                <w:ilvl w:val="0"/>
                <w:numId w:val="0"/>
              </w:numPr>
              <w:ind w:left="714" w:hanging="357"/>
            </w:pP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19EFFAE5" w14:textId="77777777" w:rsidR="00E21F0E" w:rsidRDefault="00EB70CE" w:rsidP="00E21F0E">
      <w:pPr>
        <w:pStyle w:val="Heading2"/>
        <w:tabs>
          <w:tab w:val="clear" w:pos="2410"/>
          <w:tab w:val="left" w:pos="1276"/>
        </w:tabs>
        <w:ind w:left="1276" w:hanging="1276"/>
        <w:rPr>
          <w:b/>
          <w:bCs/>
          <w:color w:val="auto"/>
        </w:rPr>
      </w:pPr>
      <w:r w:rsidRPr="000F0410">
        <w:t xml:space="preserve">Priority </w:t>
      </w:r>
      <w:r>
        <w:t>2</w:t>
      </w:r>
      <w:r w:rsidRPr="000F0410">
        <w:t>:</w:t>
      </w:r>
      <w:r w:rsidRPr="000F0410">
        <w:rPr>
          <w:color w:val="auto"/>
        </w:rPr>
        <w:tab/>
      </w:r>
      <w:r w:rsidR="00E21F0E" w:rsidRPr="00E304CF">
        <w:rPr>
          <w:b/>
          <w:bCs/>
          <w:color w:val="auto"/>
        </w:rPr>
        <w:t xml:space="preserve">Students grow as independent inquirers  </w:t>
      </w:r>
    </w:p>
    <w:p w14:paraId="516A240E" w14:textId="3F181525" w:rsidR="00EB70CE" w:rsidRPr="00837137" w:rsidRDefault="00EB70CE" w:rsidP="00E21F0E">
      <w:pPr>
        <w:pStyle w:val="Heading2"/>
        <w:tabs>
          <w:tab w:val="clear" w:pos="2410"/>
          <w:tab w:val="left" w:pos="1276"/>
        </w:tabs>
        <w:ind w:left="1276" w:hanging="1276"/>
      </w:pPr>
      <w:bookmarkStart w:id="2" w:name="_Hlk59187695"/>
      <w:r w:rsidRPr="00837137">
        <w:t>Targets or measures</w:t>
      </w:r>
    </w:p>
    <w:bookmarkEnd w:id="2"/>
    <w:p w14:paraId="74AEAB93" w14:textId="49A2C792" w:rsidR="00EB70CE" w:rsidRPr="00837137" w:rsidRDefault="00E21F0E" w:rsidP="00EB70CE">
      <w:pPr>
        <w:pStyle w:val="ListBullet"/>
      </w:pPr>
      <w:r>
        <w:t>Priority not reported against in 2020</w:t>
      </w:r>
    </w:p>
    <w:p w14:paraId="5D03B15F" w14:textId="1BB83E21" w:rsidR="00EB70CE" w:rsidRDefault="00EB70CE" w:rsidP="00EB70CE">
      <w:pPr>
        <w:rPr>
          <w:b/>
        </w:rPr>
      </w:pPr>
    </w:p>
    <w:p w14:paraId="06344073" w14:textId="1D9921B2" w:rsidR="00391B00" w:rsidRDefault="00391B00" w:rsidP="00EB70CE">
      <w:pPr>
        <w:rPr>
          <w:b/>
        </w:rPr>
      </w:pPr>
    </w:p>
    <w:p w14:paraId="16AE59B2" w14:textId="77777777" w:rsidR="00391B00" w:rsidRDefault="00391B00" w:rsidP="00EB70CE">
      <w:pPr>
        <w:rPr>
          <w:b/>
        </w:rPr>
      </w:pPr>
    </w:p>
    <w:p w14:paraId="71B86871" w14:textId="2381C6A7" w:rsidR="00EB70CE" w:rsidRDefault="00EB70CE" w:rsidP="00EB70CE">
      <w:pPr>
        <w:pStyle w:val="Heading2"/>
        <w:tabs>
          <w:tab w:val="clear" w:pos="2410"/>
          <w:tab w:val="left" w:pos="1276"/>
        </w:tabs>
        <w:ind w:left="1276" w:hanging="1276"/>
        <w:rPr>
          <w:b/>
          <w:bCs/>
          <w:color w:val="auto"/>
        </w:rPr>
      </w:pPr>
      <w:r w:rsidRPr="000F0410">
        <w:t xml:space="preserve">Priority </w:t>
      </w:r>
      <w:r>
        <w:t>3</w:t>
      </w:r>
      <w:r w:rsidRPr="000F0410">
        <w:t>:</w:t>
      </w:r>
      <w:r w:rsidRPr="000F0410">
        <w:rPr>
          <w:color w:val="auto"/>
        </w:rPr>
        <w:tab/>
      </w:r>
      <w:r w:rsidR="00E21F0E" w:rsidRPr="00E304CF">
        <w:rPr>
          <w:b/>
          <w:bCs/>
          <w:color w:val="auto"/>
        </w:rPr>
        <w:t xml:space="preserve">Strengthen practices to build and maintain positive caring relationships between staff, </w:t>
      </w:r>
      <w:proofErr w:type="gramStart"/>
      <w:r w:rsidR="00E21F0E" w:rsidRPr="00E304CF">
        <w:rPr>
          <w:b/>
          <w:bCs/>
          <w:color w:val="auto"/>
        </w:rPr>
        <w:t>students</w:t>
      </w:r>
      <w:proofErr w:type="gramEnd"/>
      <w:r w:rsidR="00E21F0E" w:rsidRPr="00E304CF">
        <w:rPr>
          <w:b/>
          <w:bCs/>
          <w:color w:val="auto"/>
        </w:rPr>
        <w:t xml:space="preserve"> and parents</w:t>
      </w:r>
    </w:p>
    <w:p w14:paraId="6997F526" w14:textId="05A493FE" w:rsidR="00762261" w:rsidRDefault="00762261" w:rsidP="00762261">
      <w:pPr>
        <w:pStyle w:val="Heading2"/>
        <w:tabs>
          <w:tab w:val="clear" w:pos="2410"/>
          <w:tab w:val="left" w:pos="1276"/>
        </w:tabs>
        <w:ind w:left="1276" w:hanging="1276"/>
      </w:pPr>
      <w:r w:rsidRPr="00837137">
        <w:t>Targets or measures</w:t>
      </w:r>
    </w:p>
    <w:p w14:paraId="6B7A96B1" w14:textId="77777777" w:rsidR="00762261" w:rsidRPr="00837137" w:rsidRDefault="00762261" w:rsidP="00762261">
      <w:pPr>
        <w:pStyle w:val="ListBullet"/>
      </w:pPr>
      <w:r>
        <w:t>Priority not reported against in 2020</w:t>
      </w:r>
    </w:p>
    <w:p w14:paraId="15CE1AF1" w14:textId="77777777" w:rsidR="00762261" w:rsidRPr="00762261" w:rsidRDefault="00762261" w:rsidP="00762261"/>
    <w:p w14:paraId="05A9A145" w14:textId="77777777" w:rsidR="00271528" w:rsidRPr="00557F65" w:rsidRDefault="00271528" w:rsidP="00E061B8">
      <w:pPr>
        <w:pStyle w:val="Heading2"/>
      </w:pPr>
      <w:r>
        <w:t>Reporting on preschool improvement</w:t>
      </w:r>
    </w:p>
    <w:p w14:paraId="579C7EB3" w14:textId="1B370386"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xml:space="preserve">. Schools have a choice to </w:t>
      </w:r>
      <w:r w:rsidR="00AF0BBA">
        <w:t xml:space="preserve">report progress and achievements </w:t>
      </w:r>
      <w:r>
        <w:t xml:space="preserve">either </w:t>
      </w:r>
      <w:r w:rsidR="00AF0BBA">
        <w:t xml:space="preserve">within their </w:t>
      </w:r>
      <w:r>
        <w:t xml:space="preserve">QIP </w:t>
      </w:r>
      <w:r w:rsidR="00AF0BBA">
        <w:t xml:space="preserve">or in the </w:t>
      </w:r>
      <w:r w:rsidR="00282D2C">
        <w:t>section below.</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453B0EED" w14:textId="51D361C5" w:rsidR="00932E67" w:rsidRDefault="000E592A" w:rsidP="00932E67">
            <w:pPr>
              <w:pStyle w:val="ListBullet"/>
            </w:pPr>
            <w:r>
              <w:t>Reporting through QIP in 2020</w:t>
            </w:r>
          </w:p>
          <w:p w14:paraId="3A347D64" w14:textId="77777777" w:rsidR="00271528" w:rsidRDefault="00271528" w:rsidP="000E592A">
            <w:pPr>
              <w:pStyle w:val="BodyText"/>
            </w:pPr>
          </w:p>
          <w:p w14:paraId="5900898A" w14:textId="77777777" w:rsidR="00F928C1" w:rsidRPr="00FD53D3" w:rsidRDefault="00F928C1" w:rsidP="00F928C1">
            <w:pPr>
              <w:rPr>
                <w:rFonts w:ascii="Calibri" w:eastAsia="Times New Roman" w:hAnsi="Calibri" w:cs="Calibri"/>
                <w:b/>
                <w:bCs/>
                <w:color w:val="000000" w:themeColor="text1"/>
                <w:u w:val="single"/>
              </w:rPr>
            </w:pPr>
            <w:r w:rsidRPr="00FD53D3">
              <w:rPr>
                <w:rFonts w:ascii="Calibri" w:eastAsia="Times New Roman" w:hAnsi="Calibri" w:cs="Calibri"/>
                <w:b/>
                <w:bCs/>
                <w:color w:val="000000" w:themeColor="text1"/>
                <w:u w:val="single"/>
              </w:rPr>
              <w:t>Professional Learning</w:t>
            </w:r>
          </w:p>
          <w:p w14:paraId="04A952D2" w14:textId="77777777" w:rsidR="00F928C1" w:rsidRPr="00F928C1" w:rsidRDefault="00F928C1" w:rsidP="00F928C1">
            <w:pPr>
              <w:rPr>
                <w:rFonts w:ascii="Calibri" w:eastAsia="Times New Roman" w:hAnsi="Calibri" w:cs="Calibri"/>
                <w:b/>
                <w:bCs/>
                <w:color w:val="000000" w:themeColor="text1"/>
                <w:u w:val="single"/>
              </w:rPr>
            </w:pPr>
          </w:p>
          <w:p w14:paraId="6EDAF40A" w14:textId="77777777" w:rsidR="00F928C1" w:rsidRPr="00F928C1" w:rsidRDefault="00F928C1" w:rsidP="00F928C1">
            <w:pPr>
              <w:rPr>
                <w:rFonts w:ascii="Times New Roman" w:eastAsia="Times New Roman" w:hAnsi="Times New Roman" w:cs="Times New Roman"/>
                <w:color w:val="000000" w:themeColor="text1"/>
              </w:rPr>
            </w:pPr>
            <w:r w:rsidRPr="00F928C1">
              <w:rPr>
                <w:rFonts w:ascii="Calibri" w:eastAsia="Times New Roman" w:hAnsi="Calibri" w:cs="Calibri"/>
                <w:color w:val="000000" w:themeColor="text1"/>
              </w:rPr>
              <w:t xml:space="preserve">During 2020, the preschool team attended a series of professional learning opportunities as part of the ‘Spreading Our Wings Learning Series’ presented by Catharine </w:t>
            </w:r>
            <w:proofErr w:type="spellStart"/>
            <w:r w:rsidRPr="00F928C1">
              <w:rPr>
                <w:rFonts w:ascii="Calibri" w:eastAsia="Times New Roman" w:hAnsi="Calibri" w:cs="Calibri"/>
                <w:color w:val="000000" w:themeColor="text1"/>
              </w:rPr>
              <w:t>Hydon</w:t>
            </w:r>
            <w:proofErr w:type="spellEnd"/>
            <w:r w:rsidRPr="00F928C1">
              <w:rPr>
                <w:rFonts w:ascii="Calibri" w:eastAsia="Times New Roman" w:hAnsi="Calibri" w:cs="Calibri"/>
                <w:color w:val="000000" w:themeColor="text1"/>
              </w:rPr>
              <w:t>. As part of team meetings following this learning, the team engaged in critical reflection regarding their ways of documenting curriculum decision making processes, with a specific focus on analysis of observations and student learning. The result of this ongoing critical reflection has been an increased awareness and robust way of documenting student learning and individual development. </w:t>
            </w:r>
          </w:p>
          <w:p w14:paraId="60D114D9" w14:textId="77777777" w:rsidR="00F928C1" w:rsidRPr="00F928C1" w:rsidRDefault="00F928C1" w:rsidP="00F928C1">
            <w:pPr>
              <w:rPr>
                <w:rFonts w:ascii="Times New Roman" w:eastAsia="Times New Roman" w:hAnsi="Times New Roman" w:cs="Times New Roman"/>
                <w:color w:val="000000" w:themeColor="text1"/>
              </w:rPr>
            </w:pPr>
          </w:p>
          <w:p w14:paraId="5019B45A" w14:textId="77777777" w:rsidR="00F928C1" w:rsidRPr="00F928C1" w:rsidRDefault="00F928C1" w:rsidP="00F928C1">
            <w:pPr>
              <w:rPr>
                <w:rFonts w:ascii="Calibri" w:eastAsia="Times New Roman" w:hAnsi="Calibri" w:cs="Calibri"/>
                <w:b/>
                <w:bCs/>
                <w:color w:val="000000" w:themeColor="text1"/>
                <w:u w:val="single"/>
              </w:rPr>
            </w:pPr>
            <w:r w:rsidRPr="00F928C1">
              <w:rPr>
                <w:rFonts w:ascii="Calibri" w:eastAsia="Times New Roman" w:hAnsi="Calibri" w:cs="Calibri"/>
                <w:b/>
                <w:bCs/>
                <w:color w:val="000000" w:themeColor="text1"/>
                <w:u w:val="single"/>
              </w:rPr>
              <w:t>Remote Learning</w:t>
            </w:r>
          </w:p>
          <w:p w14:paraId="0528D3A4" w14:textId="77777777" w:rsidR="00F928C1" w:rsidRPr="00F928C1" w:rsidRDefault="00F928C1" w:rsidP="00F928C1">
            <w:pPr>
              <w:rPr>
                <w:rFonts w:ascii="Calibri" w:eastAsia="Times New Roman" w:hAnsi="Calibri" w:cs="Calibri"/>
                <w:b/>
                <w:bCs/>
                <w:color w:val="000000" w:themeColor="text1"/>
                <w:u w:val="single"/>
              </w:rPr>
            </w:pPr>
          </w:p>
          <w:p w14:paraId="0A4BE01F" w14:textId="77777777" w:rsidR="00F928C1" w:rsidRPr="00F928C1" w:rsidRDefault="00F928C1" w:rsidP="00F928C1">
            <w:pPr>
              <w:rPr>
                <w:rFonts w:ascii="Times New Roman" w:eastAsia="Times New Roman" w:hAnsi="Times New Roman" w:cs="Times New Roman"/>
                <w:color w:val="000000" w:themeColor="text1"/>
              </w:rPr>
            </w:pPr>
            <w:r w:rsidRPr="00F928C1">
              <w:rPr>
                <w:rFonts w:ascii="Calibri" w:eastAsia="Times New Roman" w:hAnsi="Calibri" w:cs="Calibri"/>
                <w:color w:val="000000" w:themeColor="text1"/>
              </w:rPr>
              <w:t>The move to remote learning in response to the COVID-19 pandemic required the preschool team to engage in deep thinking and reflecting around best practise approaches to support children’s ongoing learning and development. This involved the following processes:</w:t>
            </w:r>
          </w:p>
          <w:p w14:paraId="1BE1B8D1" w14:textId="77777777" w:rsidR="00F928C1" w:rsidRPr="00F928C1" w:rsidRDefault="00F928C1" w:rsidP="00F928C1">
            <w:pPr>
              <w:numPr>
                <w:ilvl w:val="0"/>
                <w:numId w:val="27"/>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professional learning and collaboration with Mount Rogers Kindergarten and Year 1/2 teams to develop skills in using Seesaw as our platform for two-way communication with preschool families</w:t>
            </w:r>
          </w:p>
          <w:p w14:paraId="3D7BDC34" w14:textId="77777777" w:rsidR="00F928C1" w:rsidRPr="00F928C1" w:rsidRDefault="00F928C1" w:rsidP="00F928C1">
            <w:pPr>
              <w:numPr>
                <w:ilvl w:val="0"/>
                <w:numId w:val="27"/>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engagement with online professional learning provided by the ACT Education Directorate</w:t>
            </w:r>
          </w:p>
          <w:p w14:paraId="53BB8C28" w14:textId="77777777" w:rsidR="00F928C1" w:rsidRPr="00F928C1" w:rsidRDefault="00F928C1" w:rsidP="00F928C1">
            <w:pPr>
              <w:numPr>
                <w:ilvl w:val="0"/>
                <w:numId w:val="27"/>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surveying every preschool family to ascertain their access to technology</w:t>
            </w:r>
          </w:p>
          <w:p w14:paraId="5CFCCF7E" w14:textId="77777777" w:rsidR="00F928C1" w:rsidRPr="00F928C1" w:rsidRDefault="00F928C1" w:rsidP="00F928C1">
            <w:pPr>
              <w:numPr>
                <w:ilvl w:val="0"/>
                <w:numId w:val="27"/>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keeping in touch regularly with vulnerable families to provide support with coping with changes to regular preschool education and routines</w:t>
            </w:r>
          </w:p>
          <w:p w14:paraId="69B1035E" w14:textId="77777777" w:rsidR="00F928C1" w:rsidRPr="00F928C1" w:rsidRDefault="00F928C1" w:rsidP="00F928C1">
            <w:pPr>
              <w:numPr>
                <w:ilvl w:val="0"/>
                <w:numId w:val="27"/>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team discussion focused on family ability/motivation to engage in remote learning for preschool children</w:t>
            </w:r>
          </w:p>
          <w:p w14:paraId="46DB0AE2" w14:textId="77777777" w:rsidR="00F928C1" w:rsidRPr="00F928C1" w:rsidRDefault="00F928C1" w:rsidP="00F928C1">
            <w:pPr>
              <w:numPr>
                <w:ilvl w:val="0"/>
                <w:numId w:val="27"/>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team discussion focused on quality of content and play based experiences we were suggesting for families to implement</w:t>
            </w:r>
          </w:p>
          <w:p w14:paraId="5C3D62DB" w14:textId="77777777" w:rsidR="00F928C1" w:rsidRPr="00F928C1" w:rsidRDefault="00F928C1" w:rsidP="00F928C1">
            <w:pPr>
              <w:numPr>
                <w:ilvl w:val="0"/>
                <w:numId w:val="27"/>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focusing on supporting families to engage with educators about the rich everyday play that was happening in their homes</w:t>
            </w:r>
          </w:p>
          <w:p w14:paraId="3A0654D5" w14:textId="77777777" w:rsidR="00F928C1" w:rsidRPr="00F928C1" w:rsidRDefault="00F928C1" w:rsidP="00F928C1">
            <w:pPr>
              <w:numPr>
                <w:ilvl w:val="0"/>
                <w:numId w:val="27"/>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acknowledging that we would need to look at planning in a different way</w:t>
            </w:r>
          </w:p>
          <w:p w14:paraId="1FF15116" w14:textId="77777777" w:rsidR="00F928C1" w:rsidRPr="00F928C1" w:rsidRDefault="00F928C1" w:rsidP="00F928C1">
            <w:pPr>
              <w:rPr>
                <w:rFonts w:ascii="Times New Roman" w:eastAsia="Times New Roman" w:hAnsi="Times New Roman" w:cs="Times New Roman"/>
                <w:color w:val="000000" w:themeColor="text1"/>
              </w:rPr>
            </w:pPr>
          </w:p>
          <w:p w14:paraId="07C08D71" w14:textId="77777777" w:rsidR="00F928C1" w:rsidRPr="00F928C1" w:rsidRDefault="00F928C1" w:rsidP="00F928C1">
            <w:pPr>
              <w:rPr>
                <w:rFonts w:ascii="Calibri" w:eastAsia="Times New Roman" w:hAnsi="Calibri" w:cs="Calibri"/>
                <w:b/>
                <w:bCs/>
                <w:color w:val="000000" w:themeColor="text1"/>
                <w:u w:val="single"/>
              </w:rPr>
            </w:pPr>
            <w:r w:rsidRPr="00F928C1">
              <w:rPr>
                <w:rFonts w:ascii="Calibri" w:eastAsia="Times New Roman" w:hAnsi="Calibri" w:cs="Calibri"/>
                <w:b/>
                <w:bCs/>
                <w:color w:val="000000" w:themeColor="text1"/>
                <w:u w:val="single"/>
              </w:rPr>
              <w:t>Oral Language</w:t>
            </w:r>
          </w:p>
          <w:p w14:paraId="00FED05E" w14:textId="77777777" w:rsidR="00F928C1" w:rsidRPr="00F928C1" w:rsidRDefault="00F928C1" w:rsidP="00F928C1">
            <w:pPr>
              <w:rPr>
                <w:rFonts w:ascii="Calibri" w:eastAsia="Times New Roman" w:hAnsi="Calibri" w:cs="Calibri"/>
                <w:b/>
                <w:bCs/>
                <w:color w:val="000000" w:themeColor="text1"/>
                <w:u w:val="single"/>
              </w:rPr>
            </w:pPr>
          </w:p>
          <w:p w14:paraId="4A8C4EFC" w14:textId="77777777" w:rsidR="00F928C1" w:rsidRPr="00F928C1" w:rsidRDefault="00F928C1" w:rsidP="00F928C1">
            <w:pPr>
              <w:rPr>
                <w:rFonts w:ascii="Calibri" w:eastAsia="Times New Roman" w:hAnsi="Calibri" w:cs="Calibri"/>
                <w:color w:val="000000" w:themeColor="text1"/>
              </w:rPr>
            </w:pPr>
            <w:r w:rsidRPr="00F928C1">
              <w:rPr>
                <w:rFonts w:ascii="Calibri" w:eastAsia="Times New Roman" w:hAnsi="Calibri" w:cs="Calibri"/>
                <w:color w:val="000000" w:themeColor="text1"/>
              </w:rPr>
              <w:t xml:space="preserve">Information collected through observations and oral language checklists and then analysed by the preschool team highlighted that language and communication development was an area of need for children across the preschool sites. As a team we began discussing how we support and extend children’s oral language skills. We then attended Catherine </w:t>
            </w:r>
            <w:proofErr w:type="spellStart"/>
            <w:r w:rsidRPr="00F928C1">
              <w:rPr>
                <w:rFonts w:ascii="Calibri" w:eastAsia="Times New Roman" w:hAnsi="Calibri" w:cs="Calibri"/>
                <w:color w:val="000000" w:themeColor="text1"/>
              </w:rPr>
              <w:t>Hydon’s</w:t>
            </w:r>
            <w:proofErr w:type="spellEnd"/>
            <w:r w:rsidRPr="00F928C1">
              <w:rPr>
                <w:rFonts w:ascii="Calibri" w:eastAsia="Times New Roman" w:hAnsi="Calibri" w:cs="Calibri"/>
                <w:color w:val="000000" w:themeColor="text1"/>
              </w:rPr>
              <w:t xml:space="preserve"> professional learning on threshold concepts. After this learning the preschool team decided to focus on developing sustained shared thinking and conversations in our preschools. This would support the development of oral language and the cognitive skills needed to engage in these conversations. The preschool team also attended a two-day professional learning event that titled ‘Learning Language and Loving It’ which focused on language experiences that support children’s talk in early childhood education settings. The preschool team then planned and implemented the strategies learnt to support the use of sustained shared thinking and conversations in the preschool setting.</w:t>
            </w:r>
          </w:p>
          <w:p w14:paraId="03BEF32B" w14:textId="77777777" w:rsidR="00F928C1" w:rsidRPr="00F928C1" w:rsidRDefault="00F928C1" w:rsidP="00F928C1">
            <w:pPr>
              <w:rPr>
                <w:rFonts w:ascii="Calibri" w:eastAsia="Times New Roman" w:hAnsi="Calibri" w:cs="Calibri"/>
                <w:color w:val="000000" w:themeColor="text1"/>
              </w:rPr>
            </w:pPr>
          </w:p>
          <w:p w14:paraId="4F835A7D" w14:textId="77777777" w:rsidR="00F928C1" w:rsidRPr="00F928C1" w:rsidRDefault="00F928C1" w:rsidP="00F928C1">
            <w:pPr>
              <w:rPr>
                <w:rFonts w:ascii="Calibri" w:eastAsia="Times New Roman" w:hAnsi="Calibri" w:cs="Calibri"/>
                <w:b/>
                <w:bCs/>
                <w:color w:val="000000" w:themeColor="text1"/>
                <w:u w:val="single"/>
              </w:rPr>
            </w:pPr>
            <w:r w:rsidRPr="00F928C1">
              <w:rPr>
                <w:rFonts w:ascii="Calibri" w:eastAsia="Times New Roman" w:hAnsi="Calibri" w:cs="Calibri"/>
                <w:b/>
                <w:bCs/>
                <w:color w:val="000000" w:themeColor="text1"/>
                <w:u w:val="single"/>
              </w:rPr>
              <w:t>Transitions</w:t>
            </w:r>
          </w:p>
          <w:p w14:paraId="7D334B24" w14:textId="77777777" w:rsidR="00F928C1" w:rsidRPr="00F928C1" w:rsidRDefault="00F928C1" w:rsidP="00F928C1">
            <w:pPr>
              <w:rPr>
                <w:rFonts w:ascii="Calibri" w:eastAsia="Times New Roman" w:hAnsi="Calibri" w:cs="Calibri"/>
                <w:b/>
                <w:bCs/>
                <w:color w:val="000000" w:themeColor="text1"/>
                <w:u w:val="single"/>
              </w:rPr>
            </w:pPr>
          </w:p>
          <w:p w14:paraId="33D6AD33" w14:textId="77777777" w:rsidR="00F928C1" w:rsidRPr="00F928C1" w:rsidRDefault="00F928C1" w:rsidP="00F928C1">
            <w:pPr>
              <w:rPr>
                <w:rFonts w:ascii="Times New Roman" w:eastAsia="Times New Roman" w:hAnsi="Times New Roman" w:cs="Times New Roman"/>
                <w:color w:val="000000" w:themeColor="text1"/>
              </w:rPr>
            </w:pPr>
            <w:r w:rsidRPr="00F928C1">
              <w:rPr>
                <w:rFonts w:ascii="Calibri" w:eastAsia="Times New Roman" w:hAnsi="Calibri" w:cs="Calibri"/>
                <w:color w:val="000000" w:themeColor="text1"/>
              </w:rPr>
              <w:t xml:space="preserve">A topic of critical reflection for the preschool and kindergarten teams was the value of the transition program and experiences being offered to children and families. Critical reflection and feedback from families showed that we needed to examine our processes and assess the value of the experiences being planned. The preschool and kindergarten teams began an Action Research project with Bob Perry and Sue Dockett in collaboration with the University of Western Sydney in 2019. The research team interviewed children, families, </w:t>
            </w:r>
            <w:proofErr w:type="gramStart"/>
            <w:r w:rsidRPr="00F928C1">
              <w:rPr>
                <w:rFonts w:ascii="Calibri" w:eastAsia="Times New Roman" w:hAnsi="Calibri" w:cs="Calibri"/>
                <w:color w:val="000000" w:themeColor="text1"/>
              </w:rPr>
              <w:t>educators</w:t>
            </w:r>
            <w:proofErr w:type="gramEnd"/>
            <w:r w:rsidRPr="00F928C1">
              <w:rPr>
                <w:rFonts w:ascii="Calibri" w:eastAsia="Times New Roman" w:hAnsi="Calibri" w:cs="Calibri"/>
                <w:color w:val="000000" w:themeColor="text1"/>
              </w:rPr>
              <w:t xml:space="preserve"> and the school’s leadership team to gather data relating to the current transition program. They determined what aspects were valued and what was working well and what needed to be adjusted. As a result of the findings and feedback provided through the research project, the preschool and kindergarten teams looked carefully at how to improve our transition processes. Preschool educators met regularly with kindergarten teachers to discuss current processes and how to meet the needs of current students and their families. From the research findings changes that were implemented in 2020 include:  </w:t>
            </w:r>
          </w:p>
          <w:p w14:paraId="4DBF4096" w14:textId="77777777" w:rsidR="00F928C1" w:rsidRPr="00F928C1" w:rsidRDefault="00F928C1" w:rsidP="00F928C1">
            <w:pPr>
              <w:numPr>
                <w:ilvl w:val="0"/>
                <w:numId w:val="28"/>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increasing the number and duration of transition visits </w:t>
            </w:r>
          </w:p>
          <w:p w14:paraId="3D1DAA23" w14:textId="77777777" w:rsidR="00F928C1" w:rsidRPr="00F928C1" w:rsidRDefault="00F928C1" w:rsidP="00F928C1">
            <w:pPr>
              <w:numPr>
                <w:ilvl w:val="0"/>
                <w:numId w:val="28"/>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using the kindergarten students as ‘buddy’ classes</w:t>
            </w:r>
          </w:p>
          <w:p w14:paraId="3614CCEB" w14:textId="77777777" w:rsidR="00F928C1" w:rsidRPr="00F928C1" w:rsidRDefault="00F928C1" w:rsidP="00F928C1">
            <w:pPr>
              <w:numPr>
                <w:ilvl w:val="0"/>
                <w:numId w:val="28"/>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 xml:space="preserve">timetabling </w:t>
            </w:r>
            <w:proofErr w:type="gramStart"/>
            <w:r w:rsidRPr="00F928C1">
              <w:rPr>
                <w:rFonts w:ascii="Calibri" w:eastAsia="Times New Roman" w:hAnsi="Calibri" w:cs="Calibri"/>
                <w:color w:val="000000" w:themeColor="text1"/>
              </w:rPr>
              <w:t>specialists</w:t>
            </w:r>
            <w:proofErr w:type="gramEnd"/>
            <w:r w:rsidRPr="00F928C1">
              <w:rPr>
                <w:rFonts w:ascii="Calibri" w:eastAsia="Times New Roman" w:hAnsi="Calibri" w:cs="Calibri"/>
                <w:color w:val="000000" w:themeColor="text1"/>
              </w:rPr>
              <w:t xml:space="preserve"> teachers to visit and teach at preschool sites </w:t>
            </w:r>
          </w:p>
          <w:p w14:paraId="570622CB" w14:textId="77777777" w:rsidR="00F928C1" w:rsidRPr="00F928C1" w:rsidRDefault="00F928C1" w:rsidP="00F928C1">
            <w:pPr>
              <w:numPr>
                <w:ilvl w:val="0"/>
                <w:numId w:val="28"/>
              </w:numPr>
              <w:textAlignment w:val="baseline"/>
              <w:rPr>
                <w:rFonts w:ascii="Calibri" w:eastAsia="Times New Roman" w:hAnsi="Calibri" w:cs="Calibri"/>
                <w:color w:val="000000" w:themeColor="text1"/>
              </w:rPr>
            </w:pPr>
            <w:r w:rsidRPr="00F928C1">
              <w:rPr>
                <w:rFonts w:ascii="Calibri" w:eastAsia="Times New Roman" w:hAnsi="Calibri" w:cs="Calibri"/>
                <w:color w:val="000000" w:themeColor="text1"/>
              </w:rPr>
              <w:t xml:space="preserve">providing time for the Kindergarten teaching team to visit the preschools sites </w:t>
            </w:r>
          </w:p>
          <w:p w14:paraId="29B5806E" w14:textId="35A5F1A8" w:rsidR="00F928C1" w:rsidRDefault="00F928C1" w:rsidP="000E592A">
            <w:pPr>
              <w:pStyle w:val="BodyText"/>
            </w:pPr>
          </w:p>
        </w:tc>
      </w:tr>
    </w:tbl>
    <w:p w14:paraId="0C848164" w14:textId="14B07DB6" w:rsidR="00271528" w:rsidRDefault="00271528" w:rsidP="000E592A">
      <w:pPr>
        <w:pStyle w:val="BodyText"/>
      </w:pPr>
    </w:p>
    <w:sectPr w:rsidR="00271528" w:rsidSect="00C77B0A">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21AD" w14:textId="77777777" w:rsidR="00BD4A43" w:rsidRDefault="00BD4A43" w:rsidP="00CA0BAD">
      <w:pPr>
        <w:spacing w:after="0" w:line="240" w:lineRule="auto"/>
      </w:pPr>
      <w:r>
        <w:separator/>
      </w:r>
    </w:p>
  </w:endnote>
  <w:endnote w:type="continuationSeparator" w:id="0">
    <w:p w14:paraId="493E1C27" w14:textId="77777777" w:rsidR="00BD4A43" w:rsidRDefault="00BD4A43"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1E8C3477"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613A55">
              <w:rPr>
                <w:rFonts w:ascii="Arial" w:hAnsi="Arial" w:cs="Arial"/>
                <w:noProof/>
                <w:color w:val="808080" w:themeColor="background1" w:themeShade="80"/>
                <w:sz w:val="20"/>
                <w:szCs w:val="20"/>
              </w:rPr>
              <w:t>Wednesday, 10 February 2021</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3"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3"/>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0E453" w14:textId="77777777" w:rsidR="00BD4A43" w:rsidRDefault="00BD4A43" w:rsidP="00CA0BAD">
      <w:pPr>
        <w:spacing w:after="0" w:line="240" w:lineRule="auto"/>
      </w:pPr>
      <w:r>
        <w:separator/>
      </w:r>
    </w:p>
  </w:footnote>
  <w:footnote w:type="continuationSeparator" w:id="0">
    <w:p w14:paraId="265EFF1F" w14:textId="77777777" w:rsidR="00BD4A43" w:rsidRDefault="00BD4A43"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0185"/>
    <w:multiLevelType w:val="multilevel"/>
    <w:tmpl w:val="EDF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195AAE"/>
    <w:multiLevelType w:val="hybridMultilevel"/>
    <w:tmpl w:val="0F80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1354D0"/>
    <w:multiLevelType w:val="multilevel"/>
    <w:tmpl w:val="D914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DC06CE"/>
    <w:multiLevelType w:val="hybridMultilevel"/>
    <w:tmpl w:val="852A4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810F2A"/>
    <w:multiLevelType w:val="multilevel"/>
    <w:tmpl w:val="007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8555F8"/>
    <w:multiLevelType w:val="multilevel"/>
    <w:tmpl w:val="B5C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4CFC30EF"/>
    <w:multiLevelType w:val="multilevel"/>
    <w:tmpl w:val="E18C7A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FDE036D"/>
    <w:multiLevelType w:val="hybridMultilevel"/>
    <w:tmpl w:val="7946E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EC4BA6"/>
    <w:multiLevelType w:val="multilevel"/>
    <w:tmpl w:val="D326F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85229F6"/>
    <w:multiLevelType w:val="hybridMultilevel"/>
    <w:tmpl w:val="AFD0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CC7727"/>
    <w:multiLevelType w:val="multilevel"/>
    <w:tmpl w:val="B648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2"/>
  </w:num>
  <w:num w:numId="4">
    <w:abstractNumId w:val="18"/>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6"/>
  </w:num>
  <w:num w:numId="18">
    <w:abstractNumId w:val="12"/>
  </w:num>
  <w:num w:numId="19">
    <w:abstractNumId w:val="13"/>
  </w:num>
  <w:num w:numId="20">
    <w:abstractNumId w:val="27"/>
  </w:num>
  <w:num w:numId="21">
    <w:abstractNumId w:val="17"/>
  </w:num>
  <w:num w:numId="22">
    <w:abstractNumId w:val="14"/>
  </w:num>
  <w:num w:numId="23">
    <w:abstractNumId w:val="19"/>
  </w:num>
  <w:num w:numId="24">
    <w:abstractNumId w:val="24"/>
  </w:num>
  <w:num w:numId="25">
    <w:abstractNumId w:val="25"/>
  </w:num>
  <w:num w:numId="26">
    <w:abstractNumId w:val="23"/>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57DAD"/>
    <w:rsid w:val="00060B89"/>
    <w:rsid w:val="000E0345"/>
    <w:rsid w:val="000E592A"/>
    <w:rsid w:val="000F7E7C"/>
    <w:rsid w:val="00107AE2"/>
    <w:rsid w:val="00115AA9"/>
    <w:rsid w:val="00127C5E"/>
    <w:rsid w:val="00132917"/>
    <w:rsid w:val="00161E50"/>
    <w:rsid w:val="00163579"/>
    <w:rsid w:val="00183DE5"/>
    <w:rsid w:val="001B26EA"/>
    <w:rsid w:val="001B2E33"/>
    <w:rsid w:val="0021300D"/>
    <w:rsid w:val="002145F7"/>
    <w:rsid w:val="0024781C"/>
    <w:rsid w:val="00266E77"/>
    <w:rsid w:val="00271528"/>
    <w:rsid w:val="0028059A"/>
    <w:rsid w:val="00282D2C"/>
    <w:rsid w:val="002F2C6F"/>
    <w:rsid w:val="002F4184"/>
    <w:rsid w:val="00300F72"/>
    <w:rsid w:val="00334BBF"/>
    <w:rsid w:val="00342B3F"/>
    <w:rsid w:val="00365890"/>
    <w:rsid w:val="00365A1C"/>
    <w:rsid w:val="00373DC0"/>
    <w:rsid w:val="00377F0F"/>
    <w:rsid w:val="00391B00"/>
    <w:rsid w:val="00396C89"/>
    <w:rsid w:val="003B5E3D"/>
    <w:rsid w:val="003C1B43"/>
    <w:rsid w:val="003C2864"/>
    <w:rsid w:val="003C69DC"/>
    <w:rsid w:val="003E1EFB"/>
    <w:rsid w:val="00435AB7"/>
    <w:rsid w:val="00435C6B"/>
    <w:rsid w:val="00436626"/>
    <w:rsid w:val="00450480"/>
    <w:rsid w:val="00461D07"/>
    <w:rsid w:val="00481BD2"/>
    <w:rsid w:val="00492440"/>
    <w:rsid w:val="004C32E2"/>
    <w:rsid w:val="004D00F4"/>
    <w:rsid w:val="004D06D6"/>
    <w:rsid w:val="004D28B3"/>
    <w:rsid w:val="004D5E45"/>
    <w:rsid w:val="00520A86"/>
    <w:rsid w:val="00551C02"/>
    <w:rsid w:val="00557F65"/>
    <w:rsid w:val="005611F4"/>
    <w:rsid w:val="0057672E"/>
    <w:rsid w:val="0058339C"/>
    <w:rsid w:val="0059350F"/>
    <w:rsid w:val="005A4749"/>
    <w:rsid w:val="005C7432"/>
    <w:rsid w:val="005E0B7C"/>
    <w:rsid w:val="005E76E4"/>
    <w:rsid w:val="005F3B55"/>
    <w:rsid w:val="00610A38"/>
    <w:rsid w:val="00613A55"/>
    <w:rsid w:val="00631663"/>
    <w:rsid w:val="0066643F"/>
    <w:rsid w:val="00674E1D"/>
    <w:rsid w:val="006830C3"/>
    <w:rsid w:val="006A31D6"/>
    <w:rsid w:val="006A5062"/>
    <w:rsid w:val="006C2D62"/>
    <w:rsid w:val="006D2F6B"/>
    <w:rsid w:val="00733263"/>
    <w:rsid w:val="007347A7"/>
    <w:rsid w:val="007375B4"/>
    <w:rsid w:val="00752390"/>
    <w:rsid w:val="00762261"/>
    <w:rsid w:val="007A1588"/>
    <w:rsid w:val="007B0189"/>
    <w:rsid w:val="007D407C"/>
    <w:rsid w:val="008300DD"/>
    <w:rsid w:val="00837137"/>
    <w:rsid w:val="00846E51"/>
    <w:rsid w:val="008679D5"/>
    <w:rsid w:val="00896B58"/>
    <w:rsid w:val="008A01DA"/>
    <w:rsid w:val="00915ADE"/>
    <w:rsid w:val="0093040B"/>
    <w:rsid w:val="00932E67"/>
    <w:rsid w:val="00937D6F"/>
    <w:rsid w:val="00997CD0"/>
    <w:rsid w:val="009B454E"/>
    <w:rsid w:val="009B7107"/>
    <w:rsid w:val="009E2D26"/>
    <w:rsid w:val="00A112C4"/>
    <w:rsid w:val="00A1525D"/>
    <w:rsid w:val="00A967A3"/>
    <w:rsid w:val="00AB3505"/>
    <w:rsid w:val="00AD7D38"/>
    <w:rsid w:val="00AE1CAD"/>
    <w:rsid w:val="00AE2FBD"/>
    <w:rsid w:val="00AE3C70"/>
    <w:rsid w:val="00AF0BBA"/>
    <w:rsid w:val="00AF0CF9"/>
    <w:rsid w:val="00B000C3"/>
    <w:rsid w:val="00B06296"/>
    <w:rsid w:val="00B10319"/>
    <w:rsid w:val="00B36AF4"/>
    <w:rsid w:val="00B41802"/>
    <w:rsid w:val="00B53B59"/>
    <w:rsid w:val="00B70785"/>
    <w:rsid w:val="00B734D8"/>
    <w:rsid w:val="00B92C0E"/>
    <w:rsid w:val="00BA59B1"/>
    <w:rsid w:val="00BB6ED8"/>
    <w:rsid w:val="00BC4D96"/>
    <w:rsid w:val="00BD4A43"/>
    <w:rsid w:val="00C0648C"/>
    <w:rsid w:val="00C06492"/>
    <w:rsid w:val="00C100E4"/>
    <w:rsid w:val="00C36B48"/>
    <w:rsid w:val="00C63CC4"/>
    <w:rsid w:val="00C77B0A"/>
    <w:rsid w:val="00C91C8E"/>
    <w:rsid w:val="00CA0BAD"/>
    <w:rsid w:val="00CA26FB"/>
    <w:rsid w:val="00CF3F40"/>
    <w:rsid w:val="00D03B0C"/>
    <w:rsid w:val="00D21886"/>
    <w:rsid w:val="00D45792"/>
    <w:rsid w:val="00D553B4"/>
    <w:rsid w:val="00D56F59"/>
    <w:rsid w:val="00D66148"/>
    <w:rsid w:val="00D731BD"/>
    <w:rsid w:val="00DA09ED"/>
    <w:rsid w:val="00DA4480"/>
    <w:rsid w:val="00DB037A"/>
    <w:rsid w:val="00DB56D2"/>
    <w:rsid w:val="00DC74EC"/>
    <w:rsid w:val="00DE43E6"/>
    <w:rsid w:val="00DE75EB"/>
    <w:rsid w:val="00DF0245"/>
    <w:rsid w:val="00DF695B"/>
    <w:rsid w:val="00E061B8"/>
    <w:rsid w:val="00E14A54"/>
    <w:rsid w:val="00E21F0E"/>
    <w:rsid w:val="00E434FA"/>
    <w:rsid w:val="00E94E83"/>
    <w:rsid w:val="00EA1B8A"/>
    <w:rsid w:val="00EB70CE"/>
    <w:rsid w:val="00ED73EC"/>
    <w:rsid w:val="00EF2574"/>
    <w:rsid w:val="00F05C79"/>
    <w:rsid w:val="00F43658"/>
    <w:rsid w:val="00F536D7"/>
    <w:rsid w:val="00F60F49"/>
    <w:rsid w:val="00F87A19"/>
    <w:rsid w:val="00F928C1"/>
    <w:rsid w:val="00FA6811"/>
    <w:rsid w:val="00FA6A61"/>
    <w:rsid w:val="00FB31F0"/>
    <w:rsid w:val="00FD53D3"/>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table" w:customStyle="1" w:styleId="TableGrid1">
    <w:name w:val="Table Grid1"/>
    <w:basedOn w:val="TableNormal"/>
    <w:next w:val="TableGrid"/>
    <w:uiPriority w:val="39"/>
    <w:rsid w:val="00060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60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60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1B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umberedList">
    <w:name w:val="Numbered List"/>
    <w:basedOn w:val="Normal"/>
    <w:qFormat/>
    <w:rsid w:val="007A1588"/>
    <w:pPr>
      <w:numPr>
        <w:numId w:val="23"/>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606932215">
      <w:bodyDiv w:val="1"/>
      <w:marLeft w:val="0"/>
      <w:marRight w:val="0"/>
      <w:marTop w:val="0"/>
      <w:marBottom w:val="0"/>
      <w:divBdr>
        <w:top w:val="none" w:sz="0" w:space="0" w:color="auto"/>
        <w:left w:val="none" w:sz="0" w:space="0" w:color="auto"/>
        <w:bottom w:val="none" w:sz="0" w:space="0" w:color="auto"/>
        <w:right w:val="none" w:sz="0" w:space="0" w:color="auto"/>
      </w:divBdr>
    </w:div>
    <w:div w:id="13237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 w:val="00CA7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b38bb1c8-5c99-4561-a624-a5e6628d94c9">
      <Value>Running a school</Value>
    </Section>
    <Publisheddate xmlns="b38bb1c8-5c99-4561-a624-a5e6628d94c9" xsi:nil="true"/>
    <Relates_x0020_to xmlns="01d31f61-9245-4fcb-8ab0-90be871bbbe7">
      <Value>ESO staff</Value>
      <Value>Business Services Officer</Value>
      <Value>Business managers</Value>
      <Value>Teachers</Value>
      <Value>School leaders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Running a school</Top_x0020_Level_x0020_Headings>
    <DocumentType xmlns="b38bb1c8-5c99-4561-a624-a5e6628d94c9" xsi:nil="true"/>
    <Targeted_x0020_audience xmlns="01d31f61-9245-4fcb-8ab0-90be871bbbe7">
      <Value>School leaders</Value>
      <Value>Teachers</Value>
      <Value>Business managers</Value>
      <Value>Business services officers</Value>
      <Value>School support</Value>
      <Value>ESO staff</Value>
    </Targeted_x0020_audience>
    <Purpose xmlns="b38bb1c8-5c99-4561-a624-a5e6628d94c9" xsi:nil="true"/>
    <Year xmlns="b38bb1c8-5c99-4561-a624-a5e6628d94c9" xsi:nil="true"/>
    <Function xmlns="b38bb1c8-5c99-4561-a624-a5e6628d9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6" ma:contentTypeDescription="Create a new document." ma:contentTypeScope="" ma:versionID="6b03bf3d7cd56194f573caa9a54ff69a">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ad2e891714ea9f1bc3c5fae9eb423acc"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20"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Year" ma:index="29" nillable="true" ma:displayName="Year" ma:format="Dropdown" ma:internalName="Year">
      <xsd:simpleType>
        <xsd:restriction base="dms:Choice">
          <xsd:enumeration value="2020"/>
          <xsd:enumeration value="2019"/>
        </xsd:restriction>
      </xsd:simpleType>
    </xsd:element>
    <xsd:element name="Function" ma:index="3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891BF-2D2E-4CC9-95CA-D6A8600ED651}">
  <ds:schemaRefs>
    <ds:schemaRef ds:uri="http://schemas.microsoft.com/sharepoint/v3/contenttype/forms"/>
  </ds:schemaRefs>
</ds:datastoreItem>
</file>

<file path=customXml/itemProps2.xml><?xml version="1.0" encoding="utf-8"?>
<ds:datastoreItem xmlns:ds="http://schemas.openxmlformats.org/officeDocument/2006/customXml" ds:itemID="{75B7ACD1-F65A-44FA-9447-D8C9216A371C}">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38bb1c8-5c99-4561-a624-a5e6628d94c9"/>
    <ds:schemaRef ds:uri="http://schemas.microsoft.com/office/infopath/2007/PartnerControls"/>
    <ds:schemaRef ds:uri="http://purl.org/dc/terms/"/>
    <ds:schemaRef ds:uri="01d31f61-9245-4fcb-8ab0-90be871bbbe7"/>
    <ds:schemaRef ds:uri="http://www.w3.org/XML/1998/namespace"/>
    <ds:schemaRef ds:uri="http://purl.org/dc/dcmitype/"/>
  </ds:schemaRefs>
</ds:datastoreItem>
</file>

<file path=customXml/itemProps3.xml><?xml version="1.0" encoding="utf-8"?>
<ds:datastoreItem xmlns:ds="http://schemas.openxmlformats.org/officeDocument/2006/customXml" ds:itemID="{8207F1F2-3FB8-47A3-B7E3-A79E96D4F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11305</Characters>
  <Application>Microsoft Office Word</Application>
  <DocSecurity>4</DocSecurity>
  <Lines>491</Lines>
  <Paragraphs>346</Paragraphs>
  <ScaleCrop>false</ScaleCrop>
  <HeadingPairs>
    <vt:vector size="2" baseType="variant">
      <vt:variant>
        <vt:lpstr>Title</vt:lpstr>
      </vt:variant>
      <vt:variant>
        <vt:i4>1</vt:i4>
      </vt:variant>
    </vt:vector>
  </HeadingPairs>
  <TitlesOfParts>
    <vt:vector size="1" baseType="lpstr">
      <vt:lpstr>TOOL Impact Report v05Dec2019</vt:lpstr>
    </vt:vector>
  </TitlesOfParts>
  <Company>ACT Government</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Impact Report v05Dec2019</dc:title>
  <dc:subject/>
  <dc:creator>ACT Education Directorate</dc:creator>
  <cp:keywords/>
  <dc:description/>
  <cp:lastModifiedBy>Dillon, Yehuwdiy</cp:lastModifiedBy>
  <cp:revision>2</cp:revision>
  <cp:lastPrinted>2020-12-18T03:13:00Z</cp:lastPrinted>
  <dcterms:created xsi:type="dcterms:W3CDTF">2021-03-12T02:53:00Z</dcterms:created>
  <dcterms:modified xsi:type="dcterms:W3CDTF">2021-03-12T02:53:00Z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