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2280C25" w:rsidR="00FE1945" w:rsidRPr="00563A3D" w:rsidRDefault="003A3197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Torrens Primary School</w:t>
          </w:r>
        </w:p>
      </w:sdtContent>
    </w:sdt>
    <w:p w14:paraId="63330FCF" w14:textId="23C3FB44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3A3197">
            <w:t>South Canberra/ Weston</w:t>
          </w:r>
        </w:sdtContent>
      </w:sdt>
    </w:p>
    <w:p w14:paraId="38F253B0" w14:textId="20BEC320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F378E5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3C44E889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6FDE3FDD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4F2FDE4B" w14:textId="2CC3FA82" w:rsidR="00575FA8" w:rsidRDefault="00575FA8" w:rsidP="00575FA8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D3C9018" w14:textId="77777777" w:rsidR="00575FA8" w:rsidRPr="009B454E" w:rsidRDefault="00575FA8" w:rsidP="00575FA8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1D7760C0" w14:textId="579A810E" w:rsidR="00300F72" w:rsidRDefault="00300F72" w:rsidP="00300F72">
      <w:pPr>
        <w:pStyle w:val="BodyText"/>
      </w:pPr>
    </w:p>
    <w:p w14:paraId="0E4AE3ED" w14:textId="65193A75" w:rsidR="00846E51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</w:t>
      </w:r>
      <w:r w:rsidR="00575FA8">
        <w:t>ese</w:t>
      </w:r>
      <w:r w:rsidRPr="00132917">
        <w:t xml:space="preserve">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</w:t>
      </w:r>
      <w:r w:rsidR="00575FA8">
        <w:t>s</w:t>
      </w:r>
      <w:r w:rsidRPr="00132917">
        <w:t xml:space="preserve"> through Priority</w:t>
      </w:r>
      <w:r w:rsidR="00575FA8">
        <w:t xml:space="preserve"> 1</w:t>
      </w:r>
      <w:r w:rsidRPr="00132917">
        <w:t>:</w:t>
      </w:r>
    </w:p>
    <w:p w14:paraId="05831A13" w14:textId="67FCF711" w:rsidR="00300F72" w:rsidRPr="00300F72" w:rsidRDefault="00A329DF" w:rsidP="00300F72">
      <w:pPr>
        <w:pStyle w:val="ListBullet"/>
      </w:pPr>
      <w:r>
        <w:t>Improve Growth in Writing</w:t>
      </w:r>
    </w:p>
    <w:p w14:paraId="4237A615" w14:textId="77777777" w:rsidR="00300F72" w:rsidRPr="00300F72" w:rsidRDefault="00300F72" w:rsidP="00300F72">
      <w:pPr>
        <w:pStyle w:val="BodyText"/>
      </w:pPr>
    </w:p>
    <w:p w14:paraId="2B93A716" w14:textId="0A6ED895" w:rsidR="00B10319" w:rsidRDefault="004D5E45" w:rsidP="001B2E33">
      <w:pPr>
        <w:pStyle w:val="Heading1"/>
      </w:pPr>
      <w:r>
        <w:t>Reporting against our priorities</w:t>
      </w:r>
    </w:p>
    <w:p w14:paraId="3CF7C1B2" w14:textId="4B15B2A9" w:rsidR="00575FA8" w:rsidRPr="00300F72" w:rsidRDefault="00837137" w:rsidP="00575FA8">
      <w:pPr>
        <w:pStyle w:val="ListBullet"/>
      </w:pPr>
      <w:r w:rsidRPr="000F0410">
        <w:t>Priority 1:</w:t>
      </w:r>
      <w:r w:rsidRPr="000F0410">
        <w:tab/>
      </w:r>
      <w:r w:rsidR="00575FA8">
        <w:t xml:space="preserve">Improve Growth in </w:t>
      </w:r>
      <w:r w:rsidR="00F378E5">
        <w:t>Mathematics</w:t>
      </w:r>
    </w:p>
    <w:p w14:paraId="255A28BA" w14:textId="76307B51" w:rsidR="004D5E45" w:rsidRPr="00837137" w:rsidRDefault="006D2F6B" w:rsidP="00575FA8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0ED94083" w14:textId="04C20876" w:rsidR="000031B5" w:rsidRDefault="00481BD2" w:rsidP="0058339C">
      <w:pPr>
        <w:pStyle w:val="BodyText"/>
      </w:pPr>
      <w:r>
        <w:t>By the end of 20</w:t>
      </w:r>
      <w:r w:rsidR="00575FA8">
        <w:t>23</w:t>
      </w:r>
      <w:r w:rsidR="000031B5">
        <w:t xml:space="preserve"> we will achieve:</w:t>
      </w:r>
    </w:p>
    <w:p w14:paraId="2BF847BC" w14:textId="77777777" w:rsidR="003F0D1B" w:rsidRPr="00466CAA" w:rsidRDefault="003F0D1B" w:rsidP="003F0D1B">
      <w:pPr>
        <w:pStyle w:val="Heading3"/>
      </w:pPr>
      <w:r w:rsidRPr="00466CAA">
        <w:t>Student learning data</w:t>
      </w:r>
    </w:p>
    <w:p w14:paraId="128DE2C0" w14:textId="77777777" w:rsidR="00F378E5" w:rsidRPr="005847B7" w:rsidRDefault="00F378E5" w:rsidP="00F378E5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60% of </w:t>
      </w:r>
      <w:proofErr w:type="spellStart"/>
      <w:r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 xml:space="preserve"> 3-5 students are at or above expected growth</w:t>
      </w:r>
    </w:p>
    <w:p w14:paraId="68409C5D" w14:textId="77777777" w:rsidR="00F378E5" w:rsidRPr="005847B7" w:rsidRDefault="00F378E5" w:rsidP="00F378E5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>NAPLAN and PIPS</w:t>
      </w:r>
    </w:p>
    <w:p w14:paraId="11BB99F8" w14:textId="77777777" w:rsidR="00F378E5" w:rsidRPr="00297BFA" w:rsidRDefault="00F378E5" w:rsidP="00F378E5">
      <w:pPr>
        <w:tabs>
          <w:tab w:val="left" w:pos="1560"/>
        </w:tabs>
        <w:ind w:left="1560" w:hanging="1560"/>
      </w:pPr>
      <w:r w:rsidRPr="005847B7">
        <w:rPr>
          <w:b/>
          <w:color w:val="000000" w:themeColor="text1"/>
        </w:rPr>
        <w:t>Starting point:</w:t>
      </w:r>
      <w:r w:rsidRPr="004A1B8F">
        <w:rPr>
          <w:color w:val="000000" w:themeColor="text1"/>
        </w:rPr>
        <w:t xml:space="preserve"> </w:t>
      </w:r>
      <w:r w:rsidRPr="00EB1770">
        <w:rPr>
          <w:color w:val="000000" w:themeColor="text1"/>
        </w:rPr>
        <w:t>4</w:t>
      </w:r>
      <w:r>
        <w:rPr>
          <w:color w:val="000000" w:themeColor="text1"/>
        </w:rPr>
        <w:t>9.2</w:t>
      </w:r>
      <w:r w:rsidRPr="00EB1770">
        <w:rPr>
          <w:color w:val="000000" w:themeColor="text1"/>
        </w:rPr>
        <w:t>% o</w:t>
      </w:r>
      <w:r>
        <w:rPr>
          <w:color w:val="000000" w:themeColor="text1"/>
        </w:rPr>
        <w:t xml:space="preserve">f </w:t>
      </w:r>
      <w:proofErr w:type="spellStart"/>
      <w:r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 xml:space="preserve"> 3-5 students are at or above expected growth</w:t>
      </w:r>
    </w:p>
    <w:p w14:paraId="68DCCB4F" w14:textId="77777777" w:rsidR="003F0D1B" w:rsidRPr="00297BFA" w:rsidRDefault="003F0D1B" w:rsidP="003F0D1B">
      <w:pPr>
        <w:pStyle w:val="Heading3"/>
      </w:pPr>
      <w:r w:rsidRPr="00297BFA">
        <w:t>Perception Data</w:t>
      </w:r>
    </w:p>
    <w:p w14:paraId="42342906" w14:textId="77777777" w:rsidR="00F378E5" w:rsidRPr="005847B7" w:rsidRDefault="00F378E5" w:rsidP="00F378E5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All teachers feel competent and confident in enriching and extending all students in mathematics.</w:t>
      </w:r>
    </w:p>
    <w:p w14:paraId="66169D60" w14:textId="77777777" w:rsidR="00F378E5" w:rsidRPr="005847B7" w:rsidRDefault="00F378E5" w:rsidP="00F378E5">
      <w:pPr>
        <w:pStyle w:val="BodyText"/>
        <w:tabs>
          <w:tab w:val="left" w:pos="851"/>
        </w:tabs>
        <w:spacing w:before="22"/>
        <w:ind w:left="851" w:hanging="851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>Teacher survey</w:t>
      </w:r>
    </w:p>
    <w:p w14:paraId="0CA04FAF" w14:textId="77777777" w:rsidR="00F378E5" w:rsidRPr="005847B7" w:rsidRDefault="00F378E5" w:rsidP="00F378E5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>
        <w:rPr>
          <w:b/>
          <w:color w:val="000000" w:themeColor="text1"/>
        </w:rPr>
        <w:t xml:space="preserve"> </w:t>
      </w:r>
      <w:r w:rsidRPr="00D81CAC">
        <w:rPr>
          <w:color w:val="000000" w:themeColor="text1"/>
        </w:rPr>
        <w:t>50% of teachers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feel competent and confident in enriching and extending all students in mathematics.</w:t>
      </w:r>
    </w:p>
    <w:p w14:paraId="2A5BE396" w14:textId="77777777" w:rsidR="003F0D1B" w:rsidRPr="005847B7" w:rsidRDefault="003F0D1B" w:rsidP="003F0D1B">
      <w:pPr>
        <w:tabs>
          <w:tab w:val="left" w:pos="1560"/>
        </w:tabs>
        <w:ind w:left="1560" w:hanging="1560"/>
        <w:rPr>
          <w:color w:val="000000" w:themeColor="text1"/>
        </w:rPr>
      </w:pPr>
    </w:p>
    <w:p w14:paraId="0D5B52F4" w14:textId="77777777" w:rsidR="0045441D" w:rsidRDefault="0045441D" w:rsidP="003F0D1B">
      <w:pPr>
        <w:pStyle w:val="Heading3"/>
      </w:pPr>
    </w:p>
    <w:p w14:paraId="63E77413" w14:textId="77777777" w:rsidR="0045441D" w:rsidRDefault="0045441D" w:rsidP="003F0D1B">
      <w:pPr>
        <w:pStyle w:val="Heading3"/>
      </w:pPr>
    </w:p>
    <w:p w14:paraId="2236AD4A" w14:textId="038A18D6" w:rsidR="003F0D1B" w:rsidRPr="00297BFA" w:rsidRDefault="003F0D1B" w:rsidP="003F0D1B">
      <w:pPr>
        <w:pStyle w:val="Heading3"/>
      </w:pPr>
      <w:r w:rsidRPr="00297BFA">
        <w:t>School program and process data</w:t>
      </w:r>
    </w:p>
    <w:p w14:paraId="53809314" w14:textId="4DAC28EA" w:rsidR="001A6F74" w:rsidRDefault="001A6F74" w:rsidP="001A6F74">
      <w:pPr>
        <w:pStyle w:val="BodyText"/>
        <w:tabs>
          <w:tab w:val="left" w:pos="1560"/>
        </w:tabs>
        <w:spacing w:before="22"/>
        <w:rPr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proofErr w:type="gramStart"/>
      <w:r>
        <w:rPr>
          <w:i/>
          <w:color w:val="000000" w:themeColor="text1"/>
        </w:rPr>
        <w:t>In</w:t>
      </w:r>
      <w:proofErr w:type="gramEnd"/>
      <w:r>
        <w:rPr>
          <w:i/>
          <w:color w:val="000000" w:themeColor="text1"/>
        </w:rPr>
        <w:t xml:space="preserve"> all classrooms, students can apply and transfer their mathematical knowledge.</w:t>
      </w:r>
    </w:p>
    <w:p w14:paraId="069751A4" w14:textId="77777777" w:rsidR="001A6F74" w:rsidRPr="005847B7" w:rsidRDefault="001A6F74" w:rsidP="001A6F74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>Class walkthrough/Planning documents</w:t>
      </w:r>
    </w:p>
    <w:p w14:paraId="7623BF37" w14:textId="77777777" w:rsidR="001A6F74" w:rsidRPr="00D81CAC" w:rsidRDefault="001A6F74" w:rsidP="001A6F74">
      <w:pPr>
        <w:tabs>
          <w:tab w:val="left" w:pos="1560"/>
        </w:tabs>
        <w:ind w:left="1560" w:hanging="1560"/>
        <w:rPr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 w:rsidRPr="00D81CAC">
        <w:rPr>
          <w:color w:val="000000" w:themeColor="text1"/>
        </w:rPr>
        <w:t>12 out of 22 classroom mat</w:t>
      </w:r>
      <w:r>
        <w:rPr>
          <w:color w:val="000000" w:themeColor="text1"/>
        </w:rPr>
        <w:t>hs</w:t>
      </w:r>
      <w:r w:rsidRPr="00D81CAC">
        <w:rPr>
          <w:color w:val="000000" w:themeColor="text1"/>
        </w:rPr>
        <w:t xml:space="preserve"> programmes show evidence that students </w:t>
      </w:r>
      <w:r>
        <w:rPr>
          <w:color w:val="000000" w:themeColor="text1"/>
        </w:rPr>
        <w:t xml:space="preserve">are learning </w:t>
      </w:r>
      <w:r w:rsidRPr="00D81CAC">
        <w:rPr>
          <w:color w:val="000000" w:themeColor="text1"/>
        </w:rPr>
        <w:t>how to apply maths concepts.</w:t>
      </w:r>
    </w:p>
    <w:p w14:paraId="389EFAF4" w14:textId="2078C093" w:rsidR="003F0D1B" w:rsidRPr="005847B7" w:rsidRDefault="003F0D1B" w:rsidP="003F0D1B">
      <w:pPr>
        <w:tabs>
          <w:tab w:val="left" w:pos="1560"/>
        </w:tabs>
        <w:ind w:left="1560" w:hanging="1560"/>
        <w:rPr>
          <w:color w:val="000000" w:themeColor="text1"/>
        </w:rPr>
      </w:pPr>
      <w:r>
        <w:rPr>
          <w:i/>
          <w:color w:val="000000" w:themeColor="text1"/>
        </w:rPr>
        <w:t xml:space="preserve">  </w:t>
      </w:r>
    </w:p>
    <w:p w14:paraId="1319DBFF" w14:textId="0AF92F3B" w:rsidR="004D5E45" w:rsidRPr="00373DC0" w:rsidRDefault="004D5E45" w:rsidP="00837137">
      <w:pPr>
        <w:pStyle w:val="BodyText"/>
      </w:pPr>
      <w:r w:rsidRPr="00373DC0">
        <w:t>In 20</w:t>
      </w:r>
      <w:r w:rsidR="001A6F74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19018BC2" w14:textId="77777777" w:rsidR="001A6F74" w:rsidRDefault="001A6F74" w:rsidP="001A6F74">
      <w:pPr>
        <w:pStyle w:val="NumberedList"/>
        <w:numPr>
          <w:ilvl w:val="0"/>
          <w:numId w:val="22"/>
        </w:numPr>
      </w:pPr>
      <w:r w:rsidRPr="00000E59">
        <w:t xml:space="preserve">Explore </w:t>
      </w:r>
      <w:r>
        <w:t>mathematics</w:t>
      </w:r>
      <w:r w:rsidRPr="00000E59">
        <w:t xml:space="preserve"> successful practice</w:t>
      </w:r>
      <w:r>
        <w:t xml:space="preserve"> </w:t>
      </w:r>
    </w:p>
    <w:p w14:paraId="6B5B5030" w14:textId="77777777" w:rsidR="001A6F74" w:rsidRDefault="001A6F74" w:rsidP="001A6F74">
      <w:pPr>
        <w:pStyle w:val="NumberedList"/>
        <w:numPr>
          <w:ilvl w:val="0"/>
          <w:numId w:val="22"/>
        </w:numPr>
      </w:pPr>
      <w:r>
        <w:t>Establish Mathematics plans</w:t>
      </w:r>
    </w:p>
    <w:p w14:paraId="6403B9E2" w14:textId="292042EA" w:rsidR="009B454E" w:rsidRDefault="001A6F74" w:rsidP="001A6F74">
      <w:pPr>
        <w:pStyle w:val="BodyText"/>
        <w:numPr>
          <w:ilvl w:val="0"/>
          <w:numId w:val="22"/>
        </w:numPr>
      </w:pPr>
      <w:r>
        <w:t>Enact aspects of mathematics plans through PLCs</w:t>
      </w:r>
    </w:p>
    <w:p w14:paraId="7DFF073D" w14:textId="3A99B54C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58AE508A" w:rsidR="006D2F6B" w:rsidRPr="00D03B0C" w:rsidRDefault="001A6F74" w:rsidP="00D03B0C">
            <w:pPr>
              <w:pStyle w:val="PlainText"/>
            </w:pPr>
            <w:r>
              <w:rPr>
                <w:color w:val="000000" w:themeColor="text1"/>
              </w:rPr>
              <w:t xml:space="preserve">60% of </w:t>
            </w:r>
            <w:proofErr w:type="spellStart"/>
            <w:r>
              <w:rPr>
                <w:color w:val="000000" w:themeColor="text1"/>
              </w:rPr>
              <w:t>Yrs</w:t>
            </w:r>
            <w:proofErr w:type="spellEnd"/>
            <w:r>
              <w:rPr>
                <w:color w:val="000000" w:themeColor="text1"/>
              </w:rPr>
              <w:t xml:space="preserve"> 3-5 students are at or above expected growth</w:t>
            </w:r>
          </w:p>
        </w:tc>
        <w:tc>
          <w:tcPr>
            <w:tcW w:w="790" w:type="dxa"/>
            <w:shd w:val="clear" w:color="auto" w:fill="auto"/>
          </w:tcPr>
          <w:p w14:paraId="6F51F004" w14:textId="144DE379" w:rsidR="006D2F6B" w:rsidRPr="00D03B0C" w:rsidRDefault="001A6F74" w:rsidP="00D03B0C">
            <w:r>
              <w:t>49.2</w:t>
            </w:r>
          </w:p>
        </w:tc>
        <w:tc>
          <w:tcPr>
            <w:tcW w:w="790" w:type="dxa"/>
            <w:shd w:val="clear" w:color="auto" w:fill="auto"/>
          </w:tcPr>
          <w:p w14:paraId="3571C78F" w14:textId="0B1C520E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9018766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AF3D61D" w14:textId="4B54977B" w:rsidR="001A6F74" w:rsidRPr="005847B7" w:rsidRDefault="001A6F74" w:rsidP="001A6F74">
            <w:pPr>
              <w:pStyle w:val="BodyText"/>
              <w:tabs>
                <w:tab w:val="left" w:pos="1560"/>
              </w:tabs>
              <w:spacing w:before="22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All </w:t>
            </w:r>
            <w:r w:rsidR="009557D3">
              <w:rPr>
                <w:color w:val="000000" w:themeColor="text1"/>
              </w:rPr>
              <w:t xml:space="preserve">classroom </w:t>
            </w:r>
            <w:r>
              <w:rPr>
                <w:color w:val="000000" w:themeColor="text1"/>
              </w:rPr>
              <w:t>teachers feel competent and confident in enriching and extending all students in mathematics.</w:t>
            </w:r>
          </w:p>
          <w:p w14:paraId="15FDFA6D" w14:textId="4ABAFFE9" w:rsidR="006D2F6B" w:rsidRPr="006D2F6B" w:rsidRDefault="006D2F6B" w:rsidP="00D03B0C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4B7CDD05" w14:textId="33AE7712" w:rsidR="006D2F6B" w:rsidRPr="006D2F6B" w:rsidRDefault="001A6F74" w:rsidP="00D03B0C">
            <w:r>
              <w:t>50%</w:t>
            </w:r>
          </w:p>
        </w:tc>
        <w:tc>
          <w:tcPr>
            <w:tcW w:w="790" w:type="dxa"/>
            <w:shd w:val="clear" w:color="auto" w:fill="auto"/>
          </w:tcPr>
          <w:p w14:paraId="1037F637" w14:textId="471AB59F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4DED56F3" w14:textId="055D63CA" w:rsidR="006D2F6B" w:rsidRPr="006D2F6B" w:rsidRDefault="009557D3" w:rsidP="00D03B0C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3080"/>
        <w:gridCol w:w="767"/>
        <w:gridCol w:w="767"/>
        <w:gridCol w:w="767"/>
        <w:gridCol w:w="767"/>
        <w:gridCol w:w="768"/>
      </w:tblGrid>
      <w:tr w:rsidR="006D2F6B" w14:paraId="5A7D1DBC" w14:textId="77777777" w:rsidTr="00A46B48">
        <w:trPr>
          <w:jc w:val="center"/>
        </w:trPr>
        <w:tc>
          <w:tcPr>
            <w:tcW w:w="2122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3080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67" w:type="dxa"/>
            <w:shd w:val="clear" w:color="auto" w:fill="auto"/>
          </w:tcPr>
          <w:p w14:paraId="2D7C770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67" w:type="dxa"/>
            <w:shd w:val="clear" w:color="auto" w:fill="auto"/>
          </w:tcPr>
          <w:p w14:paraId="1AEEC90B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67" w:type="dxa"/>
            <w:shd w:val="clear" w:color="auto" w:fill="auto"/>
          </w:tcPr>
          <w:p w14:paraId="55A376BF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67" w:type="dxa"/>
            <w:shd w:val="clear" w:color="auto" w:fill="auto"/>
          </w:tcPr>
          <w:p w14:paraId="7B0F6FB9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68" w:type="dxa"/>
            <w:shd w:val="clear" w:color="auto" w:fill="auto"/>
          </w:tcPr>
          <w:p w14:paraId="1A3E137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511DB66E" w14:textId="77777777" w:rsidTr="00A46B48">
        <w:trPr>
          <w:jc w:val="center"/>
        </w:trPr>
        <w:tc>
          <w:tcPr>
            <w:tcW w:w="2122" w:type="dxa"/>
            <w:shd w:val="clear" w:color="auto" w:fill="auto"/>
          </w:tcPr>
          <w:p w14:paraId="2119B3E1" w14:textId="62A9D3D5" w:rsidR="001A6F74" w:rsidRDefault="001A6F74" w:rsidP="001A6F74">
            <w:pPr>
              <w:pStyle w:val="BodyText"/>
              <w:tabs>
                <w:tab w:val="left" w:pos="1560"/>
              </w:tabs>
              <w:spacing w:before="22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In all classrooms, students can apply and transfer their mathematical knowledge.</w:t>
            </w:r>
          </w:p>
          <w:p w14:paraId="0CEA91E9" w14:textId="16AA5F60" w:rsidR="006D2F6B" w:rsidRPr="003F0D1B" w:rsidRDefault="006D2F6B" w:rsidP="003F0D1B">
            <w:pPr>
              <w:pStyle w:val="BodyText"/>
              <w:tabs>
                <w:tab w:val="left" w:pos="1560"/>
              </w:tabs>
              <w:spacing w:before="22"/>
              <w:rPr>
                <w:b/>
                <w:i/>
                <w:color w:val="000000" w:themeColor="text1"/>
              </w:rPr>
            </w:pPr>
          </w:p>
        </w:tc>
        <w:tc>
          <w:tcPr>
            <w:tcW w:w="3080" w:type="dxa"/>
            <w:shd w:val="clear" w:color="auto" w:fill="auto"/>
          </w:tcPr>
          <w:p w14:paraId="1DEC5E9B" w14:textId="78C3A870" w:rsidR="006D2F6B" w:rsidRPr="006D2F6B" w:rsidRDefault="001A6F74" w:rsidP="00D03B0C">
            <w:r w:rsidRPr="00D81CAC">
              <w:rPr>
                <w:color w:val="000000" w:themeColor="text1"/>
              </w:rPr>
              <w:t>12 out of 22 classroom mat</w:t>
            </w:r>
            <w:r>
              <w:rPr>
                <w:color w:val="000000" w:themeColor="text1"/>
              </w:rPr>
              <w:t>hs</w:t>
            </w:r>
            <w:r w:rsidRPr="00D81CAC">
              <w:rPr>
                <w:color w:val="000000" w:themeColor="text1"/>
              </w:rPr>
              <w:t xml:space="preserve"> programmes show evidence that students </w:t>
            </w:r>
            <w:r>
              <w:rPr>
                <w:color w:val="000000" w:themeColor="text1"/>
              </w:rPr>
              <w:t xml:space="preserve">are learning </w:t>
            </w:r>
            <w:r w:rsidRPr="00D81CAC">
              <w:rPr>
                <w:color w:val="000000" w:themeColor="text1"/>
              </w:rPr>
              <w:t>how to apply maths concepts.</w:t>
            </w:r>
          </w:p>
        </w:tc>
        <w:tc>
          <w:tcPr>
            <w:tcW w:w="767" w:type="dxa"/>
            <w:shd w:val="clear" w:color="auto" w:fill="auto"/>
          </w:tcPr>
          <w:p w14:paraId="0FF61450" w14:textId="0521B984" w:rsidR="006D2F6B" w:rsidRPr="006D2F6B" w:rsidRDefault="006D2F6B" w:rsidP="00D03B0C"/>
        </w:tc>
        <w:tc>
          <w:tcPr>
            <w:tcW w:w="767" w:type="dxa"/>
            <w:shd w:val="clear" w:color="auto" w:fill="auto"/>
          </w:tcPr>
          <w:p w14:paraId="6E75F6C9" w14:textId="1B6B38DA" w:rsidR="006D2F6B" w:rsidRPr="006D2F6B" w:rsidRDefault="009557D3" w:rsidP="00D03B0C">
            <w:r>
              <w:t>18/21</w:t>
            </w:r>
          </w:p>
        </w:tc>
        <w:tc>
          <w:tcPr>
            <w:tcW w:w="767" w:type="dxa"/>
            <w:shd w:val="clear" w:color="auto" w:fill="auto"/>
          </w:tcPr>
          <w:p w14:paraId="3E895FED" w14:textId="77777777" w:rsidR="006D2F6B" w:rsidRPr="006D2F6B" w:rsidRDefault="006D2F6B" w:rsidP="00D03B0C"/>
        </w:tc>
        <w:tc>
          <w:tcPr>
            <w:tcW w:w="767" w:type="dxa"/>
            <w:shd w:val="clear" w:color="auto" w:fill="auto"/>
          </w:tcPr>
          <w:p w14:paraId="3731D7F2" w14:textId="77777777" w:rsidR="006D2F6B" w:rsidRPr="006D2F6B" w:rsidRDefault="006D2F6B" w:rsidP="00D03B0C"/>
        </w:tc>
        <w:tc>
          <w:tcPr>
            <w:tcW w:w="768" w:type="dxa"/>
            <w:shd w:val="clear" w:color="auto" w:fill="auto"/>
          </w:tcPr>
          <w:p w14:paraId="0E363862" w14:textId="77777777" w:rsidR="006D2F6B" w:rsidRPr="006D2F6B" w:rsidRDefault="006D2F6B" w:rsidP="00D03B0C"/>
        </w:tc>
      </w:tr>
    </w:tbl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B7EDC81" w14:textId="37F39707" w:rsidR="003C69DC" w:rsidRDefault="003C69DC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What does this evidence indicate about your school’s progress towards </w:t>
            </w:r>
            <w:r w:rsidR="006830C3">
              <w:t>its</w:t>
            </w:r>
            <w:r>
              <w:t xml:space="preserve"> five-year target</w:t>
            </w:r>
            <w:r w:rsidR="00846E51" w:rsidRPr="006D2F6B">
              <w:t>s</w:t>
            </w:r>
            <w:r>
              <w:t>?</w:t>
            </w:r>
          </w:p>
          <w:p w14:paraId="3044E989" w14:textId="67977CD5" w:rsidR="006E0396" w:rsidRPr="00342A97" w:rsidRDefault="00342A97" w:rsidP="00387DAB">
            <w:pPr>
              <w:pStyle w:val="PlainText"/>
              <w:ind w:left="1"/>
            </w:pPr>
            <w:r w:rsidRPr="00342A97">
              <w:lastRenderedPageBreak/>
              <w:t>Growth was not measured this year as NAPLAN was not administered.  School based assessments occurred such as SENA 1,2,3 &amp; 4, Middle Years Mental Computation and PAT Maths allowing us to measure individual growth instead.</w:t>
            </w:r>
          </w:p>
          <w:p w14:paraId="3CDE0F3D" w14:textId="6C26EAD2" w:rsidR="00CF3F40" w:rsidRDefault="00B53B59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Have any </w:t>
            </w:r>
            <w:r w:rsidR="00161E50">
              <w:t>of your data sources changed over time? If so, why?</w:t>
            </w:r>
          </w:p>
          <w:p w14:paraId="2C0B61B1" w14:textId="34240D88" w:rsidR="001869D8" w:rsidRDefault="003124DD" w:rsidP="001869D8">
            <w:pPr>
              <w:pStyle w:val="PlainText"/>
              <w:ind w:left="1"/>
            </w:pPr>
            <w:r>
              <w:t>Yes.  NAPLAN was not undertaken in Australia in 2020 due to the Covid-19 pandemic.</w:t>
            </w:r>
          </w:p>
          <w:p w14:paraId="00C58A6E" w14:textId="77777777" w:rsidR="00161E50" w:rsidRDefault="00161E50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What implications does </w:t>
            </w:r>
            <w:r w:rsidR="006D2F6B">
              <w:t>this evidence</w:t>
            </w:r>
            <w:r w:rsidR="00846E51">
              <w:t xml:space="preserve"> have for your next A</w:t>
            </w:r>
            <w:r>
              <w:t>P?</w:t>
            </w:r>
          </w:p>
          <w:p w14:paraId="5DA93FE2" w14:textId="4104B398" w:rsidR="009557D3" w:rsidRPr="00342A97" w:rsidRDefault="00FC52E7" w:rsidP="002A1DEE">
            <w:pPr>
              <w:pStyle w:val="PlainText"/>
              <w:ind w:left="1"/>
            </w:pPr>
            <w:r w:rsidRPr="00342A97">
              <w:t xml:space="preserve">The structures </w:t>
            </w:r>
            <w:r w:rsidR="009557D3" w:rsidRPr="00342A97">
              <w:t>introduced</w:t>
            </w:r>
            <w:r w:rsidRPr="00342A97">
              <w:t xml:space="preserve"> in 20</w:t>
            </w:r>
            <w:r w:rsidR="009557D3" w:rsidRPr="00342A97">
              <w:t>19</w:t>
            </w:r>
            <w:r w:rsidRPr="00342A97">
              <w:t xml:space="preserve"> (such as coaching</w:t>
            </w:r>
            <w:r w:rsidR="009557D3" w:rsidRPr="00342A97">
              <w:t xml:space="preserve"> &amp;</w:t>
            </w:r>
            <w:r w:rsidRPr="00342A97">
              <w:t xml:space="preserve"> Professional Learning Communities and Learning Walk and Talks) allow</w:t>
            </w:r>
            <w:r w:rsidR="009557D3" w:rsidRPr="00342A97">
              <w:t>ed</w:t>
            </w:r>
            <w:r w:rsidRPr="00342A97">
              <w:t xml:space="preserve"> us to </w:t>
            </w:r>
            <w:r w:rsidR="009557D3" w:rsidRPr="00342A97">
              <w:t xml:space="preserve">build teacher competence and confidence. </w:t>
            </w:r>
            <w:r w:rsidR="002A1DEE" w:rsidRPr="00342A97">
              <w:t xml:space="preserve"> </w:t>
            </w:r>
            <w:r w:rsidR="009557D3" w:rsidRPr="00342A97">
              <w:t>Teacher programmes demonstrated the knowledge teachers had gained in planning differentiated tasks that allow students to apply strategies in maths.</w:t>
            </w:r>
            <w:r w:rsidR="002A1DEE" w:rsidRPr="00342A97">
              <w:t xml:space="preserve"> </w:t>
            </w:r>
          </w:p>
          <w:p w14:paraId="2DFB70DA" w14:textId="402A02BE" w:rsidR="001869D8" w:rsidRDefault="00342A97" w:rsidP="002A1DEE">
            <w:pPr>
              <w:pStyle w:val="PlainText"/>
              <w:ind w:left="1"/>
            </w:pPr>
            <w:r w:rsidRPr="00342A97">
              <w:t xml:space="preserve">Even without Learning walk and Talks this year, </w:t>
            </w:r>
            <w:r w:rsidR="002A1DEE" w:rsidRPr="00342A97">
              <w:t>Torrens Primary School</w:t>
            </w:r>
            <w:r w:rsidRPr="00342A97">
              <w:t xml:space="preserve"> is on track to</w:t>
            </w:r>
            <w:r w:rsidR="002A1DEE" w:rsidRPr="00342A97">
              <w:t xml:space="preserve"> achieve the 5-year target.</w:t>
            </w:r>
          </w:p>
        </w:tc>
      </w:tr>
    </w:tbl>
    <w:p w14:paraId="113E7E85" w14:textId="4A8004DD" w:rsidR="002F4184" w:rsidRDefault="00937D6F" w:rsidP="002F4184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45441D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2A6BF917" w14:textId="172E3448" w:rsidR="00CA26FB" w:rsidRPr="00CA26FB" w:rsidRDefault="002A1DEE" w:rsidP="00CA26F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Improve growth in </w:t>
            </w:r>
            <w:r w:rsidR="005D1218">
              <w:rPr>
                <w:b/>
              </w:rPr>
              <w:t>mathematics</w:t>
            </w:r>
          </w:p>
          <w:p w14:paraId="63C72C54" w14:textId="2B775962" w:rsidR="002A1DEE" w:rsidRPr="00F2683E" w:rsidRDefault="002A1DEE" w:rsidP="00F2683E">
            <w:pPr>
              <w:pStyle w:val="ListParagraph"/>
              <w:numPr>
                <w:ilvl w:val="0"/>
                <w:numId w:val="18"/>
              </w:numPr>
              <w:rPr>
                <w:rFonts w:eastAsiaTheme="majorEastAsia" w:cstheme="minorHAnsi"/>
              </w:rPr>
            </w:pPr>
            <w:r w:rsidRPr="00F2683E">
              <w:rPr>
                <w:rFonts w:eastAsiaTheme="majorEastAsia" w:cstheme="minorHAnsi"/>
              </w:rPr>
              <w:t xml:space="preserve">100% of teachers attended January </w:t>
            </w:r>
            <w:r w:rsidR="005D1218" w:rsidRPr="00F2683E">
              <w:rPr>
                <w:rFonts w:eastAsiaTheme="majorEastAsia" w:cstheme="minorHAnsi"/>
              </w:rPr>
              <w:t xml:space="preserve">2019 </w:t>
            </w:r>
            <w:r w:rsidRPr="00F2683E">
              <w:rPr>
                <w:rFonts w:eastAsiaTheme="majorEastAsia" w:cstheme="minorHAnsi"/>
              </w:rPr>
              <w:t xml:space="preserve">stand down PL on </w:t>
            </w:r>
            <w:r w:rsidRPr="00F2683E">
              <w:rPr>
                <w:rFonts w:eastAsiaTheme="majorEastAsia" w:cstheme="minorHAnsi"/>
                <w:i/>
              </w:rPr>
              <w:t>Professional Learning Communities</w:t>
            </w:r>
            <w:r w:rsidRPr="00F2683E">
              <w:rPr>
                <w:rFonts w:eastAsiaTheme="majorEastAsia" w:cstheme="minorHAnsi"/>
              </w:rPr>
              <w:t xml:space="preserve"> </w:t>
            </w:r>
            <w:r w:rsidR="00AC0C46" w:rsidRPr="00F2683E">
              <w:rPr>
                <w:rFonts w:eastAsiaTheme="majorEastAsia" w:cstheme="minorHAnsi"/>
              </w:rPr>
              <w:t>(PLCs)</w:t>
            </w:r>
            <w:r w:rsidRPr="00F2683E">
              <w:rPr>
                <w:rFonts w:eastAsiaTheme="majorEastAsia" w:cstheme="minorHAnsi"/>
              </w:rPr>
              <w:t>– TQI accredited (Solution Tree).</w:t>
            </w:r>
          </w:p>
          <w:p w14:paraId="6AFC800F" w14:textId="7F49E704" w:rsidR="002A1DEE" w:rsidRPr="00F2683E" w:rsidRDefault="002A1DEE" w:rsidP="00F2683E">
            <w:pPr>
              <w:pStyle w:val="ListParagraph"/>
              <w:numPr>
                <w:ilvl w:val="0"/>
                <w:numId w:val="18"/>
              </w:numPr>
              <w:rPr>
                <w:rFonts w:eastAsiaTheme="majorEastAsia" w:cstheme="minorHAnsi"/>
              </w:rPr>
            </w:pPr>
            <w:r w:rsidRPr="00F2683E">
              <w:rPr>
                <w:rFonts w:eastAsiaTheme="majorEastAsia" w:cstheme="minorHAnsi"/>
              </w:rPr>
              <w:t xml:space="preserve">Team PLCs, guided by exec, using Helen Timperley’s </w:t>
            </w:r>
            <w:r w:rsidRPr="00F2683E">
              <w:rPr>
                <w:rFonts w:eastAsiaTheme="majorEastAsia" w:cstheme="minorHAnsi"/>
                <w:i/>
              </w:rPr>
              <w:t>Spiral of Inquiry</w:t>
            </w:r>
            <w:r w:rsidRPr="00F2683E">
              <w:rPr>
                <w:rFonts w:eastAsiaTheme="majorEastAsia" w:cstheme="minorHAnsi"/>
              </w:rPr>
              <w:t xml:space="preserve"> to improve </w:t>
            </w:r>
            <w:r w:rsidR="005D1218" w:rsidRPr="00F2683E">
              <w:rPr>
                <w:rFonts w:eastAsiaTheme="majorEastAsia" w:cstheme="minorHAnsi"/>
              </w:rPr>
              <w:t>mathematics</w:t>
            </w:r>
            <w:r w:rsidRPr="00F2683E">
              <w:rPr>
                <w:rFonts w:eastAsiaTheme="majorEastAsia" w:cstheme="minorHAnsi"/>
              </w:rPr>
              <w:t>.</w:t>
            </w:r>
          </w:p>
          <w:p w14:paraId="73C9AEB7" w14:textId="670E6DF7" w:rsidR="002A1DEE" w:rsidRPr="00F2683E" w:rsidRDefault="002A1DEE" w:rsidP="00F2683E">
            <w:pPr>
              <w:pStyle w:val="ListParagraph"/>
              <w:numPr>
                <w:ilvl w:val="0"/>
                <w:numId w:val="18"/>
              </w:numPr>
              <w:rPr>
                <w:rFonts w:eastAsiaTheme="majorEastAsia" w:cstheme="minorHAnsi"/>
              </w:rPr>
            </w:pPr>
            <w:r w:rsidRPr="00F2683E">
              <w:rPr>
                <w:rFonts w:eastAsiaTheme="majorEastAsia" w:cstheme="minorHAnsi"/>
              </w:rPr>
              <w:t xml:space="preserve">Staff meeting schedule </w:t>
            </w:r>
            <w:r w:rsidR="006C7C86" w:rsidRPr="00F2683E">
              <w:rPr>
                <w:rFonts w:eastAsiaTheme="majorEastAsia" w:cstheme="minorHAnsi"/>
              </w:rPr>
              <w:t xml:space="preserve">was </w:t>
            </w:r>
            <w:r w:rsidRPr="00F2683E">
              <w:rPr>
                <w:rFonts w:eastAsiaTheme="majorEastAsia" w:cstheme="minorHAnsi"/>
              </w:rPr>
              <w:t>revised to allow for PLC sharing about writing every 3</w:t>
            </w:r>
            <w:r w:rsidRPr="00F2683E">
              <w:rPr>
                <w:rFonts w:eastAsiaTheme="majorEastAsia" w:cstheme="minorHAnsi"/>
                <w:vertAlign w:val="superscript"/>
              </w:rPr>
              <w:t>rd</w:t>
            </w:r>
            <w:r w:rsidRPr="00F2683E">
              <w:rPr>
                <w:rFonts w:eastAsiaTheme="majorEastAsia" w:cstheme="minorHAnsi"/>
              </w:rPr>
              <w:t xml:space="preserve"> meeting as well as time for the </w:t>
            </w:r>
            <w:r w:rsidRPr="00F2683E">
              <w:rPr>
                <w:rFonts w:eastAsiaTheme="majorEastAsia" w:cstheme="minorHAnsi"/>
                <w:i/>
              </w:rPr>
              <w:t>Curriculum</w:t>
            </w:r>
            <w:r w:rsidRPr="00F2683E">
              <w:rPr>
                <w:rFonts w:eastAsiaTheme="majorEastAsia" w:cstheme="minorHAnsi"/>
              </w:rPr>
              <w:t xml:space="preserve">, </w:t>
            </w:r>
            <w:r w:rsidRPr="00F2683E">
              <w:rPr>
                <w:rFonts w:eastAsiaTheme="majorEastAsia" w:cstheme="minorHAnsi"/>
                <w:i/>
              </w:rPr>
              <w:t>Data</w:t>
            </w:r>
            <w:r w:rsidR="00E85B49" w:rsidRPr="00F2683E">
              <w:rPr>
                <w:rFonts w:eastAsiaTheme="majorEastAsia" w:cstheme="minorHAnsi"/>
                <w:i/>
              </w:rPr>
              <w:t>, PBL</w:t>
            </w:r>
            <w:r w:rsidRPr="00F2683E">
              <w:rPr>
                <w:rFonts w:eastAsiaTheme="majorEastAsia" w:cstheme="minorHAnsi"/>
              </w:rPr>
              <w:t xml:space="preserve"> and </w:t>
            </w:r>
            <w:r w:rsidRPr="00F2683E">
              <w:rPr>
                <w:rFonts w:eastAsiaTheme="majorEastAsia" w:cstheme="minorHAnsi"/>
                <w:i/>
              </w:rPr>
              <w:t>Pedagogy</w:t>
            </w:r>
            <w:r w:rsidRPr="00F2683E">
              <w:rPr>
                <w:rFonts w:eastAsiaTheme="majorEastAsia" w:cstheme="minorHAnsi"/>
              </w:rPr>
              <w:t xml:space="preserve"> </w:t>
            </w:r>
            <w:r w:rsidRPr="00F2683E">
              <w:rPr>
                <w:rFonts w:eastAsiaTheme="majorEastAsia" w:cstheme="minorHAnsi"/>
                <w:i/>
              </w:rPr>
              <w:t>Committees</w:t>
            </w:r>
            <w:r w:rsidRPr="00F2683E">
              <w:rPr>
                <w:rFonts w:eastAsiaTheme="majorEastAsia" w:cstheme="minorHAnsi"/>
              </w:rPr>
              <w:t xml:space="preserve"> to meet.  Each week 10 meeting </w:t>
            </w:r>
            <w:r w:rsidR="006C7C86" w:rsidRPr="00F2683E">
              <w:rPr>
                <w:rFonts w:eastAsiaTheme="majorEastAsia" w:cstheme="minorHAnsi"/>
              </w:rPr>
              <w:t>teachers</w:t>
            </w:r>
            <w:r w:rsidRPr="00F2683E">
              <w:rPr>
                <w:rFonts w:eastAsiaTheme="majorEastAsia" w:cstheme="minorHAnsi"/>
              </w:rPr>
              <w:t xml:space="preserve"> reflect</w:t>
            </w:r>
            <w:r w:rsidR="006C7C86" w:rsidRPr="00F2683E">
              <w:rPr>
                <w:rFonts w:eastAsiaTheme="majorEastAsia" w:cstheme="minorHAnsi"/>
              </w:rPr>
              <w:t>ed on</w:t>
            </w:r>
            <w:r w:rsidRPr="00F2683E">
              <w:rPr>
                <w:rFonts w:eastAsiaTheme="majorEastAsia" w:cstheme="minorHAnsi"/>
              </w:rPr>
              <w:t xml:space="preserve"> and </w:t>
            </w:r>
            <w:r w:rsidR="00AC0C46" w:rsidRPr="00F2683E">
              <w:rPr>
                <w:rFonts w:eastAsiaTheme="majorEastAsia" w:cstheme="minorHAnsi"/>
              </w:rPr>
              <w:t>celebrated our</w:t>
            </w:r>
            <w:r w:rsidRPr="00F2683E">
              <w:rPr>
                <w:rFonts w:eastAsiaTheme="majorEastAsia" w:cstheme="minorHAnsi"/>
              </w:rPr>
              <w:t xml:space="preserve"> </w:t>
            </w:r>
            <w:r w:rsidR="006C7C86" w:rsidRPr="00F2683E">
              <w:rPr>
                <w:rFonts w:eastAsiaTheme="majorEastAsia" w:cstheme="minorHAnsi"/>
              </w:rPr>
              <w:t>achievements towards</w:t>
            </w:r>
            <w:r w:rsidRPr="00F2683E">
              <w:rPr>
                <w:rFonts w:eastAsiaTheme="majorEastAsia" w:cstheme="minorHAnsi"/>
              </w:rPr>
              <w:t xml:space="preserve"> “improv</w:t>
            </w:r>
            <w:r w:rsidR="006C7C86" w:rsidRPr="00F2683E">
              <w:rPr>
                <w:rFonts w:eastAsiaTheme="majorEastAsia" w:cstheme="minorHAnsi"/>
              </w:rPr>
              <w:t>ing</w:t>
            </w:r>
            <w:r w:rsidRPr="00F2683E">
              <w:rPr>
                <w:rFonts w:eastAsiaTheme="majorEastAsia" w:cstheme="minorHAnsi"/>
              </w:rPr>
              <w:t xml:space="preserve"> growth in </w:t>
            </w:r>
            <w:r w:rsidR="005D1218" w:rsidRPr="00F2683E">
              <w:rPr>
                <w:rFonts w:eastAsiaTheme="majorEastAsia" w:cstheme="minorHAnsi"/>
              </w:rPr>
              <w:t>mathematics</w:t>
            </w:r>
            <w:r w:rsidRPr="00F2683E">
              <w:rPr>
                <w:rFonts w:eastAsiaTheme="majorEastAsia" w:cstheme="minorHAnsi"/>
              </w:rPr>
              <w:t>”.</w:t>
            </w:r>
          </w:p>
          <w:p w14:paraId="1755D159" w14:textId="43A2AE67" w:rsidR="00777F18" w:rsidRPr="00F2683E" w:rsidRDefault="005D1218" w:rsidP="00F2683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683E">
              <w:rPr>
                <w:rFonts w:asciiTheme="minorHAnsi" w:eastAsiaTheme="majorEastAsia" w:hAnsiTheme="minorHAnsi" w:cstheme="minorHAnsi"/>
                <w:iCs/>
                <w:sz w:val="22"/>
                <w:szCs w:val="22"/>
              </w:rPr>
              <w:t>Torrens Primary School coaches (</w:t>
            </w:r>
            <w:r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4 Coaches </w:t>
            </w:r>
            <w:proofErr w:type="spellStart"/>
            <w:r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>offlined</w:t>
            </w:r>
            <w:proofErr w:type="spellEnd"/>
            <w:r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to improve mathematics)</w:t>
            </w:r>
            <w:r w:rsidR="002A1DEE"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lead TQI accredited workshops on </w:t>
            </w:r>
            <w:r w:rsidR="00460F8B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How can we as teachers assist in the growth of our students’</w:t>
            </w:r>
            <w:r w:rsidR="00777F18" w:rsidRPr="00F268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F8B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Understanding, Fluency, Problem Solving and Reasoning</w:t>
            </w:r>
            <w:r w:rsidR="00460F8B" w:rsidRPr="00F268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F8B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Mathematics</w:t>
            </w:r>
            <w:r w:rsidR="00777F18" w:rsidRPr="00F2683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777F18"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r w:rsidR="00777F18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Assessment to Build on Student Knowledge and Understandings; SENA - Where are we now? Where do we want to get to? How are we going to do it? Multiplicative Thinking, Effective Differentiation </w:t>
            </w:r>
            <w:r w:rsidR="002A1DEE"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and </w:t>
            </w:r>
            <w:r w:rsidR="00777F18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Surveys</w:t>
            </w:r>
            <w:r w:rsidR="00C83030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777F18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Multiple Representations</w:t>
            </w:r>
            <w:r w:rsidR="00C83030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777F18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Maths Menu</w:t>
            </w:r>
            <w:r w:rsidR="00C83030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777F18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Revisit 10 Essential Maths Practices</w:t>
            </w:r>
            <w:r w:rsidR="00C83030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777F18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Assessment to guide</w:t>
            </w:r>
            <w:r w:rsidR="00777F18" w:rsidRPr="00F268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030" w:rsidRPr="00F268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practice</w:t>
            </w:r>
            <w:r w:rsidR="00C83030" w:rsidRPr="00F268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4098A5" w14:textId="46B489DE" w:rsidR="002A1DEE" w:rsidRPr="00F2683E" w:rsidRDefault="005D1218" w:rsidP="00F2683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>The coaches</w:t>
            </w:r>
            <w:r w:rsidR="002A1DEE"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wor</w:t>
            </w:r>
            <w:r w:rsidR="006C7C86"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>ked</w:t>
            </w:r>
            <w:r w:rsidR="002A1DEE"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with all PLCs during 20</w:t>
            </w:r>
            <w:r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>20</w:t>
            </w:r>
            <w:r w:rsidR="002A1DEE" w:rsidRPr="00F2683E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guiding them in planning, modelling lessons and improving teacher practice.</w:t>
            </w:r>
          </w:p>
          <w:p w14:paraId="7438AAD6" w14:textId="6173FA65" w:rsidR="006C7C86" w:rsidRPr="00F2683E" w:rsidRDefault="005D1218" w:rsidP="00F2683E">
            <w:pPr>
              <w:pStyle w:val="ListParagraph"/>
              <w:numPr>
                <w:ilvl w:val="0"/>
                <w:numId w:val="18"/>
              </w:numPr>
              <w:rPr>
                <w:rFonts w:eastAsiaTheme="majorEastAsia" w:cstheme="minorHAnsi"/>
              </w:rPr>
            </w:pPr>
            <w:r w:rsidRPr="00F2683E">
              <w:rPr>
                <w:rFonts w:eastAsiaTheme="majorEastAsia" w:cstheme="minorHAnsi"/>
              </w:rPr>
              <w:t>Torrens Primary School wrote the 10 Essential Mathematics Practices and developed a shared Menu of Mathematical Strategies K-6.</w:t>
            </w:r>
          </w:p>
          <w:p w14:paraId="56FA245E" w14:textId="61085E5B" w:rsidR="00CA26FB" w:rsidRDefault="00460F8B" w:rsidP="00F2683E">
            <w:pPr>
              <w:pStyle w:val="ListParagraph"/>
              <w:numPr>
                <w:ilvl w:val="0"/>
                <w:numId w:val="18"/>
              </w:numPr>
              <w:rPr>
                <w:rFonts w:eastAsiaTheme="majorEastAsia" w:cstheme="minorHAnsi"/>
              </w:rPr>
            </w:pPr>
            <w:r w:rsidRPr="00F2683E">
              <w:rPr>
                <w:rFonts w:eastAsiaTheme="majorEastAsia" w:cstheme="minorHAnsi"/>
              </w:rPr>
              <w:t xml:space="preserve">Teachers from Torrens Primary School applied to be Instructional Maths Mentors.  </w:t>
            </w:r>
            <w:r w:rsidR="00C83030" w:rsidRPr="00F2683E">
              <w:rPr>
                <w:rFonts w:eastAsiaTheme="majorEastAsia" w:cstheme="minorHAnsi"/>
              </w:rPr>
              <w:t>The successful Instructional Maths Mentors worked with all teams in planning.</w:t>
            </w:r>
          </w:p>
          <w:p w14:paraId="1918B03D" w14:textId="5A3FCA56" w:rsidR="00F2683E" w:rsidRPr="00F2683E" w:rsidRDefault="00F2683E" w:rsidP="00F2683E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An innovative Maths Station was created as a professional learning tool for Torrens Primary School staff in Google Drive.</w:t>
            </w:r>
          </w:p>
          <w:p w14:paraId="48C5D032" w14:textId="51385B59" w:rsidR="00C83030" w:rsidRPr="0045441D" w:rsidRDefault="00C83030" w:rsidP="00F2683E">
            <w:pPr>
              <w:pStyle w:val="ListParagraph"/>
              <w:numPr>
                <w:ilvl w:val="0"/>
                <w:numId w:val="18"/>
              </w:numPr>
              <w:rPr>
                <w:rFonts w:eastAsiaTheme="majorEastAsia" w:cstheme="minorHAnsi"/>
              </w:rPr>
            </w:pPr>
            <w:r w:rsidRPr="00F2683E">
              <w:rPr>
                <w:rFonts w:eastAsiaTheme="majorEastAsia" w:cstheme="minorHAnsi"/>
              </w:rPr>
              <w:t>A SENA database is being developed for K-6 SENAs 1-4.</w:t>
            </w:r>
          </w:p>
        </w:tc>
      </w:tr>
    </w:tbl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7E7EC2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1561DE55" w14:textId="37BEF822" w:rsidR="00937D6F" w:rsidRDefault="00E85B49" w:rsidP="00932E67">
            <w:pPr>
              <w:pStyle w:val="ListBullet2"/>
            </w:pPr>
            <w:r>
              <w:t xml:space="preserve">We will </w:t>
            </w:r>
            <w:r w:rsidR="00224277">
              <w:t>implement</w:t>
            </w:r>
            <w:r>
              <w:t xml:space="preserve"> Learning Walk and Talks, updating our documentation and improving the process.</w:t>
            </w:r>
            <w:r w:rsidR="00224277">
              <w:t xml:space="preserve">  This didn’t occur in 2020 due to the Covid-19 pandemic.</w:t>
            </w:r>
          </w:p>
          <w:p w14:paraId="21501890" w14:textId="6EA2E30B" w:rsidR="00E85B49" w:rsidRDefault="00E85B49" w:rsidP="00932E67">
            <w:pPr>
              <w:pStyle w:val="ListBullet2"/>
            </w:pPr>
            <w:r>
              <w:t>We will become more consistent with our coaching approach.  All teachers can expect to receive written feedback against their individual goals.</w:t>
            </w:r>
          </w:p>
        </w:tc>
      </w:tr>
    </w:tbl>
    <w:p w14:paraId="487A414F" w14:textId="77777777" w:rsidR="0045441D" w:rsidRDefault="0045441D" w:rsidP="007E7EC2">
      <w:pPr>
        <w:pStyle w:val="Heading2"/>
        <w:ind w:left="0" w:firstLine="0"/>
      </w:pPr>
    </w:p>
    <w:p w14:paraId="05A9A145" w14:textId="4A195261" w:rsidR="00271528" w:rsidRPr="00557F65" w:rsidRDefault="00271528" w:rsidP="007E7EC2">
      <w:pPr>
        <w:pStyle w:val="Heading2"/>
        <w:ind w:left="0" w:firstLine="0"/>
      </w:pPr>
      <w:r>
        <w:t>Reporting on preschool improvement</w:t>
      </w:r>
    </w:p>
    <w:p w14:paraId="579C7EB3" w14:textId="77777777" w:rsidR="00271528" w:rsidRDefault="00271528" w:rsidP="009B454E">
      <w:pPr>
        <w:pStyle w:val="BodyText"/>
      </w:pPr>
      <w:r>
        <w:lastRenderedPageBreak/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>. Schools have a choice to either report against their QIP using the Directorate template or to report progress here.</w:t>
      </w:r>
      <w:r w:rsidR="008A01DA">
        <w:t xml:space="preserve"> </w:t>
      </w:r>
    </w:p>
    <w:sectPr w:rsidR="00271528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966E" w14:textId="77777777" w:rsidR="00D12464" w:rsidRDefault="00D12464" w:rsidP="00CA0BAD">
      <w:pPr>
        <w:spacing w:after="0" w:line="240" w:lineRule="auto"/>
      </w:pPr>
      <w:r>
        <w:separator/>
      </w:r>
    </w:p>
  </w:endnote>
  <w:endnote w:type="continuationSeparator" w:id="0">
    <w:p w14:paraId="626481D8" w14:textId="77777777" w:rsidR="00D12464" w:rsidRDefault="00D12464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2E478B8F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72F7B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Thursday, 17 December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70C04" w14:textId="77777777" w:rsidR="00D12464" w:rsidRDefault="00D12464" w:rsidP="00CA0BAD">
      <w:pPr>
        <w:spacing w:after="0" w:line="240" w:lineRule="auto"/>
      </w:pPr>
      <w:r>
        <w:separator/>
      </w:r>
    </w:p>
  </w:footnote>
  <w:footnote w:type="continuationSeparator" w:id="0">
    <w:p w14:paraId="1136B50C" w14:textId="77777777" w:rsidR="00D12464" w:rsidRDefault="00D12464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13EB"/>
    <w:multiLevelType w:val="multilevel"/>
    <w:tmpl w:val="9BE4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551013"/>
    <w:multiLevelType w:val="multilevel"/>
    <w:tmpl w:val="BD4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D7A1D"/>
    <w:multiLevelType w:val="hybridMultilevel"/>
    <w:tmpl w:val="1A467414"/>
    <w:lvl w:ilvl="0" w:tplc="EF8EA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B201D"/>
    <w:multiLevelType w:val="hybridMultilevel"/>
    <w:tmpl w:val="80C0D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D2586"/>
    <w:multiLevelType w:val="multilevel"/>
    <w:tmpl w:val="754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67E4"/>
    <w:multiLevelType w:val="multilevel"/>
    <w:tmpl w:val="BE2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AEF4885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345A8"/>
    <w:multiLevelType w:val="hybridMultilevel"/>
    <w:tmpl w:val="1E342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0ED"/>
    <w:multiLevelType w:val="multilevel"/>
    <w:tmpl w:val="F2B0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1A7520"/>
    <w:multiLevelType w:val="hybridMultilevel"/>
    <w:tmpl w:val="388CBF9E"/>
    <w:lvl w:ilvl="0" w:tplc="C0ECCD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3238"/>
    <w:multiLevelType w:val="multilevel"/>
    <w:tmpl w:val="947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210610"/>
    <w:multiLevelType w:val="multilevel"/>
    <w:tmpl w:val="A38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7A3485"/>
    <w:multiLevelType w:val="multilevel"/>
    <w:tmpl w:val="1E4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24"/>
  </w:num>
  <w:num w:numId="19">
    <w:abstractNumId w:val="23"/>
  </w:num>
  <w:num w:numId="20">
    <w:abstractNumId w:val="26"/>
  </w:num>
  <w:num w:numId="21">
    <w:abstractNumId w:val="13"/>
  </w:num>
  <w:num w:numId="22">
    <w:abstractNumId w:val="14"/>
  </w:num>
  <w:num w:numId="23">
    <w:abstractNumId w:val="12"/>
  </w:num>
  <w:num w:numId="24">
    <w:abstractNumId w:val="27"/>
  </w:num>
  <w:num w:numId="25">
    <w:abstractNumId w:val="15"/>
  </w:num>
  <w:num w:numId="26">
    <w:abstractNumId w:val="28"/>
  </w:num>
  <w:num w:numId="27">
    <w:abstractNumId w:val="11"/>
  </w:num>
  <w:num w:numId="28">
    <w:abstractNumId w:val="25"/>
  </w:num>
  <w:num w:numId="29">
    <w:abstractNumId w:val="29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7DAD"/>
    <w:rsid w:val="000E2727"/>
    <w:rsid w:val="000F7E7C"/>
    <w:rsid w:val="00107AE2"/>
    <w:rsid w:val="00115AA9"/>
    <w:rsid w:val="00132917"/>
    <w:rsid w:val="00161E50"/>
    <w:rsid w:val="00163579"/>
    <w:rsid w:val="00183DE5"/>
    <w:rsid w:val="00185CB2"/>
    <w:rsid w:val="001869D8"/>
    <w:rsid w:val="001A6F74"/>
    <w:rsid w:val="001B26EA"/>
    <w:rsid w:val="001B2E33"/>
    <w:rsid w:val="002145F7"/>
    <w:rsid w:val="00224277"/>
    <w:rsid w:val="0024781C"/>
    <w:rsid w:val="00266E77"/>
    <w:rsid w:val="00271528"/>
    <w:rsid w:val="002A1DEE"/>
    <w:rsid w:val="002F2C6F"/>
    <w:rsid w:val="002F4184"/>
    <w:rsid w:val="00300F72"/>
    <w:rsid w:val="003124DD"/>
    <w:rsid w:val="00334BBF"/>
    <w:rsid w:val="00342A97"/>
    <w:rsid w:val="00342B3F"/>
    <w:rsid w:val="00365890"/>
    <w:rsid w:val="00365A1C"/>
    <w:rsid w:val="00373DC0"/>
    <w:rsid w:val="00377F0F"/>
    <w:rsid w:val="00387DAB"/>
    <w:rsid w:val="003A3197"/>
    <w:rsid w:val="003A6815"/>
    <w:rsid w:val="003B5E3D"/>
    <w:rsid w:val="003C2864"/>
    <w:rsid w:val="003C69DC"/>
    <w:rsid w:val="003E1EFB"/>
    <w:rsid w:val="003F0D1B"/>
    <w:rsid w:val="00435AB7"/>
    <w:rsid w:val="00435C6B"/>
    <w:rsid w:val="00436626"/>
    <w:rsid w:val="0045441D"/>
    <w:rsid w:val="00460F8B"/>
    <w:rsid w:val="00461D07"/>
    <w:rsid w:val="00481BD2"/>
    <w:rsid w:val="00492440"/>
    <w:rsid w:val="004C32E2"/>
    <w:rsid w:val="004D00F4"/>
    <w:rsid w:val="004D5E45"/>
    <w:rsid w:val="00520A86"/>
    <w:rsid w:val="00557F65"/>
    <w:rsid w:val="005611F4"/>
    <w:rsid w:val="00575FA8"/>
    <w:rsid w:val="0057672E"/>
    <w:rsid w:val="0058339C"/>
    <w:rsid w:val="0059350F"/>
    <w:rsid w:val="005A4749"/>
    <w:rsid w:val="005C7432"/>
    <w:rsid w:val="005D1218"/>
    <w:rsid w:val="005E76E4"/>
    <w:rsid w:val="005F3B55"/>
    <w:rsid w:val="00610A38"/>
    <w:rsid w:val="00631663"/>
    <w:rsid w:val="0066643F"/>
    <w:rsid w:val="00674E1D"/>
    <w:rsid w:val="006830C3"/>
    <w:rsid w:val="006A31D6"/>
    <w:rsid w:val="006A5062"/>
    <w:rsid w:val="006C7C86"/>
    <w:rsid w:val="006D2F6B"/>
    <w:rsid w:val="006E0396"/>
    <w:rsid w:val="007347A7"/>
    <w:rsid w:val="007375B4"/>
    <w:rsid w:val="00752390"/>
    <w:rsid w:val="00777F18"/>
    <w:rsid w:val="007B0189"/>
    <w:rsid w:val="007D407C"/>
    <w:rsid w:val="007E7EC2"/>
    <w:rsid w:val="008300DD"/>
    <w:rsid w:val="00837137"/>
    <w:rsid w:val="00846E51"/>
    <w:rsid w:val="008679D5"/>
    <w:rsid w:val="00896B58"/>
    <w:rsid w:val="008A01DA"/>
    <w:rsid w:val="00915ADE"/>
    <w:rsid w:val="009251AD"/>
    <w:rsid w:val="0093040B"/>
    <w:rsid w:val="00932E67"/>
    <w:rsid w:val="00937D6F"/>
    <w:rsid w:val="009557D3"/>
    <w:rsid w:val="00997CD0"/>
    <w:rsid w:val="009B454E"/>
    <w:rsid w:val="009B7107"/>
    <w:rsid w:val="009E115D"/>
    <w:rsid w:val="009E2D26"/>
    <w:rsid w:val="00A112C4"/>
    <w:rsid w:val="00A1525D"/>
    <w:rsid w:val="00A329DF"/>
    <w:rsid w:val="00A445ED"/>
    <w:rsid w:val="00A46B48"/>
    <w:rsid w:val="00A967A3"/>
    <w:rsid w:val="00AB3505"/>
    <w:rsid w:val="00AC0C46"/>
    <w:rsid w:val="00AD7D38"/>
    <w:rsid w:val="00AE1CAD"/>
    <w:rsid w:val="00AE2FBD"/>
    <w:rsid w:val="00AE3C70"/>
    <w:rsid w:val="00B06296"/>
    <w:rsid w:val="00B10319"/>
    <w:rsid w:val="00B36AF4"/>
    <w:rsid w:val="00B41802"/>
    <w:rsid w:val="00B53B59"/>
    <w:rsid w:val="00B734D8"/>
    <w:rsid w:val="00C0648C"/>
    <w:rsid w:val="00C06492"/>
    <w:rsid w:val="00C36B48"/>
    <w:rsid w:val="00C63CC4"/>
    <w:rsid w:val="00C77B0A"/>
    <w:rsid w:val="00C83030"/>
    <w:rsid w:val="00C91C8E"/>
    <w:rsid w:val="00CA0BAD"/>
    <w:rsid w:val="00CA26FB"/>
    <w:rsid w:val="00CF3F40"/>
    <w:rsid w:val="00D03B0C"/>
    <w:rsid w:val="00D12464"/>
    <w:rsid w:val="00D21886"/>
    <w:rsid w:val="00D56F59"/>
    <w:rsid w:val="00D66148"/>
    <w:rsid w:val="00D731BD"/>
    <w:rsid w:val="00DA09ED"/>
    <w:rsid w:val="00DA4480"/>
    <w:rsid w:val="00DB037A"/>
    <w:rsid w:val="00DB329C"/>
    <w:rsid w:val="00DE43E6"/>
    <w:rsid w:val="00DE75EB"/>
    <w:rsid w:val="00DF0245"/>
    <w:rsid w:val="00DF695B"/>
    <w:rsid w:val="00E061B8"/>
    <w:rsid w:val="00E14A54"/>
    <w:rsid w:val="00E434FA"/>
    <w:rsid w:val="00E85B49"/>
    <w:rsid w:val="00EA1B8A"/>
    <w:rsid w:val="00EB70CE"/>
    <w:rsid w:val="00EF2574"/>
    <w:rsid w:val="00F05C79"/>
    <w:rsid w:val="00F159E5"/>
    <w:rsid w:val="00F2683E"/>
    <w:rsid w:val="00F378E5"/>
    <w:rsid w:val="00F536D7"/>
    <w:rsid w:val="00F72F7B"/>
    <w:rsid w:val="00F87A19"/>
    <w:rsid w:val="00FA6811"/>
    <w:rsid w:val="00FA6A61"/>
    <w:rsid w:val="00FB31F0"/>
    <w:rsid w:val="00FC52E7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5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beredList">
    <w:name w:val="Numbered List"/>
    <w:basedOn w:val="Normal"/>
    <w:qFormat/>
    <w:rsid w:val="003F0D1B"/>
    <w:pPr>
      <w:numPr>
        <w:numId w:val="17"/>
      </w:numPr>
      <w:ind w:left="357" w:hanging="357"/>
    </w:pPr>
  </w:style>
  <w:style w:type="paragraph" w:customStyle="1" w:styleId="Heading2noTOC">
    <w:name w:val="Heading 2 no TOC"/>
    <w:next w:val="Normal"/>
    <w:link w:val="Heading2noTOCChar"/>
    <w:qFormat/>
    <w:rsid w:val="007E7EC2"/>
    <w:pPr>
      <w:spacing w:before="360" w:after="60" w:line="276" w:lineRule="auto"/>
      <w:ind w:left="1134"/>
    </w:pPr>
    <w:rPr>
      <w:rFonts w:ascii="Arial" w:eastAsia="Times New Roman" w:hAnsi="Arial" w:cs="Arial"/>
      <w:bCs/>
      <w:iCs/>
      <w:color w:val="729FFF"/>
      <w:sz w:val="30"/>
      <w:szCs w:val="30"/>
      <w:lang w:eastAsia="en-AU"/>
    </w:rPr>
  </w:style>
  <w:style w:type="character" w:customStyle="1" w:styleId="Heading2noTOCChar">
    <w:name w:val="Heading 2 no TOC Char"/>
    <w:basedOn w:val="DefaultParagraphFont"/>
    <w:link w:val="Heading2noTOC"/>
    <w:rsid w:val="007E7EC2"/>
    <w:rPr>
      <w:rFonts w:ascii="Arial" w:eastAsia="Times New Roman" w:hAnsi="Arial" w:cs="Arial"/>
      <w:bCs/>
      <w:iCs/>
      <w:color w:val="729FFF"/>
      <w:sz w:val="30"/>
      <w:szCs w:val="30"/>
      <w:lang w:eastAsia="en-AU"/>
    </w:rPr>
  </w:style>
  <w:style w:type="paragraph" w:styleId="NoSpacing">
    <w:name w:val="No Spacing"/>
    <w:uiPriority w:val="1"/>
    <w:qFormat/>
    <w:rsid w:val="007E7E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7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  <w:rsid w:val="00D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Gill, Andrea</cp:lastModifiedBy>
  <cp:revision>2</cp:revision>
  <cp:lastPrinted>2018-11-20T01:48:00Z</cp:lastPrinted>
  <dcterms:created xsi:type="dcterms:W3CDTF">2020-12-17T23:36:00Z</dcterms:created>
  <dcterms:modified xsi:type="dcterms:W3CDTF">2020-12-17T23:36:00Z</dcterms:modified>
</cp:coreProperties>
</file>