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1F4E79"/>
        </w:rPr>
        <w:t>Amaroo School</w:t>
      </w:r>
    </w:p>
    <w:p>
      <w:pPr>
        <w:pStyle w:val="BodyText"/>
        <w:spacing w:before="205"/>
        <w:ind w:left="760"/>
        <w:rPr>
          <w:rFonts w:ascii="Arial"/>
        </w:rPr>
      </w:pPr>
      <w:r>
        <w:rPr/>
        <w:pict>
          <v:rect style="position:absolute;margin-left:70.584pt;margin-top:25.727844pt;width:454.27pt;height:.48pt;mso-position-horizontal-relative:page;mso-position-vertical-relative:paragraph;z-index:-15728640;mso-wrap-distance-left:0;mso-wrap-distance-right:0" filled="true" fillcolor="#000000" stroked="false">
            <v:fill type="solid"/>
            <w10:wrap type="topAndBottom"/>
          </v:rect>
        </w:pict>
      </w:r>
      <w:r>
        <w:rPr>
          <w:rFonts w:ascii="Arial"/>
          <w:spacing w:val="12"/>
        </w:rPr>
        <w:t>Network: </w:t>
      </w:r>
      <w:r>
        <w:rPr>
          <w:rFonts w:ascii="Arial"/>
          <w:spacing w:val="11"/>
        </w:rPr>
        <w:t>North </w:t>
      </w:r>
      <w:r>
        <w:rPr>
          <w:rFonts w:ascii="Arial"/>
          <w:spacing w:val="12"/>
        </w:rPr>
        <w:t>Canberra/</w:t>
      </w:r>
      <w:r>
        <w:rPr>
          <w:rFonts w:ascii="Arial"/>
          <w:spacing w:val="69"/>
        </w:rPr>
        <w:t> </w:t>
      </w:r>
      <w:r>
        <w:rPr>
          <w:rFonts w:ascii="Arial"/>
          <w:spacing w:val="12"/>
        </w:rPr>
        <w:t>Gungahlin</w:t>
      </w:r>
    </w:p>
    <w:p>
      <w:pPr>
        <w:pStyle w:val="Title"/>
        <w:spacing w:before="212"/>
      </w:pPr>
      <w:r>
        <w:rPr/>
        <w:t>Impact Report 2020</w:t>
      </w:r>
    </w:p>
    <w:p>
      <w:pPr>
        <w:spacing w:before="358"/>
        <w:ind w:left="760" w:right="0" w:firstLine="0"/>
        <w:jc w:val="left"/>
        <w:rPr>
          <w:rFonts w:ascii="Arial"/>
          <w:sz w:val="28"/>
        </w:rPr>
      </w:pPr>
      <w:r>
        <w:rPr>
          <w:rFonts w:ascii="Arial"/>
          <w:color w:val="1F4E79"/>
          <w:sz w:val="28"/>
        </w:rPr>
        <w:t>The purpose of this document</w:t>
      </w:r>
    </w:p>
    <w:p>
      <w:pPr>
        <w:pStyle w:val="BodyText"/>
        <w:spacing w:before="240"/>
        <w:ind w:left="760" w:right="886"/>
      </w:pPr>
      <w:r>
        <w:rPr/>
        <w:t>This document flows directly from our Action Plan for 2020 which translated our school priorities into actions for the current year of our five-year improvement cycle. These actions were responsive to identified challenges, changes or risks to delivery of improvement for student learning.</w:t>
      </w:r>
    </w:p>
    <w:p>
      <w:pPr>
        <w:pStyle w:val="BodyText"/>
        <w:spacing w:before="118"/>
        <w:ind w:left="760" w:right="1064"/>
      </w:pPr>
      <w:r>
        <w:rPr>
          <w:color w:val="528135"/>
        </w:rPr>
        <w:t>Note: Due to the signficant disruptive events of 2020 the data collection cycles of some measures were interrupted. Where this has occurred an N/A entry has been used.</w:t>
      </w:r>
    </w:p>
    <w:p>
      <w:pPr>
        <w:pStyle w:val="BodyText"/>
        <w:spacing w:before="11"/>
        <w:rPr>
          <w:sz w:val="31"/>
        </w:rPr>
      </w:pPr>
    </w:p>
    <w:p>
      <w:pPr>
        <w:spacing w:before="0"/>
        <w:ind w:left="760" w:right="0" w:firstLine="0"/>
        <w:jc w:val="left"/>
        <w:rPr>
          <w:rFonts w:ascii="Arial" w:hAnsi="Arial"/>
          <w:sz w:val="28"/>
        </w:rPr>
      </w:pPr>
      <w:r>
        <w:rPr>
          <w:rFonts w:ascii="Arial" w:hAnsi="Arial"/>
          <w:color w:val="1F4E79"/>
          <w:sz w:val="28"/>
        </w:rPr>
        <w:t>Our school’s contribution to whole-of-system Strategic Indicators</w:t>
      </w:r>
    </w:p>
    <w:p>
      <w:pPr>
        <w:pStyle w:val="Heading1"/>
        <w:spacing w:before="241"/>
      </w:pPr>
      <w:r>
        <w:rPr>
          <w:color w:val="1F4E79"/>
        </w:rPr>
        <w:t>Education Directorate Strategic Indicator 2018-2021</w:t>
      </w:r>
    </w:p>
    <w:p>
      <w:pPr>
        <w:spacing w:before="141"/>
        <w:ind w:left="760" w:right="0" w:firstLine="0"/>
        <w:jc w:val="left"/>
        <w:rPr>
          <w:i/>
          <w:sz w:val="22"/>
        </w:rPr>
      </w:pPr>
      <w:r>
        <w:rPr>
          <w:i/>
          <w:sz w:val="22"/>
        </w:rPr>
        <w:t>To promote greater equity in learning outcomes in and across ACT public schools</w:t>
      </w:r>
    </w:p>
    <w:p>
      <w:pPr>
        <w:pStyle w:val="BodyText"/>
        <w:spacing w:line="390" w:lineRule="atLeast"/>
        <w:ind w:left="760" w:right="987"/>
      </w:pPr>
      <w:r>
        <w:rPr/>
        <w:t>In 2020 our school supported this Strategic Indicator through – Priority 1 (see reporting for detail): Enhance Cultural Integrity practices across the school</w:t>
      </w:r>
    </w:p>
    <w:p>
      <w:pPr>
        <w:pStyle w:val="BodyText"/>
        <w:spacing w:before="19"/>
        <w:ind w:left="760"/>
      </w:pPr>
      <w:r>
        <w:rPr/>
        <w:t>Whole school implementation of Positive Behaviours for Learning (PBL)</w:t>
      </w:r>
    </w:p>
    <w:p>
      <w:pPr>
        <w:pStyle w:val="Heading1"/>
        <w:spacing w:before="182"/>
      </w:pPr>
      <w:r>
        <w:rPr>
          <w:color w:val="1F4E79"/>
        </w:rPr>
        <w:t>Education Directorate Strategic Indicator 2018-2021</w:t>
      </w:r>
    </w:p>
    <w:p>
      <w:pPr>
        <w:spacing w:before="140"/>
        <w:ind w:left="760" w:right="0" w:firstLine="0"/>
        <w:jc w:val="left"/>
        <w:rPr>
          <w:i/>
          <w:sz w:val="22"/>
        </w:rPr>
      </w:pPr>
      <w:r>
        <w:rPr>
          <w:i/>
          <w:sz w:val="22"/>
        </w:rPr>
        <w:t>To facilitate high quality teaching in ACT public schools and strengthen educational outcomes.</w:t>
      </w:r>
    </w:p>
    <w:p>
      <w:pPr>
        <w:pStyle w:val="BodyText"/>
        <w:spacing w:before="121"/>
        <w:ind w:left="760"/>
      </w:pPr>
      <w:r>
        <w:rPr/>
        <w:t>In 2020 our school supported this Strategic Indicator through – Priority 2 (see reporting for detail):</w:t>
      </w:r>
    </w:p>
    <w:p>
      <w:pPr>
        <w:pStyle w:val="ListParagraph"/>
        <w:numPr>
          <w:ilvl w:val="0"/>
          <w:numId w:val="1"/>
        </w:numPr>
        <w:tabs>
          <w:tab w:pos="1120" w:val="left" w:leader="none"/>
          <w:tab w:pos="1121" w:val="left" w:leader="none"/>
        </w:tabs>
        <w:spacing w:line="240" w:lineRule="auto" w:before="120" w:after="0"/>
        <w:ind w:left="1120" w:right="0" w:hanging="361"/>
        <w:jc w:val="left"/>
        <w:rPr>
          <w:sz w:val="22"/>
        </w:rPr>
      </w:pPr>
      <w:r>
        <w:rPr>
          <w:sz w:val="22"/>
        </w:rPr>
        <w:t>Embed Future Focused Personalised Learning practices across the</w:t>
      </w:r>
      <w:r>
        <w:rPr>
          <w:spacing w:val="-7"/>
          <w:sz w:val="22"/>
        </w:rPr>
        <w:t> </w:t>
      </w:r>
      <w:r>
        <w:rPr>
          <w:sz w:val="22"/>
        </w:rPr>
        <w:t>school</w:t>
      </w:r>
    </w:p>
    <w:p>
      <w:pPr>
        <w:pStyle w:val="Heading1"/>
        <w:spacing w:before="184"/>
      </w:pPr>
      <w:r>
        <w:rPr>
          <w:color w:val="1F4E79"/>
        </w:rPr>
        <w:t>Education Directorate Strategic Indicator 2018-2021</w:t>
      </w:r>
    </w:p>
    <w:p>
      <w:pPr>
        <w:spacing w:before="140"/>
        <w:ind w:left="760" w:right="0" w:firstLine="0"/>
        <w:jc w:val="left"/>
        <w:rPr>
          <w:i/>
          <w:sz w:val="22"/>
        </w:rPr>
      </w:pPr>
      <w:r>
        <w:rPr>
          <w:i/>
          <w:sz w:val="22"/>
        </w:rPr>
        <w:t>To centre teaching and learning around students as individuals</w:t>
      </w:r>
    </w:p>
    <w:p>
      <w:pPr>
        <w:pStyle w:val="BodyText"/>
        <w:spacing w:before="120"/>
        <w:ind w:left="760"/>
      </w:pPr>
      <w:r>
        <w:rPr/>
        <w:t>In 2020 our school supported this Strategic Indicator through – Priority 2 (see reporting for detail):</w:t>
      </w:r>
    </w:p>
    <w:p>
      <w:pPr>
        <w:pStyle w:val="ListParagraph"/>
        <w:numPr>
          <w:ilvl w:val="0"/>
          <w:numId w:val="1"/>
        </w:numPr>
        <w:tabs>
          <w:tab w:pos="1120" w:val="left" w:leader="none"/>
          <w:tab w:pos="1121" w:val="left" w:leader="none"/>
        </w:tabs>
        <w:spacing w:line="240" w:lineRule="auto" w:before="121" w:after="0"/>
        <w:ind w:left="1120" w:right="0" w:hanging="361"/>
        <w:jc w:val="left"/>
        <w:rPr>
          <w:sz w:val="22"/>
        </w:rPr>
      </w:pPr>
      <w:r>
        <w:rPr>
          <w:sz w:val="22"/>
        </w:rPr>
        <w:t>Embed Future Focused Personalised Learning practices across the</w:t>
      </w:r>
      <w:r>
        <w:rPr>
          <w:spacing w:val="-7"/>
          <w:sz w:val="22"/>
        </w:rPr>
        <w:t> </w:t>
      </w:r>
      <w:r>
        <w:rPr>
          <w:sz w:val="22"/>
        </w:rPr>
        <w:t>school</w:t>
      </w:r>
    </w:p>
    <w:p>
      <w:pPr>
        <w:pStyle w:val="BodyText"/>
        <w:spacing w:before="5"/>
        <w:rPr>
          <w:sz w:val="25"/>
        </w:rPr>
      </w:pPr>
    </w:p>
    <w:p>
      <w:pPr>
        <w:spacing w:before="0"/>
        <w:ind w:left="760" w:right="0" w:firstLine="0"/>
        <w:jc w:val="left"/>
        <w:rPr>
          <w:sz w:val="28"/>
        </w:rPr>
      </w:pPr>
      <w:r>
        <w:rPr>
          <w:color w:val="2E5395"/>
          <w:sz w:val="28"/>
        </w:rPr>
        <w:t>Reporting against our priorities</w:t>
      </w:r>
    </w:p>
    <w:p>
      <w:pPr>
        <w:pStyle w:val="BodyText"/>
        <w:tabs>
          <w:tab w:pos="2037" w:val="left" w:leader="none"/>
        </w:tabs>
        <w:spacing w:before="187"/>
        <w:ind w:left="760"/>
      </w:pPr>
      <w:r>
        <w:rPr>
          <w:rFonts w:ascii="Arial" w:hAnsi="Arial"/>
          <w:color w:val="1F4E79"/>
          <w:sz w:val="24"/>
        </w:rPr>
        <w:t>Priority</w:t>
      </w:r>
      <w:r>
        <w:rPr>
          <w:rFonts w:ascii="Arial" w:hAnsi="Arial"/>
          <w:color w:val="1F4E79"/>
          <w:spacing w:val="-2"/>
          <w:sz w:val="24"/>
        </w:rPr>
        <w:t> </w:t>
      </w:r>
      <w:r>
        <w:rPr>
          <w:rFonts w:ascii="Arial" w:hAnsi="Arial"/>
          <w:color w:val="1F4E79"/>
          <w:sz w:val="24"/>
        </w:rPr>
        <w:t>1:</w:t>
        <w:tab/>
      </w:r>
      <w:r>
        <w:rPr/>
        <w:t>Improve student’s levels of wellbeing and</w:t>
      </w:r>
      <w:r>
        <w:rPr>
          <w:spacing w:val="-13"/>
        </w:rPr>
        <w:t> </w:t>
      </w:r>
      <w:r>
        <w:rPr/>
        <w:t>engagement.</w:t>
      </w:r>
    </w:p>
    <w:p>
      <w:pPr>
        <w:pStyle w:val="BodyText"/>
        <w:spacing w:before="6"/>
        <w:rPr>
          <w:sz w:val="21"/>
        </w:rPr>
      </w:pPr>
    </w:p>
    <w:p>
      <w:pPr>
        <w:pStyle w:val="BodyText"/>
        <w:ind w:left="760"/>
        <w:jc w:val="both"/>
      </w:pPr>
      <w:r>
        <w:rPr>
          <w:color w:val="1F4D78"/>
        </w:rPr>
        <w:t>Targets or measures</w:t>
      </w:r>
    </w:p>
    <w:p>
      <w:pPr>
        <w:pStyle w:val="BodyText"/>
        <w:spacing w:before="120"/>
        <w:ind w:left="760"/>
        <w:jc w:val="both"/>
      </w:pPr>
      <w:r>
        <w:rPr/>
        <w:t>By the end of 2021 we will achieve:</w:t>
      </w:r>
    </w:p>
    <w:p>
      <w:pPr>
        <w:pStyle w:val="ListParagraph"/>
        <w:numPr>
          <w:ilvl w:val="1"/>
          <w:numId w:val="1"/>
        </w:numPr>
        <w:tabs>
          <w:tab w:pos="1481" w:val="left" w:leader="none"/>
        </w:tabs>
        <w:spacing w:line="240" w:lineRule="auto" w:before="118" w:after="0"/>
        <w:ind w:left="1480" w:right="979" w:hanging="360"/>
        <w:jc w:val="both"/>
        <w:rPr>
          <w:sz w:val="22"/>
        </w:rPr>
      </w:pPr>
      <w:r>
        <w:rPr>
          <w:sz w:val="22"/>
        </w:rPr>
        <w:t>Exceed the ACT “like schools” average in the proportion of agree/strongly agree responses of “Staff and Student Relations” in the Australian School Climate and School Identification Measurement Tool</w:t>
      </w:r>
      <w:r>
        <w:rPr>
          <w:spacing w:val="-1"/>
          <w:sz w:val="22"/>
        </w:rPr>
        <w:t> </w:t>
      </w:r>
      <w:r>
        <w:rPr>
          <w:sz w:val="22"/>
        </w:rPr>
        <w:t>(ASCSIMT)</w:t>
      </w:r>
    </w:p>
    <w:p>
      <w:pPr>
        <w:pStyle w:val="ListParagraph"/>
        <w:numPr>
          <w:ilvl w:val="1"/>
          <w:numId w:val="1"/>
        </w:numPr>
        <w:tabs>
          <w:tab w:pos="1480" w:val="left" w:leader="none"/>
          <w:tab w:pos="1481" w:val="left" w:leader="none"/>
        </w:tabs>
        <w:spacing w:line="240" w:lineRule="auto" w:before="1" w:after="0"/>
        <w:ind w:left="1480" w:right="0" w:hanging="361"/>
        <w:jc w:val="left"/>
        <w:rPr>
          <w:sz w:val="22"/>
        </w:rPr>
      </w:pPr>
      <w:r>
        <w:rPr>
          <w:sz w:val="22"/>
        </w:rPr>
        <w:t>Implementation of Positive Behaviours for Learning (PBL) across the whole</w:t>
      </w:r>
      <w:r>
        <w:rPr>
          <w:spacing w:val="-18"/>
          <w:sz w:val="22"/>
        </w:rPr>
        <w:t> </w:t>
      </w:r>
      <w:r>
        <w:rPr>
          <w:sz w:val="22"/>
        </w:rPr>
        <w:t>school.</w:t>
      </w:r>
    </w:p>
    <w:p>
      <w:pPr>
        <w:spacing w:after="0" w:line="240" w:lineRule="auto"/>
        <w:jc w:val="left"/>
        <w:rPr>
          <w:sz w:val="22"/>
        </w:rPr>
        <w:sectPr>
          <w:footerReference w:type="default" r:id="rId5"/>
          <w:type w:val="continuous"/>
          <w:pgSz w:w="11910" w:h="16840"/>
          <w:pgMar w:footer="1126" w:top="1360" w:bottom="1320" w:left="680" w:right="680"/>
          <w:pgNumType w:start="1"/>
        </w:sectPr>
      </w:pPr>
    </w:p>
    <w:p>
      <w:pPr>
        <w:pStyle w:val="BodyText"/>
        <w:spacing w:before="41"/>
        <w:ind w:left="760"/>
      </w:pPr>
      <w:r>
        <w:rPr/>
        <w:t>In 2020 we implemented this priority through the following strategies.</w:t>
      </w:r>
    </w:p>
    <w:p>
      <w:pPr>
        <w:pStyle w:val="ListParagraph"/>
        <w:numPr>
          <w:ilvl w:val="0"/>
          <w:numId w:val="2"/>
        </w:numPr>
        <w:tabs>
          <w:tab w:pos="1481" w:val="left" w:leader="none"/>
        </w:tabs>
        <w:spacing w:line="240" w:lineRule="auto" w:before="120" w:after="0"/>
        <w:ind w:left="1480" w:right="0" w:hanging="361"/>
        <w:jc w:val="left"/>
        <w:rPr>
          <w:sz w:val="22"/>
        </w:rPr>
      </w:pPr>
      <w:r>
        <w:rPr>
          <w:sz w:val="22"/>
        </w:rPr>
        <w:t>Enhance Cultural Integrity practices across the</w:t>
      </w:r>
      <w:r>
        <w:rPr>
          <w:spacing w:val="-2"/>
          <w:sz w:val="22"/>
        </w:rPr>
        <w:t> </w:t>
      </w:r>
      <w:r>
        <w:rPr>
          <w:sz w:val="22"/>
        </w:rPr>
        <w:t>school</w:t>
      </w:r>
    </w:p>
    <w:p>
      <w:pPr>
        <w:pStyle w:val="ListParagraph"/>
        <w:numPr>
          <w:ilvl w:val="1"/>
          <w:numId w:val="1"/>
        </w:numPr>
        <w:tabs>
          <w:tab w:pos="1480" w:val="left" w:leader="none"/>
          <w:tab w:pos="1481" w:val="left" w:leader="none"/>
        </w:tabs>
        <w:spacing w:line="240" w:lineRule="auto" w:before="181" w:after="0"/>
        <w:ind w:left="1480" w:right="0" w:hanging="361"/>
        <w:jc w:val="left"/>
        <w:rPr>
          <w:sz w:val="22"/>
        </w:rPr>
      </w:pPr>
      <w:r>
        <w:rPr>
          <w:sz w:val="22"/>
        </w:rPr>
        <w:t>Improved student awareness of indigenous perspectives and</w:t>
      </w:r>
      <w:r>
        <w:rPr>
          <w:spacing w:val="-6"/>
          <w:sz w:val="22"/>
        </w:rPr>
        <w:t> </w:t>
      </w:r>
      <w:r>
        <w:rPr>
          <w:sz w:val="22"/>
        </w:rPr>
        <w:t>inclusivity.</w:t>
      </w:r>
    </w:p>
    <w:p>
      <w:pPr>
        <w:pStyle w:val="ListParagraph"/>
        <w:numPr>
          <w:ilvl w:val="1"/>
          <w:numId w:val="1"/>
        </w:numPr>
        <w:tabs>
          <w:tab w:pos="1480" w:val="left" w:leader="none"/>
          <w:tab w:pos="1481" w:val="left" w:leader="none"/>
        </w:tabs>
        <w:spacing w:line="240" w:lineRule="auto" w:before="0" w:after="0"/>
        <w:ind w:left="1480" w:right="0" w:hanging="361"/>
        <w:jc w:val="left"/>
        <w:rPr>
          <w:sz w:val="22"/>
        </w:rPr>
      </w:pPr>
      <w:r>
        <w:rPr>
          <w:sz w:val="22"/>
        </w:rPr>
        <w:t>Student learning environment celebrates cultural</w:t>
      </w:r>
      <w:r>
        <w:rPr>
          <w:spacing w:val="-3"/>
          <w:sz w:val="22"/>
        </w:rPr>
        <w:t> </w:t>
      </w:r>
      <w:r>
        <w:rPr>
          <w:sz w:val="22"/>
        </w:rPr>
        <w:t>diversity</w:t>
      </w:r>
    </w:p>
    <w:p>
      <w:pPr>
        <w:pStyle w:val="ListParagraph"/>
        <w:numPr>
          <w:ilvl w:val="1"/>
          <w:numId w:val="1"/>
        </w:numPr>
        <w:tabs>
          <w:tab w:pos="1480" w:val="left" w:leader="none"/>
          <w:tab w:pos="1481" w:val="left" w:leader="none"/>
        </w:tabs>
        <w:spacing w:line="240" w:lineRule="auto" w:before="1" w:after="0"/>
        <w:ind w:left="1480" w:right="0" w:hanging="361"/>
        <w:jc w:val="left"/>
        <w:rPr>
          <w:sz w:val="22"/>
        </w:rPr>
      </w:pPr>
      <w:r>
        <w:rPr>
          <w:sz w:val="22"/>
        </w:rPr>
        <w:t>Shared values and beliefs in decision making about student</w:t>
      </w:r>
      <w:r>
        <w:rPr>
          <w:spacing w:val="-16"/>
          <w:sz w:val="22"/>
        </w:rPr>
        <w:t> </w:t>
      </w:r>
      <w:r>
        <w:rPr>
          <w:sz w:val="22"/>
        </w:rPr>
        <w:t>learning</w:t>
      </w:r>
    </w:p>
    <w:p>
      <w:pPr>
        <w:pStyle w:val="BodyText"/>
        <w:spacing w:before="6"/>
        <w:rPr>
          <w:sz w:val="38"/>
        </w:rPr>
      </w:pPr>
    </w:p>
    <w:p>
      <w:pPr>
        <w:pStyle w:val="ListParagraph"/>
        <w:numPr>
          <w:ilvl w:val="0"/>
          <w:numId w:val="2"/>
        </w:numPr>
        <w:tabs>
          <w:tab w:pos="1481" w:val="left" w:leader="none"/>
        </w:tabs>
        <w:spacing w:line="240" w:lineRule="auto" w:before="1" w:after="0"/>
        <w:ind w:left="1480" w:right="0" w:hanging="361"/>
        <w:jc w:val="left"/>
        <w:rPr>
          <w:color w:val="5B9BD4"/>
          <w:sz w:val="22"/>
        </w:rPr>
      </w:pPr>
      <w:r>
        <w:rPr>
          <w:sz w:val="22"/>
        </w:rPr>
        <w:t>Whole school implementation of Positive Behaviours for Learning</w:t>
      </w:r>
      <w:r>
        <w:rPr>
          <w:spacing w:val="-14"/>
          <w:sz w:val="22"/>
        </w:rPr>
        <w:t> </w:t>
      </w:r>
      <w:r>
        <w:rPr>
          <w:sz w:val="22"/>
        </w:rPr>
        <w:t>(PBL)</w:t>
      </w:r>
    </w:p>
    <w:p>
      <w:pPr>
        <w:pStyle w:val="ListParagraph"/>
        <w:numPr>
          <w:ilvl w:val="1"/>
          <w:numId w:val="1"/>
        </w:numPr>
        <w:tabs>
          <w:tab w:pos="1480" w:val="left" w:leader="none"/>
          <w:tab w:pos="1481" w:val="left" w:leader="none"/>
        </w:tabs>
        <w:spacing w:line="240" w:lineRule="auto" w:before="180" w:after="0"/>
        <w:ind w:left="1480" w:right="0" w:hanging="361"/>
        <w:jc w:val="left"/>
        <w:rPr>
          <w:sz w:val="22"/>
        </w:rPr>
      </w:pPr>
      <w:r>
        <w:rPr>
          <w:sz w:val="22"/>
        </w:rPr>
        <w:t>Improved student behaviour participation and engagement in non-classroom</w:t>
      </w:r>
      <w:r>
        <w:rPr>
          <w:spacing w:val="-9"/>
          <w:sz w:val="22"/>
        </w:rPr>
        <w:t> </w:t>
      </w:r>
      <w:r>
        <w:rPr>
          <w:sz w:val="22"/>
        </w:rPr>
        <w:t>settings</w:t>
      </w:r>
    </w:p>
    <w:p>
      <w:pPr>
        <w:pStyle w:val="ListParagraph"/>
        <w:numPr>
          <w:ilvl w:val="1"/>
          <w:numId w:val="1"/>
        </w:numPr>
        <w:tabs>
          <w:tab w:pos="1480" w:val="left" w:leader="none"/>
          <w:tab w:pos="1481" w:val="left" w:leader="none"/>
        </w:tabs>
        <w:spacing w:line="240" w:lineRule="auto" w:before="1" w:after="0"/>
        <w:ind w:left="1480" w:right="0" w:hanging="361"/>
        <w:jc w:val="left"/>
        <w:rPr>
          <w:sz w:val="22"/>
        </w:rPr>
      </w:pPr>
      <w:r>
        <w:rPr>
          <w:sz w:val="22"/>
        </w:rPr>
        <w:t>Increase student participation and engagement in their</w:t>
      </w:r>
      <w:r>
        <w:rPr>
          <w:spacing w:val="-5"/>
          <w:sz w:val="22"/>
        </w:rPr>
        <w:t> </w:t>
      </w:r>
      <w:r>
        <w:rPr>
          <w:sz w:val="22"/>
        </w:rPr>
        <w:t>learning</w:t>
      </w:r>
    </w:p>
    <w:p>
      <w:pPr>
        <w:pStyle w:val="ListParagraph"/>
        <w:numPr>
          <w:ilvl w:val="1"/>
          <w:numId w:val="1"/>
        </w:numPr>
        <w:tabs>
          <w:tab w:pos="1480" w:val="left" w:leader="none"/>
          <w:tab w:pos="1481" w:val="left" w:leader="none"/>
        </w:tabs>
        <w:spacing w:line="279" w:lineRule="exact" w:before="0" w:after="0"/>
        <w:ind w:left="1480" w:right="0" w:hanging="361"/>
        <w:jc w:val="left"/>
        <w:rPr>
          <w:sz w:val="22"/>
        </w:rPr>
      </w:pPr>
      <w:r>
        <w:rPr>
          <w:sz w:val="22"/>
        </w:rPr>
        <w:t>Students receiving positive reward achievement levels for each</w:t>
      </w:r>
      <w:r>
        <w:rPr>
          <w:spacing w:val="-8"/>
          <w:sz w:val="22"/>
        </w:rPr>
        <w:t> </w:t>
      </w:r>
      <w:r>
        <w:rPr>
          <w:sz w:val="22"/>
        </w:rPr>
        <w:t>behaviour</w:t>
      </w:r>
    </w:p>
    <w:p>
      <w:pPr>
        <w:pStyle w:val="ListParagraph"/>
        <w:numPr>
          <w:ilvl w:val="1"/>
          <w:numId w:val="1"/>
        </w:numPr>
        <w:tabs>
          <w:tab w:pos="1480" w:val="left" w:leader="none"/>
          <w:tab w:pos="1481" w:val="left" w:leader="none"/>
        </w:tabs>
        <w:spacing w:line="279" w:lineRule="exact" w:before="0" w:after="0"/>
        <w:ind w:left="1480" w:right="0" w:hanging="361"/>
        <w:jc w:val="left"/>
        <w:rPr>
          <w:sz w:val="22"/>
        </w:rPr>
      </w:pPr>
      <w:r>
        <w:rPr>
          <w:sz w:val="22"/>
        </w:rPr>
        <w:t>Reduced incidences of negative</w:t>
      </w:r>
      <w:r>
        <w:rPr>
          <w:spacing w:val="-4"/>
          <w:sz w:val="22"/>
        </w:rPr>
        <w:t> </w:t>
      </w:r>
      <w:r>
        <w:rPr>
          <w:sz w:val="22"/>
        </w:rPr>
        <w:t>behaviours</w:t>
      </w:r>
    </w:p>
    <w:p>
      <w:pPr>
        <w:pStyle w:val="ListParagraph"/>
        <w:numPr>
          <w:ilvl w:val="1"/>
          <w:numId w:val="1"/>
        </w:numPr>
        <w:tabs>
          <w:tab w:pos="1480" w:val="left" w:leader="none"/>
          <w:tab w:pos="1481" w:val="left" w:leader="none"/>
        </w:tabs>
        <w:spacing w:line="240" w:lineRule="auto" w:before="1" w:after="0"/>
        <w:ind w:left="1480" w:right="0" w:hanging="361"/>
        <w:jc w:val="left"/>
        <w:rPr>
          <w:sz w:val="22"/>
        </w:rPr>
      </w:pPr>
      <w:r>
        <w:rPr>
          <w:sz w:val="22"/>
        </w:rPr>
        <w:t>Increased levels of positive student driven initiatives across the</w:t>
      </w:r>
      <w:r>
        <w:rPr>
          <w:spacing w:val="-8"/>
          <w:sz w:val="22"/>
        </w:rPr>
        <w:t> </w:t>
      </w:r>
      <w:r>
        <w:rPr>
          <w:sz w:val="22"/>
        </w:rPr>
        <w:t>school</w:t>
      </w:r>
    </w:p>
    <w:p>
      <w:pPr>
        <w:pStyle w:val="BodyText"/>
        <w:spacing w:before="1"/>
      </w:pPr>
    </w:p>
    <w:p>
      <w:pPr>
        <w:spacing w:before="0"/>
        <w:ind w:left="760" w:right="1343" w:firstLine="0"/>
        <w:jc w:val="left"/>
        <w:rPr>
          <w:i/>
          <w:sz w:val="22"/>
        </w:rPr>
      </w:pPr>
      <w:r>
        <w:rPr>
          <w:i/>
          <w:sz w:val="22"/>
        </w:rPr>
        <w:t>Below is our progress towards our five-year targets with an emphasis on the accumulation and </w:t>
      </w:r>
      <w:r>
        <w:rPr>
          <w:i/>
          <w:sz w:val="22"/>
        </w:rPr>
        <w:t>analysis of evidence over the term of our plan.</w:t>
      </w:r>
    </w:p>
    <w:p>
      <w:pPr>
        <w:pStyle w:val="BodyText"/>
        <w:spacing w:before="8"/>
        <w:rPr>
          <w:i/>
          <w:sz w:val="19"/>
        </w:rPr>
      </w:pPr>
    </w:p>
    <w:p>
      <w:pPr>
        <w:spacing w:line="293" w:lineRule="exact" w:before="1"/>
        <w:ind w:left="760" w:right="0" w:firstLine="0"/>
        <w:jc w:val="left"/>
        <w:rPr>
          <w:rFonts w:ascii="Calibri Light"/>
          <w:b w:val="0"/>
          <w:i/>
          <w:sz w:val="24"/>
        </w:rPr>
      </w:pPr>
      <w:r>
        <w:rPr>
          <w:rFonts w:ascii="Calibri Light"/>
          <w:b w:val="0"/>
          <w:i/>
          <w:color w:val="1F4E79"/>
          <w:sz w:val="24"/>
        </w:rPr>
        <w:t>Perception Data </w:t>
      </w:r>
    </w:p>
    <w:p>
      <w:pPr>
        <w:pStyle w:val="Heading2"/>
        <w:ind w:left="760"/>
      </w:pPr>
      <w:r>
        <w:rPr/>
        <w:t>Staff Student Relations</w:t>
      </w:r>
    </w:p>
    <w:p>
      <w:pPr>
        <w:pStyle w:val="BodyText"/>
        <w:spacing w:before="158"/>
        <w:ind w:left="760" w:right="891"/>
      </w:pPr>
      <w:r>
        <w:rPr/>
        <w:t>The Staff Student Relations domain relates to student perceptions of staff care and friendliness towards students, how staff treat students with respect and go out of their way to help students, how staff involve them in decisions and planning, taking their concerns seriously and showing them understanding.</w:t>
      </w:r>
    </w:p>
    <w:p>
      <w:pPr>
        <w:pStyle w:val="BodyText"/>
        <w:rPr>
          <w:sz w:val="20"/>
        </w:rPr>
      </w:pPr>
    </w:p>
    <w:p>
      <w:pPr>
        <w:pStyle w:val="BodyText"/>
        <w:spacing w:before="2"/>
        <w:rPr>
          <w:sz w:val="12"/>
        </w:rPr>
      </w:pPr>
    </w:p>
    <w:tbl>
      <w:tblPr>
        <w:tblW w:w="0" w:type="auto"/>
        <w:jc w:val="left"/>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98"/>
        <w:gridCol w:w="711"/>
        <w:gridCol w:w="708"/>
        <w:gridCol w:w="710"/>
        <w:gridCol w:w="708"/>
        <w:gridCol w:w="849"/>
        <w:gridCol w:w="710"/>
      </w:tblGrid>
      <w:tr>
        <w:trPr>
          <w:trHeight w:val="1725" w:hRule="atLeast"/>
        </w:trPr>
        <w:tc>
          <w:tcPr>
            <w:tcW w:w="5098" w:type="dxa"/>
          </w:tcPr>
          <w:p>
            <w:pPr>
              <w:pStyle w:val="TableParagraph"/>
              <w:spacing w:before="54"/>
              <w:rPr>
                <w:b/>
                <w:sz w:val="22"/>
              </w:rPr>
            </w:pPr>
            <w:r>
              <w:rPr>
                <w:b/>
                <w:sz w:val="22"/>
              </w:rPr>
              <w:t>Targets or Measures</w:t>
            </w:r>
          </w:p>
          <w:p>
            <w:pPr>
              <w:pStyle w:val="TableParagraph"/>
              <w:spacing w:before="0"/>
              <w:ind w:right="28"/>
              <w:rPr>
                <w:sz w:val="22"/>
              </w:rPr>
            </w:pPr>
            <w:r>
              <w:rPr>
                <w:sz w:val="22"/>
              </w:rPr>
              <w:t>Exceed the ACT “like schools” average in the proportion of agree/strongly agree responses of “Staff and Student Relations” in the Australian School Climate and School Identification Measurement Tool (ASCSIMT).</w:t>
            </w:r>
          </w:p>
          <w:p>
            <w:pPr>
              <w:pStyle w:val="TableParagraph"/>
              <w:spacing w:before="2"/>
              <w:rPr>
                <w:sz w:val="22"/>
              </w:rPr>
            </w:pPr>
            <w:r>
              <w:rPr>
                <w:sz w:val="22"/>
              </w:rPr>
              <w:t>Note system measurement has changed in 2019.</w:t>
            </w:r>
          </w:p>
        </w:tc>
        <w:tc>
          <w:tcPr>
            <w:tcW w:w="711" w:type="dxa"/>
          </w:tcPr>
          <w:p>
            <w:pPr>
              <w:pStyle w:val="TableParagraph"/>
              <w:spacing w:before="54"/>
              <w:ind w:left="120" w:right="110"/>
              <w:jc w:val="center"/>
              <w:rPr>
                <w:b/>
                <w:sz w:val="22"/>
              </w:rPr>
            </w:pPr>
            <w:r>
              <w:rPr>
                <w:b/>
                <w:sz w:val="22"/>
              </w:rPr>
              <w:t>Base</w:t>
            </w:r>
          </w:p>
        </w:tc>
        <w:tc>
          <w:tcPr>
            <w:tcW w:w="708" w:type="dxa"/>
          </w:tcPr>
          <w:p>
            <w:pPr>
              <w:pStyle w:val="TableParagraph"/>
              <w:spacing w:before="54"/>
              <w:ind w:left="64"/>
              <w:rPr>
                <w:b/>
                <w:sz w:val="22"/>
              </w:rPr>
            </w:pPr>
            <w:r>
              <w:rPr>
                <w:b/>
                <w:sz w:val="22"/>
              </w:rPr>
              <w:t>Year 1</w:t>
            </w:r>
          </w:p>
          <w:p>
            <w:pPr>
              <w:pStyle w:val="TableParagraph"/>
              <w:spacing w:before="0"/>
              <w:ind w:left="129"/>
              <w:rPr>
                <w:b/>
                <w:sz w:val="22"/>
              </w:rPr>
            </w:pPr>
            <w:r>
              <w:rPr>
                <w:b/>
                <w:sz w:val="22"/>
              </w:rPr>
              <w:t>2017</w:t>
            </w:r>
          </w:p>
        </w:tc>
        <w:tc>
          <w:tcPr>
            <w:tcW w:w="710" w:type="dxa"/>
          </w:tcPr>
          <w:p>
            <w:pPr>
              <w:pStyle w:val="TableParagraph"/>
              <w:spacing w:before="54"/>
              <w:ind w:left="66"/>
              <w:rPr>
                <w:b/>
                <w:sz w:val="22"/>
              </w:rPr>
            </w:pPr>
            <w:r>
              <w:rPr>
                <w:b/>
                <w:sz w:val="22"/>
              </w:rPr>
              <w:t>Year 2</w:t>
            </w:r>
          </w:p>
          <w:p>
            <w:pPr>
              <w:pStyle w:val="TableParagraph"/>
              <w:spacing w:before="0"/>
              <w:ind w:left="131"/>
              <w:rPr>
                <w:b/>
                <w:sz w:val="22"/>
              </w:rPr>
            </w:pPr>
            <w:r>
              <w:rPr>
                <w:b/>
                <w:sz w:val="22"/>
              </w:rPr>
              <w:t>2018</w:t>
            </w:r>
          </w:p>
        </w:tc>
        <w:tc>
          <w:tcPr>
            <w:tcW w:w="708" w:type="dxa"/>
          </w:tcPr>
          <w:p>
            <w:pPr>
              <w:pStyle w:val="TableParagraph"/>
              <w:spacing w:before="54"/>
              <w:ind w:left="64"/>
              <w:rPr>
                <w:b/>
                <w:sz w:val="22"/>
              </w:rPr>
            </w:pPr>
            <w:r>
              <w:rPr>
                <w:b/>
                <w:sz w:val="22"/>
              </w:rPr>
              <w:t>Year 3</w:t>
            </w:r>
          </w:p>
          <w:p>
            <w:pPr>
              <w:pStyle w:val="TableParagraph"/>
              <w:spacing w:before="0"/>
              <w:ind w:left="127"/>
              <w:rPr>
                <w:b/>
                <w:sz w:val="22"/>
              </w:rPr>
            </w:pPr>
            <w:r>
              <w:rPr>
                <w:b/>
                <w:sz w:val="22"/>
              </w:rPr>
              <w:t>2019</w:t>
            </w:r>
          </w:p>
        </w:tc>
        <w:tc>
          <w:tcPr>
            <w:tcW w:w="849" w:type="dxa"/>
          </w:tcPr>
          <w:p>
            <w:pPr>
              <w:pStyle w:val="TableParagraph"/>
              <w:spacing w:before="54"/>
              <w:ind w:left="137"/>
              <w:rPr>
                <w:b/>
                <w:sz w:val="22"/>
              </w:rPr>
            </w:pPr>
            <w:r>
              <w:rPr>
                <w:b/>
                <w:sz w:val="22"/>
              </w:rPr>
              <w:t>Year 4</w:t>
            </w:r>
          </w:p>
          <w:p>
            <w:pPr>
              <w:pStyle w:val="TableParagraph"/>
              <w:spacing w:before="0"/>
              <w:ind w:left="199"/>
              <w:rPr>
                <w:b/>
                <w:sz w:val="22"/>
              </w:rPr>
            </w:pPr>
            <w:r>
              <w:rPr>
                <w:b/>
                <w:sz w:val="22"/>
              </w:rPr>
              <w:t>2020</w:t>
            </w:r>
          </w:p>
        </w:tc>
        <w:tc>
          <w:tcPr>
            <w:tcW w:w="710" w:type="dxa"/>
          </w:tcPr>
          <w:p>
            <w:pPr>
              <w:pStyle w:val="TableParagraph"/>
              <w:spacing w:before="54"/>
              <w:ind w:left="68"/>
              <w:rPr>
                <w:b/>
                <w:sz w:val="22"/>
              </w:rPr>
            </w:pPr>
            <w:r>
              <w:rPr>
                <w:b/>
                <w:sz w:val="22"/>
              </w:rPr>
              <w:t>Year 5</w:t>
            </w:r>
          </w:p>
          <w:p>
            <w:pPr>
              <w:pStyle w:val="TableParagraph"/>
              <w:spacing w:before="0"/>
              <w:ind w:left="133"/>
              <w:rPr>
                <w:b/>
                <w:sz w:val="22"/>
              </w:rPr>
            </w:pPr>
            <w:r>
              <w:rPr>
                <w:b/>
                <w:sz w:val="22"/>
              </w:rPr>
              <w:t>2021</w:t>
            </w:r>
          </w:p>
        </w:tc>
      </w:tr>
      <w:tr>
        <w:trPr>
          <w:trHeight w:val="381" w:hRule="atLeast"/>
        </w:trPr>
        <w:tc>
          <w:tcPr>
            <w:tcW w:w="5098" w:type="dxa"/>
          </w:tcPr>
          <w:p>
            <w:pPr>
              <w:pStyle w:val="TableParagraph"/>
              <w:rPr>
                <w:sz w:val="22"/>
              </w:rPr>
            </w:pPr>
            <w:r>
              <w:rPr>
                <w:sz w:val="22"/>
              </w:rPr>
              <w:t>Climate Survey Amaroo School</w:t>
            </w:r>
          </w:p>
        </w:tc>
        <w:tc>
          <w:tcPr>
            <w:tcW w:w="711" w:type="dxa"/>
          </w:tcPr>
          <w:p>
            <w:pPr>
              <w:pStyle w:val="TableParagraph"/>
              <w:ind w:left="120" w:right="109"/>
              <w:jc w:val="center"/>
              <w:rPr>
                <w:sz w:val="22"/>
              </w:rPr>
            </w:pPr>
            <w:r>
              <w:rPr>
                <w:sz w:val="22"/>
              </w:rPr>
              <w:t>83%</w:t>
            </w:r>
          </w:p>
        </w:tc>
        <w:tc>
          <w:tcPr>
            <w:tcW w:w="708" w:type="dxa"/>
          </w:tcPr>
          <w:p>
            <w:pPr>
              <w:pStyle w:val="TableParagraph"/>
              <w:ind w:left="162"/>
              <w:rPr>
                <w:sz w:val="22"/>
              </w:rPr>
            </w:pPr>
            <w:r>
              <w:rPr>
                <w:sz w:val="22"/>
              </w:rPr>
              <w:t>79%</w:t>
            </w:r>
          </w:p>
        </w:tc>
        <w:tc>
          <w:tcPr>
            <w:tcW w:w="710" w:type="dxa"/>
          </w:tcPr>
          <w:p>
            <w:pPr>
              <w:pStyle w:val="TableParagraph"/>
              <w:ind w:left="145" w:right="134"/>
              <w:jc w:val="center"/>
              <w:rPr>
                <w:sz w:val="22"/>
              </w:rPr>
            </w:pPr>
            <w:r>
              <w:rPr>
                <w:sz w:val="22"/>
              </w:rPr>
              <w:t>86%</w:t>
            </w:r>
          </w:p>
        </w:tc>
        <w:tc>
          <w:tcPr>
            <w:tcW w:w="708" w:type="dxa"/>
          </w:tcPr>
          <w:p>
            <w:pPr>
              <w:pStyle w:val="TableParagraph"/>
              <w:ind w:left="111" w:right="107"/>
              <w:jc w:val="center"/>
              <w:rPr>
                <w:sz w:val="22"/>
              </w:rPr>
            </w:pPr>
            <w:r>
              <w:rPr>
                <w:sz w:val="22"/>
              </w:rPr>
              <w:t>60%</w:t>
            </w:r>
          </w:p>
        </w:tc>
        <w:tc>
          <w:tcPr>
            <w:tcW w:w="849" w:type="dxa"/>
          </w:tcPr>
          <w:p>
            <w:pPr>
              <w:pStyle w:val="TableParagraph"/>
              <w:ind w:left="184" w:right="176"/>
              <w:jc w:val="center"/>
              <w:rPr>
                <w:sz w:val="22"/>
              </w:rPr>
            </w:pPr>
            <w:r>
              <w:rPr>
                <w:sz w:val="22"/>
              </w:rPr>
              <w:t>60%</w:t>
            </w:r>
          </w:p>
        </w:tc>
        <w:tc>
          <w:tcPr>
            <w:tcW w:w="710" w:type="dxa"/>
          </w:tcPr>
          <w:p>
            <w:pPr>
              <w:pStyle w:val="TableParagraph"/>
              <w:spacing w:before="0"/>
              <w:ind w:left="0"/>
              <w:rPr>
                <w:rFonts w:ascii="Times New Roman"/>
                <w:sz w:val="20"/>
              </w:rPr>
            </w:pPr>
          </w:p>
        </w:tc>
      </w:tr>
      <w:tr>
        <w:trPr>
          <w:trHeight w:val="383" w:hRule="atLeast"/>
        </w:trPr>
        <w:tc>
          <w:tcPr>
            <w:tcW w:w="5098" w:type="dxa"/>
          </w:tcPr>
          <w:p>
            <w:pPr>
              <w:pStyle w:val="TableParagraph"/>
              <w:rPr>
                <w:sz w:val="22"/>
              </w:rPr>
            </w:pPr>
            <w:r>
              <w:rPr>
                <w:sz w:val="22"/>
              </w:rPr>
              <w:t>Climate Survey ACT Like Schools</w:t>
            </w:r>
          </w:p>
        </w:tc>
        <w:tc>
          <w:tcPr>
            <w:tcW w:w="711" w:type="dxa"/>
          </w:tcPr>
          <w:p>
            <w:pPr>
              <w:pStyle w:val="TableParagraph"/>
              <w:ind w:left="120" w:right="109"/>
              <w:jc w:val="center"/>
              <w:rPr>
                <w:sz w:val="22"/>
              </w:rPr>
            </w:pPr>
            <w:r>
              <w:rPr>
                <w:sz w:val="22"/>
              </w:rPr>
              <w:t>81%</w:t>
            </w:r>
          </w:p>
        </w:tc>
        <w:tc>
          <w:tcPr>
            <w:tcW w:w="708" w:type="dxa"/>
          </w:tcPr>
          <w:p>
            <w:pPr>
              <w:pStyle w:val="TableParagraph"/>
              <w:ind w:left="162"/>
              <w:rPr>
                <w:sz w:val="22"/>
              </w:rPr>
            </w:pPr>
            <w:r>
              <w:rPr>
                <w:sz w:val="22"/>
              </w:rPr>
              <w:t>79%</w:t>
            </w:r>
          </w:p>
        </w:tc>
        <w:tc>
          <w:tcPr>
            <w:tcW w:w="710" w:type="dxa"/>
          </w:tcPr>
          <w:p>
            <w:pPr>
              <w:pStyle w:val="TableParagraph"/>
              <w:ind w:left="145" w:right="134"/>
              <w:jc w:val="center"/>
              <w:rPr>
                <w:sz w:val="22"/>
              </w:rPr>
            </w:pPr>
            <w:r>
              <w:rPr>
                <w:sz w:val="22"/>
              </w:rPr>
              <w:t>85%</w:t>
            </w:r>
          </w:p>
        </w:tc>
        <w:tc>
          <w:tcPr>
            <w:tcW w:w="708" w:type="dxa"/>
          </w:tcPr>
          <w:p>
            <w:pPr>
              <w:pStyle w:val="TableParagraph"/>
              <w:ind w:left="111" w:right="107"/>
              <w:jc w:val="center"/>
              <w:rPr>
                <w:sz w:val="22"/>
              </w:rPr>
            </w:pPr>
            <w:r>
              <w:rPr>
                <w:sz w:val="22"/>
              </w:rPr>
              <w:t>57%</w:t>
            </w:r>
          </w:p>
        </w:tc>
        <w:tc>
          <w:tcPr>
            <w:tcW w:w="849" w:type="dxa"/>
          </w:tcPr>
          <w:p>
            <w:pPr>
              <w:pStyle w:val="TableParagraph"/>
              <w:ind w:left="184" w:right="176"/>
              <w:jc w:val="center"/>
              <w:rPr>
                <w:sz w:val="22"/>
              </w:rPr>
            </w:pPr>
            <w:r>
              <w:rPr>
                <w:sz w:val="22"/>
              </w:rPr>
              <w:t>58%</w:t>
            </w:r>
          </w:p>
        </w:tc>
        <w:tc>
          <w:tcPr>
            <w:tcW w:w="710" w:type="dxa"/>
          </w:tcPr>
          <w:p>
            <w:pPr>
              <w:pStyle w:val="TableParagraph"/>
              <w:spacing w:before="0"/>
              <w:ind w:left="0"/>
              <w:rPr>
                <w:rFonts w:ascii="Times New Roman"/>
                <w:sz w:val="20"/>
              </w:rPr>
            </w:pPr>
          </w:p>
        </w:tc>
      </w:tr>
    </w:tbl>
    <w:p>
      <w:pPr>
        <w:pStyle w:val="BodyText"/>
        <w:spacing w:before="7"/>
        <w:rPr>
          <w:sz w:val="19"/>
        </w:rPr>
      </w:pPr>
    </w:p>
    <w:p>
      <w:pPr>
        <w:spacing w:before="0"/>
        <w:ind w:left="760" w:right="0" w:firstLine="0"/>
        <w:jc w:val="left"/>
        <w:rPr>
          <w:rFonts w:ascii="Calibri Light"/>
          <w:b w:val="0"/>
          <w:i/>
          <w:sz w:val="22"/>
        </w:rPr>
      </w:pPr>
      <w:r>
        <w:rPr>
          <w:rFonts w:ascii="Calibri Light"/>
          <w:b w:val="0"/>
          <w:i/>
          <w:color w:val="1F4E79"/>
          <w:w w:val="100"/>
          <w:sz w:val="22"/>
        </w:rPr>
        <w:t> </w:t>
      </w:r>
    </w:p>
    <w:p>
      <w:pPr>
        <w:pStyle w:val="Heading2"/>
        <w:ind w:left="760"/>
      </w:pPr>
      <w:r>
        <w:rPr/>
        <w:t>Behavioural Engagement</w:t>
      </w:r>
    </w:p>
    <w:p>
      <w:pPr>
        <w:pStyle w:val="BodyText"/>
        <w:spacing w:line="259" w:lineRule="auto" w:before="181"/>
        <w:ind w:left="760" w:right="978"/>
      </w:pPr>
      <w:r>
        <w:rPr/>
        <w:t>The Behavioural Engagement domain describes how intensely a student tries their best, both in completing work and undertaking work to the best of their ability. It also includes student self- reported levels of hard work, active participation and effort. It includes their perceptions that they are able to be a good student.</w:t>
      </w:r>
    </w:p>
    <w:p>
      <w:pPr>
        <w:spacing w:after="0" w:line="259" w:lineRule="auto"/>
        <w:sectPr>
          <w:pgSz w:w="11910" w:h="16840"/>
          <w:pgMar w:header="0" w:footer="1126" w:top="1380" w:bottom="1320" w:left="680" w:right="680"/>
        </w:sectPr>
      </w:pPr>
    </w:p>
    <w:tbl>
      <w:tblPr>
        <w:tblW w:w="0" w:type="auto"/>
        <w:jc w:val="left"/>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89"/>
        <w:gridCol w:w="708"/>
        <w:gridCol w:w="710"/>
        <w:gridCol w:w="708"/>
        <w:gridCol w:w="709"/>
        <w:gridCol w:w="852"/>
        <w:gridCol w:w="708"/>
      </w:tblGrid>
      <w:tr>
        <w:trPr>
          <w:trHeight w:val="1459" w:hRule="atLeast"/>
        </w:trPr>
        <w:tc>
          <w:tcPr>
            <w:tcW w:w="5389" w:type="dxa"/>
          </w:tcPr>
          <w:p>
            <w:pPr>
              <w:pStyle w:val="TableParagraph"/>
              <w:spacing w:before="51"/>
              <w:rPr>
                <w:b/>
                <w:sz w:val="22"/>
              </w:rPr>
            </w:pPr>
            <w:r>
              <w:rPr>
                <w:b/>
                <w:sz w:val="22"/>
              </w:rPr>
              <w:t>Targets or Measures</w:t>
            </w:r>
          </w:p>
          <w:p>
            <w:pPr>
              <w:pStyle w:val="TableParagraph"/>
              <w:spacing w:before="0"/>
              <w:ind w:right="86"/>
              <w:rPr>
                <w:sz w:val="22"/>
              </w:rPr>
            </w:pPr>
            <w:r>
              <w:rPr>
                <w:sz w:val="22"/>
              </w:rPr>
              <w:t>Exceed the ACT “like schools” average in the proportion of agree/strongly agree responses to Behavioural Engagement items in the Australian School Climate and School Identification Measurement Tool (ASCSIMT).</w:t>
            </w:r>
          </w:p>
        </w:tc>
        <w:tc>
          <w:tcPr>
            <w:tcW w:w="708" w:type="dxa"/>
          </w:tcPr>
          <w:p>
            <w:pPr>
              <w:pStyle w:val="TableParagraph"/>
              <w:spacing w:before="51"/>
              <w:ind w:left="119" w:right="107"/>
              <w:jc w:val="center"/>
              <w:rPr>
                <w:b/>
                <w:sz w:val="22"/>
              </w:rPr>
            </w:pPr>
            <w:r>
              <w:rPr>
                <w:b/>
                <w:sz w:val="22"/>
              </w:rPr>
              <w:t>Base</w:t>
            </w:r>
          </w:p>
        </w:tc>
        <w:tc>
          <w:tcPr>
            <w:tcW w:w="710" w:type="dxa"/>
          </w:tcPr>
          <w:p>
            <w:pPr>
              <w:pStyle w:val="TableParagraph"/>
              <w:spacing w:before="51"/>
              <w:ind w:left="67"/>
              <w:rPr>
                <w:b/>
                <w:sz w:val="22"/>
              </w:rPr>
            </w:pPr>
            <w:r>
              <w:rPr>
                <w:b/>
                <w:sz w:val="22"/>
              </w:rPr>
              <w:t>Year 1</w:t>
            </w:r>
          </w:p>
          <w:p>
            <w:pPr>
              <w:pStyle w:val="TableParagraph"/>
              <w:spacing w:before="0"/>
              <w:ind w:left="132"/>
              <w:rPr>
                <w:b/>
                <w:sz w:val="22"/>
              </w:rPr>
            </w:pPr>
            <w:r>
              <w:rPr>
                <w:b/>
                <w:sz w:val="22"/>
              </w:rPr>
              <w:t>2017</w:t>
            </w:r>
          </w:p>
        </w:tc>
        <w:tc>
          <w:tcPr>
            <w:tcW w:w="708" w:type="dxa"/>
          </w:tcPr>
          <w:p>
            <w:pPr>
              <w:pStyle w:val="TableParagraph"/>
              <w:spacing w:before="51"/>
              <w:ind w:left="65"/>
              <w:rPr>
                <w:b/>
                <w:sz w:val="22"/>
              </w:rPr>
            </w:pPr>
            <w:r>
              <w:rPr>
                <w:b/>
                <w:sz w:val="22"/>
              </w:rPr>
              <w:t>Year 2</w:t>
            </w:r>
          </w:p>
          <w:p>
            <w:pPr>
              <w:pStyle w:val="TableParagraph"/>
              <w:spacing w:before="0"/>
              <w:ind w:left="130"/>
              <w:rPr>
                <w:b/>
                <w:sz w:val="22"/>
              </w:rPr>
            </w:pPr>
            <w:r>
              <w:rPr>
                <w:b/>
                <w:sz w:val="22"/>
              </w:rPr>
              <w:t>2018</w:t>
            </w:r>
          </w:p>
        </w:tc>
        <w:tc>
          <w:tcPr>
            <w:tcW w:w="709" w:type="dxa"/>
          </w:tcPr>
          <w:p>
            <w:pPr>
              <w:pStyle w:val="TableParagraph"/>
              <w:spacing w:before="51"/>
              <w:ind w:left="67"/>
              <w:rPr>
                <w:b/>
                <w:sz w:val="22"/>
              </w:rPr>
            </w:pPr>
            <w:r>
              <w:rPr>
                <w:b/>
                <w:sz w:val="22"/>
              </w:rPr>
              <w:t>Year 3</w:t>
            </w:r>
          </w:p>
          <w:p>
            <w:pPr>
              <w:pStyle w:val="TableParagraph"/>
              <w:spacing w:before="0"/>
              <w:ind w:left="130"/>
              <w:rPr>
                <w:b/>
                <w:sz w:val="22"/>
              </w:rPr>
            </w:pPr>
            <w:r>
              <w:rPr>
                <w:b/>
                <w:sz w:val="22"/>
              </w:rPr>
              <w:t>2019</w:t>
            </w:r>
          </w:p>
        </w:tc>
        <w:tc>
          <w:tcPr>
            <w:tcW w:w="852" w:type="dxa"/>
          </w:tcPr>
          <w:p>
            <w:pPr>
              <w:pStyle w:val="TableParagraph"/>
              <w:spacing w:before="51"/>
              <w:ind w:left="139"/>
              <w:rPr>
                <w:b/>
                <w:sz w:val="22"/>
              </w:rPr>
            </w:pPr>
            <w:r>
              <w:rPr>
                <w:b/>
                <w:sz w:val="22"/>
              </w:rPr>
              <w:t>Year 4</w:t>
            </w:r>
          </w:p>
          <w:p>
            <w:pPr>
              <w:pStyle w:val="TableParagraph"/>
              <w:spacing w:before="0"/>
              <w:ind w:left="201"/>
              <w:rPr>
                <w:b/>
                <w:sz w:val="22"/>
              </w:rPr>
            </w:pPr>
            <w:r>
              <w:rPr>
                <w:b/>
                <w:sz w:val="22"/>
              </w:rPr>
              <w:t>2020</w:t>
            </w:r>
          </w:p>
        </w:tc>
        <w:tc>
          <w:tcPr>
            <w:tcW w:w="708" w:type="dxa"/>
          </w:tcPr>
          <w:p>
            <w:pPr>
              <w:pStyle w:val="TableParagraph"/>
              <w:spacing w:before="51"/>
              <w:ind w:left="65"/>
              <w:rPr>
                <w:b/>
                <w:sz w:val="22"/>
              </w:rPr>
            </w:pPr>
            <w:r>
              <w:rPr>
                <w:b/>
                <w:sz w:val="22"/>
              </w:rPr>
              <w:t>Year 5</w:t>
            </w:r>
          </w:p>
          <w:p>
            <w:pPr>
              <w:pStyle w:val="TableParagraph"/>
              <w:spacing w:before="0"/>
              <w:ind w:left="129"/>
              <w:rPr>
                <w:b/>
                <w:sz w:val="22"/>
              </w:rPr>
            </w:pPr>
            <w:r>
              <w:rPr>
                <w:b/>
                <w:sz w:val="22"/>
              </w:rPr>
              <w:t>2021</w:t>
            </w:r>
          </w:p>
        </w:tc>
      </w:tr>
      <w:tr>
        <w:trPr>
          <w:trHeight w:val="381" w:hRule="atLeast"/>
        </w:trPr>
        <w:tc>
          <w:tcPr>
            <w:tcW w:w="5389" w:type="dxa"/>
          </w:tcPr>
          <w:p>
            <w:pPr>
              <w:pStyle w:val="TableParagraph"/>
              <w:spacing w:before="48"/>
              <w:rPr>
                <w:sz w:val="22"/>
              </w:rPr>
            </w:pPr>
            <w:r>
              <w:rPr>
                <w:sz w:val="22"/>
              </w:rPr>
              <w:t>Climate Survey Amaroo School</w:t>
            </w:r>
          </w:p>
        </w:tc>
        <w:tc>
          <w:tcPr>
            <w:tcW w:w="708" w:type="dxa"/>
          </w:tcPr>
          <w:p>
            <w:pPr>
              <w:pStyle w:val="TableParagraph"/>
              <w:spacing w:before="48"/>
              <w:ind w:left="13"/>
              <w:jc w:val="center"/>
              <w:rPr>
                <w:sz w:val="22"/>
              </w:rPr>
            </w:pPr>
            <w:r>
              <w:rPr>
                <w:w w:val="100"/>
                <w:sz w:val="22"/>
              </w:rPr>
              <w:t>-</w:t>
            </w:r>
          </w:p>
        </w:tc>
        <w:tc>
          <w:tcPr>
            <w:tcW w:w="710" w:type="dxa"/>
          </w:tcPr>
          <w:p>
            <w:pPr>
              <w:pStyle w:val="TableParagraph"/>
              <w:spacing w:before="48"/>
              <w:ind w:left="165"/>
              <w:rPr>
                <w:sz w:val="22"/>
              </w:rPr>
            </w:pPr>
            <w:r>
              <w:rPr>
                <w:sz w:val="22"/>
              </w:rPr>
              <w:t>67%</w:t>
            </w:r>
          </w:p>
        </w:tc>
        <w:tc>
          <w:tcPr>
            <w:tcW w:w="708" w:type="dxa"/>
          </w:tcPr>
          <w:p>
            <w:pPr>
              <w:pStyle w:val="TableParagraph"/>
              <w:spacing w:before="48"/>
              <w:ind w:left="117" w:right="107"/>
              <w:jc w:val="center"/>
              <w:rPr>
                <w:sz w:val="22"/>
              </w:rPr>
            </w:pPr>
            <w:r>
              <w:rPr>
                <w:sz w:val="22"/>
              </w:rPr>
              <w:t>75%</w:t>
            </w:r>
          </w:p>
        </w:tc>
        <w:tc>
          <w:tcPr>
            <w:tcW w:w="709" w:type="dxa"/>
          </w:tcPr>
          <w:p>
            <w:pPr>
              <w:pStyle w:val="TableParagraph"/>
              <w:spacing w:before="48"/>
              <w:ind w:left="143" w:right="134"/>
              <w:jc w:val="center"/>
              <w:rPr>
                <w:sz w:val="22"/>
              </w:rPr>
            </w:pPr>
            <w:r>
              <w:rPr>
                <w:sz w:val="22"/>
              </w:rPr>
              <w:t>77%</w:t>
            </w:r>
          </w:p>
        </w:tc>
        <w:tc>
          <w:tcPr>
            <w:tcW w:w="852" w:type="dxa"/>
          </w:tcPr>
          <w:p>
            <w:pPr>
              <w:pStyle w:val="TableParagraph"/>
              <w:spacing w:before="48"/>
              <w:ind w:left="209" w:right="200"/>
              <w:jc w:val="center"/>
              <w:rPr>
                <w:sz w:val="22"/>
              </w:rPr>
            </w:pPr>
            <w:r>
              <w:rPr>
                <w:sz w:val="22"/>
              </w:rPr>
              <w:t>75%</w:t>
            </w:r>
          </w:p>
        </w:tc>
        <w:tc>
          <w:tcPr>
            <w:tcW w:w="708" w:type="dxa"/>
          </w:tcPr>
          <w:p>
            <w:pPr>
              <w:pStyle w:val="TableParagraph"/>
              <w:spacing w:before="0"/>
              <w:ind w:left="0"/>
              <w:rPr>
                <w:rFonts w:ascii="Times New Roman"/>
                <w:sz w:val="20"/>
              </w:rPr>
            </w:pPr>
          </w:p>
        </w:tc>
      </w:tr>
      <w:tr>
        <w:trPr>
          <w:trHeight w:val="383" w:hRule="atLeast"/>
        </w:trPr>
        <w:tc>
          <w:tcPr>
            <w:tcW w:w="5389" w:type="dxa"/>
          </w:tcPr>
          <w:p>
            <w:pPr>
              <w:pStyle w:val="TableParagraph"/>
              <w:spacing w:before="51"/>
              <w:rPr>
                <w:sz w:val="22"/>
              </w:rPr>
            </w:pPr>
            <w:r>
              <w:rPr>
                <w:sz w:val="22"/>
              </w:rPr>
              <w:t>Climate Survey ACT Like Schools</w:t>
            </w:r>
          </w:p>
        </w:tc>
        <w:tc>
          <w:tcPr>
            <w:tcW w:w="708" w:type="dxa"/>
          </w:tcPr>
          <w:p>
            <w:pPr>
              <w:pStyle w:val="TableParagraph"/>
              <w:spacing w:before="51"/>
              <w:ind w:left="13"/>
              <w:jc w:val="center"/>
              <w:rPr>
                <w:sz w:val="22"/>
              </w:rPr>
            </w:pPr>
            <w:r>
              <w:rPr>
                <w:w w:val="100"/>
                <w:sz w:val="22"/>
              </w:rPr>
              <w:t>-</w:t>
            </w:r>
          </w:p>
        </w:tc>
        <w:tc>
          <w:tcPr>
            <w:tcW w:w="710" w:type="dxa"/>
          </w:tcPr>
          <w:p>
            <w:pPr>
              <w:pStyle w:val="TableParagraph"/>
              <w:spacing w:before="51"/>
              <w:ind w:left="165"/>
              <w:rPr>
                <w:sz w:val="22"/>
              </w:rPr>
            </w:pPr>
            <w:r>
              <w:rPr>
                <w:sz w:val="22"/>
              </w:rPr>
              <w:t>62%</w:t>
            </w:r>
          </w:p>
        </w:tc>
        <w:tc>
          <w:tcPr>
            <w:tcW w:w="708" w:type="dxa"/>
          </w:tcPr>
          <w:p>
            <w:pPr>
              <w:pStyle w:val="TableParagraph"/>
              <w:spacing w:before="51"/>
              <w:ind w:left="117" w:right="107"/>
              <w:jc w:val="center"/>
              <w:rPr>
                <w:sz w:val="22"/>
              </w:rPr>
            </w:pPr>
            <w:r>
              <w:rPr>
                <w:sz w:val="22"/>
              </w:rPr>
              <w:t>74%</w:t>
            </w:r>
          </w:p>
        </w:tc>
        <w:tc>
          <w:tcPr>
            <w:tcW w:w="709" w:type="dxa"/>
          </w:tcPr>
          <w:p>
            <w:pPr>
              <w:pStyle w:val="TableParagraph"/>
              <w:spacing w:before="51"/>
              <w:ind w:left="143" w:right="134"/>
              <w:jc w:val="center"/>
              <w:rPr>
                <w:sz w:val="22"/>
              </w:rPr>
            </w:pPr>
            <w:r>
              <w:rPr>
                <w:sz w:val="22"/>
              </w:rPr>
              <w:t>74%</w:t>
            </w:r>
          </w:p>
        </w:tc>
        <w:tc>
          <w:tcPr>
            <w:tcW w:w="852" w:type="dxa"/>
          </w:tcPr>
          <w:p>
            <w:pPr>
              <w:pStyle w:val="TableParagraph"/>
              <w:spacing w:before="51"/>
              <w:ind w:left="209" w:right="200"/>
              <w:jc w:val="center"/>
              <w:rPr>
                <w:sz w:val="22"/>
              </w:rPr>
            </w:pPr>
            <w:r>
              <w:rPr>
                <w:sz w:val="22"/>
              </w:rPr>
              <w:t>73%</w:t>
            </w:r>
          </w:p>
        </w:tc>
        <w:tc>
          <w:tcPr>
            <w:tcW w:w="708" w:type="dxa"/>
          </w:tcPr>
          <w:p>
            <w:pPr>
              <w:pStyle w:val="TableParagraph"/>
              <w:spacing w:before="0"/>
              <w:ind w:left="0"/>
              <w:rPr>
                <w:rFonts w:ascii="Times New Roman"/>
                <w:sz w:val="20"/>
              </w:rPr>
            </w:pPr>
          </w:p>
        </w:tc>
      </w:tr>
    </w:tbl>
    <w:p>
      <w:pPr>
        <w:pStyle w:val="BodyText"/>
        <w:rPr>
          <w:sz w:val="20"/>
        </w:rPr>
      </w:pPr>
    </w:p>
    <w:p>
      <w:pPr>
        <w:pStyle w:val="BodyText"/>
        <w:rPr>
          <w:sz w:val="20"/>
        </w:rPr>
      </w:pPr>
    </w:p>
    <w:p>
      <w:pPr>
        <w:pStyle w:val="BodyText"/>
        <w:spacing w:before="5"/>
        <w:rPr>
          <w:sz w:val="21"/>
        </w:rPr>
      </w:pPr>
    </w:p>
    <w:tbl>
      <w:tblPr>
        <w:tblW w:w="0" w:type="auto"/>
        <w:jc w:val="left"/>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48"/>
        <w:gridCol w:w="708"/>
        <w:gridCol w:w="849"/>
        <w:gridCol w:w="770"/>
        <w:gridCol w:w="842"/>
        <w:gridCol w:w="708"/>
        <w:gridCol w:w="708"/>
      </w:tblGrid>
      <w:tr>
        <w:trPr>
          <w:trHeight w:val="918" w:hRule="atLeast"/>
        </w:trPr>
        <w:tc>
          <w:tcPr>
            <w:tcW w:w="5048" w:type="dxa"/>
          </w:tcPr>
          <w:p>
            <w:pPr>
              <w:pStyle w:val="TableParagraph"/>
              <w:rPr>
                <w:b/>
                <w:sz w:val="22"/>
              </w:rPr>
            </w:pPr>
            <w:r>
              <w:rPr>
                <w:b/>
                <w:sz w:val="22"/>
              </w:rPr>
              <w:t>Targets or Measures</w:t>
            </w:r>
          </w:p>
          <w:p>
            <w:pPr>
              <w:pStyle w:val="TableParagraph"/>
              <w:spacing w:line="237" w:lineRule="auto" w:before="3"/>
              <w:ind w:right="472"/>
              <w:rPr>
                <w:sz w:val="22"/>
              </w:rPr>
            </w:pPr>
            <w:r>
              <w:rPr>
                <w:sz w:val="22"/>
              </w:rPr>
              <w:t>Student responses to targeted questions in School Satisfaction Survey as compared to like schools</w:t>
            </w:r>
          </w:p>
        </w:tc>
        <w:tc>
          <w:tcPr>
            <w:tcW w:w="708" w:type="dxa"/>
          </w:tcPr>
          <w:p>
            <w:pPr>
              <w:pStyle w:val="TableParagraph"/>
              <w:ind w:left="119" w:right="107"/>
              <w:jc w:val="center"/>
              <w:rPr>
                <w:b/>
                <w:sz w:val="22"/>
              </w:rPr>
            </w:pPr>
            <w:r>
              <w:rPr>
                <w:b/>
                <w:sz w:val="22"/>
              </w:rPr>
              <w:t>Base</w:t>
            </w:r>
          </w:p>
        </w:tc>
        <w:tc>
          <w:tcPr>
            <w:tcW w:w="849" w:type="dxa"/>
          </w:tcPr>
          <w:p>
            <w:pPr>
              <w:pStyle w:val="TableParagraph"/>
              <w:ind w:left="139"/>
              <w:rPr>
                <w:b/>
                <w:sz w:val="22"/>
              </w:rPr>
            </w:pPr>
            <w:r>
              <w:rPr>
                <w:b/>
                <w:sz w:val="22"/>
              </w:rPr>
              <w:t>Year 1</w:t>
            </w:r>
          </w:p>
          <w:p>
            <w:pPr>
              <w:pStyle w:val="TableParagraph"/>
              <w:spacing w:before="1"/>
              <w:ind w:left="202"/>
              <w:rPr>
                <w:b/>
                <w:sz w:val="22"/>
              </w:rPr>
            </w:pPr>
            <w:r>
              <w:rPr>
                <w:b/>
                <w:sz w:val="22"/>
              </w:rPr>
              <w:t>2017</w:t>
            </w:r>
          </w:p>
        </w:tc>
        <w:tc>
          <w:tcPr>
            <w:tcW w:w="770" w:type="dxa"/>
          </w:tcPr>
          <w:p>
            <w:pPr>
              <w:pStyle w:val="TableParagraph"/>
              <w:ind w:left="99"/>
              <w:rPr>
                <w:b/>
                <w:sz w:val="22"/>
              </w:rPr>
            </w:pPr>
            <w:r>
              <w:rPr>
                <w:b/>
                <w:sz w:val="22"/>
              </w:rPr>
              <w:t>Year 2</w:t>
            </w:r>
          </w:p>
          <w:p>
            <w:pPr>
              <w:pStyle w:val="TableParagraph"/>
              <w:spacing w:before="1"/>
              <w:ind w:left="164"/>
              <w:rPr>
                <w:b/>
                <w:sz w:val="22"/>
              </w:rPr>
            </w:pPr>
            <w:r>
              <w:rPr>
                <w:b/>
                <w:sz w:val="22"/>
              </w:rPr>
              <w:t>2018</w:t>
            </w:r>
          </w:p>
        </w:tc>
        <w:tc>
          <w:tcPr>
            <w:tcW w:w="842" w:type="dxa"/>
            <w:tcBorders>
              <w:right w:val="single" w:sz="6" w:space="0" w:color="000000"/>
            </w:tcBorders>
          </w:tcPr>
          <w:p>
            <w:pPr>
              <w:pStyle w:val="TableParagraph"/>
              <w:ind w:left="135"/>
              <w:rPr>
                <w:b/>
                <w:sz w:val="22"/>
              </w:rPr>
            </w:pPr>
            <w:r>
              <w:rPr>
                <w:b/>
                <w:sz w:val="22"/>
              </w:rPr>
              <w:t>Year 3</w:t>
            </w:r>
          </w:p>
          <w:p>
            <w:pPr>
              <w:pStyle w:val="TableParagraph"/>
              <w:spacing w:before="1"/>
              <w:ind w:left="198"/>
              <w:rPr>
                <w:b/>
                <w:sz w:val="22"/>
              </w:rPr>
            </w:pPr>
            <w:r>
              <w:rPr>
                <w:b/>
                <w:sz w:val="22"/>
              </w:rPr>
              <w:t>2019</w:t>
            </w:r>
          </w:p>
        </w:tc>
        <w:tc>
          <w:tcPr>
            <w:tcW w:w="708" w:type="dxa"/>
            <w:tcBorders>
              <w:left w:val="single" w:sz="6" w:space="0" w:color="000000"/>
            </w:tcBorders>
          </w:tcPr>
          <w:p>
            <w:pPr>
              <w:pStyle w:val="TableParagraph"/>
              <w:ind w:left="67"/>
              <w:rPr>
                <w:b/>
                <w:sz w:val="22"/>
              </w:rPr>
            </w:pPr>
            <w:r>
              <w:rPr>
                <w:b/>
                <w:sz w:val="22"/>
              </w:rPr>
              <w:t>Year 4</w:t>
            </w:r>
          </w:p>
          <w:p>
            <w:pPr>
              <w:pStyle w:val="TableParagraph"/>
              <w:spacing w:before="1"/>
              <w:ind w:left="131"/>
              <w:rPr>
                <w:b/>
                <w:sz w:val="22"/>
              </w:rPr>
            </w:pPr>
            <w:r>
              <w:rPr>
                <w:b/>
                <w:sz w:val="22"/>
              </w:rPr>
              <w:t>2020</w:t>
            </w:r>
          </w:p>
        </w:tc>
        <w:tc>
          <w:tcPr>
            <w:tcW w:w="708" w:type="dxa"/>
          </w:tcPr>
          <w:p>
            <w:pPr>
              <w:pStyle w:val="TableParagraph"/>
              <w:ind w:left="69"/>
              <w:rPr>
                <w:b/>
                <w:sz w:val="22"/>
              </w:rPr>
            </w:pPr>
            <w:r>
              <w:rPr>
                <w:b/>
                <w:sz w:val="22"/>
              </w:rPr>
              <w:t>Year 5</w:t>
            </w:r>
          </w:p>
          <w:p>
            <w:pPr>
              <w:pStyle w:val="TableParagraph"/>
              <w:spacing w:before="1"/>
              <w:ind w:left="132"/>
              <w:rPr>
                <w:b/>
                <w:sz w:val="22"/>
              </w:rPr>
            </w:pPr>
            <w:r>
              <w:rPr>
                <w:b/>
                <w:sz w:val="22"/>
              </w:rPr>
              <w:t>2021</w:t>
            </w:r>
          </w:p>
        </w:tc>
      </w:tr>
      <w:tr>
        <w:trPr>
          <w:trHeight w:val="384" w:hRule="atLeast"/>
        </w:trPr>
        <w:tc>
          <w:tcPr>
            <w:tcW w:w="5048" w:type="dxa"/>
          </w:tcPr>
          <w:p>
            <w:pPr>
              <w:pStyle w:val="TableParagraph"/>
              <w:rPr>
                <w:sz w:val="22"/>
              </w:rPr>
            </w:pPr>
            <w:r>
              <w:rPr>
                <w:sz w:val="22"/>
              </w:rPr>
              <w:t>Teachers give useful feedback</w:t>
            </w:r>
          </w:p>
        </w:tc>
        <w:tc>
          <w:tcPr>
            <w:tcW w:w="708" w:type="dxa"/>
          </w:tcPr>
          <w:p>
            <w:pPr>
              <w:pStyle w:val="TableParagraph"/>
              <w:ind w:left="7"/>
              <w:jc w:val="center"/>
              <w:rPr>
                <w:sz w:val="22"/>
              </w:rPr>
            </w:pPr>
            <w:r>
              <w:rPr>
                <w:w w:val="100"/>
                <w:sz w:val="22"/>
              </w:rPr>
              <w:t>-</w:t>
            </w:r>
          </w:p>
        </w:tc>
        <w:tc>
          <w:tcPr>
            <w:tcW w:w="849" w:type="dxa"/>
          </w:tcPr>
          <w:p>
            <w:pPr>
              <w:pStyle w:val="TableParagraph"/>
              <w:ind w:left="0" w:right="81"/>
              <w:jc w:val="right"/>
              <w:rPr>
                <w:sz w:val="22"/>
              </w:rPr>
            </w:pPr>
            <w:r>
              <w:rPr>
                <w:sz w:val="22"/>
              </w:rPr>
              <w:t>+3.82%</w:t>
            </w:r>
          </w:p>
        </w:tc>
        <w:tc>
          <w:tcPr>
            <w:tcW w:w="770" w:type="dxa"/>
          </w:tcPr>
          <w:p>
            <w:pPr>
              <w:pStyle w:val="TableParagraph"/>
              <w:ind w:left="39" w:right="23"/>
              <w:jc w:val="center"/>
              <w:rPr>
                <w:sz w:val="22"/>
              </w:rPr>
            </w:pPr>
            <w:r>
              <w:rPr>
                <w:sz w:val="22"/>
              </w:rPr>
              <w:t>+2.36%</w:t>
            </w:r>
          </w:p>
        </w:tc>
        <w:tc>
          <w:tcPr>
            <w:tcW w:w="842" w:type="dxa"/>
            <w:tcBorders>
              <w:right w:val="single" w:sz="6" w:space="0" w:color="000000"/>
            </w:tcBorders>
          </w:tcPr>
          <w:p>
            <w:pPr>
              <w:pStyle w:val="TableParagraph"/>
              <w:ind w:left="130" w:right="113"/>
              <w:jc w:val="center"/>
              <w:rPr>
                <w:sz w:val="22"/>
              </w:rPr>
            </w:pPr>
            <w:r>
              <w:rPr>
                <w:sz w:val="22"/>
              </w:rPr>
              <w:t>+1.4%</w:t>
            </w:r>
          </w:p>
        </w:tc>
        <w:tc>
          <w:tcPr>
            <w:tcW w:w="708" w:type="dxa"/>
            <w:tcBorders>
              <w:left w:val="single" w:sz="6" w:space="0" w:color="000000"/>
            </w:tcBorders>
          </w:tcPr>
          <w:p>
            <w:pPr>
              <w:pStyle w:val="TableParagraph"/>
              <w:rPr>
                <w:sz w:val="22"/>
              </w:rPr>
            </w:pPr>
            <w:r>
              <w:rPr>
                <w:sz w:val="22"/>
              </w:rPr>
              <w:t>+5.3%</w:t>
            </w:r>
          </w:p>
        </w:tc>
        <w:tc>
          <w:tcPr>
            <w:tcW w:w="708" w:type="dxa"/>
          </w:tcPr>
          <w:p>
            <w:pPr>
              <w:pStyle w:val="TableParagraph"/>
              <w:spacing w:before="0"/>
              <w:ind w:left="0"/>
              <w:rPr>
                <w:rFonts w:ascii="Times New Roman"/>
                <w:sz w:val="20"/>
              </w:rPr>
            </w:pPr>
          </w:p>
        </w:tc>
      </w:tr>
      <w:tr>
        <w:trPr>
          <w:trHeight w:val="381" w:hRule="atLeast"/>
        </w:trPr>
        <w:tc>
          <w:tcPr>
            <w:tcW w:w="5048" w:type="dxa"/>
          </w:tcPr>
          <w:p>
            <w:pPr>
              <w:pStyle w:val="TableParagraph"/>
              <w:rPr>
                <w:sz w:val="22"/>
              </w:rPr>
            </w:pPr>
            <w:r>
              <w:rPr>
                <w:sz w:val="22"/>
              </w:rPr>
              <w:t>Staff take students’ concern’s seriously</w:t>
            </w:r>
          </w:p>
        </w:tc>
        <w:tc>
          <w:tcPr>
            <w:tcW w:w="708" w:type="dxa"/>
          </w:tcPr>
          <w:p>
            <w:pPr>
              <w:pStyle w:val="TableParagraph"/>
              <w:ind w:left="7"/>
              <w:jc w:val="center"/>
              <w:rPr>
                <w:sz w:val="22"/>
              </w:rPr>
            </w:pPr>
            <w:r>
              <w:rPr>
                <w:w w:val="100"/>
                <w:sz w:val="22"/>
              </w:rPr>
              <w:t>-</w:t>
            </w:r>
          </w:p>
        </w:tc>
        <w:tc>
          <w:tcPr>
            <w:tcW w:w="849" w:type="dxa"/>
          </w:tcPr>
          <w:p>
            <w:pPr>
              <w:pStyle w:val="TableParagraph"/>
              <w:ind w:left="0" w:right="103"/>
              <w:jc w:val="right"/>
              <w:rPr>
                <w:sz w:val="22"/>
              </w:rPr>
            </w:pPr>
            <w:r>
              <w:rPr>
                <w:sz w:val="22"/>
              </w:rPr>
              <w:t>-1.89%</w:t>
            </w:r>
          </w:p>
        </w:tc>
        <w:tc>
          <w:tcPr>
            <w:tcW w:w="770" w:type="dxa"/>
          </w:tcPr>
          <w:p>
            <w:pPr>
              <w:pStyle w:val="TableParagraph"/>
              <w:ind w:left="39" w:right="23"/>
              <w:jc w:val="center"/>
              <w:rPr>
                <w:sz w:val="22"/>
              </w:rPr>
            </w:pPr>
            <w:r>
              <w:rPr>
                <w:sz w:val="22"/>
              </w:rPr>
              <w:t>+3.26%</w:t>
            </w:r>
          </w:p>
        </w:tc>
        <w:tc>
          <w:tcPr>
            <w:tcW w:w="842" w:type="dxa"/>
            <w:tcBorders>
              <w:right w:val="single" w:sz="6" w:space="0" w:color="000000"/>
            </w:tcBorders>
          </w:tcPr>
          <w:p>
            <w:pPr>
              <w:pStyle w:val="TableParagraph"/>
              <w:ind w:left="130" w:right="113"/>
              <w:jc w:val="center"/>
              <w:rPr>
                <w:sz w:val="22"/>
              </w:rPr>
            </w:pPr>
            <w:r>
              <w:rPr>
                <w:sz w:val="22"/>
              </w:rPr>
              <w:t>+2.7%</w:t>
            </w:r>
          </w:p>
        </w:tc>
        <w:tc>
          <w:tcPr>
            <w:tcW w:w="708" w:type="dxa"/>
            <w:tcBorders>
              <w:left w:val="single" w:sz="6" w:space="0" w:color="000000"/>
            </w:tcBorders>
          </w:tcPr>
          <w:p>
            <w:pPr>
              <w:pStyle w:val="TableParagraph"/>
              <w:rPr>
                <w:sz w:val="22"/>
              </w:rPr>
            </w:pPr>
            <w:r>
              <w:rPr>
                <w:sz w:val="22"/>
              </w:rPr>
              <w:t>+3.2%</w:t>
            </w:r>
          </w:p>
        </w:tc>
        <w:tc>
          <w:tcPr>
            <w:tcW w:w="708" w:type="dxa"/>
          </w:tcPr>
          <w:p>
            <w:pPr>
              <w:pStyle w:val="TableParagraph"/>
              <w:spacing w:before="0"/>
              <w:ind w:left="0"/>
              <w:rPr>
                <w:rFonts w:ascii="Times New Roman"/>
                <w:sz w:val="20"/>
              </w:rPr>
            </w:pPr>
          </w:p>
        </w:tc>
      </w:tr>
      <w:tr>
        <w:trPr>
          <w:trHeight w:val="383" w:hRule="atLeast"/>
        </w:trPr>
        <w:tc>
          <w:tcPr>
            <w:tcW w:w="5048" w:type="dxa"/>
          </w:tcPr>
          <w:p>
            <w:pPr>
              <w:pStyle w:val="TableParagraph"/>
              <w:rPr>
                <w:sz w:val="22"/>
              </w:rPr>
            </w:pPr>
            <w:r>
              <w:rPr>
                <w:sz w:val="22"/>
              </w:rPr>
              <w:t>I feel safe at this school</w:t>
            </w:r>
          </w:p>
        </w:tc>
        <w:tc>
          <w:tcPr>
            <w:tcW w:w="708" w:type="dxa"/>
          </w:tcPr>
          <w:p>
            <w:pPr>
              <w:pStyle w:val="TableParagraph"/>
              <w:ind w:left="7"/>
              <w:jc w:val="center"/>
              <w:rPr>
                <w:sz w:val="22"/>
              </w:rPr>
            </w:pPr>
            <w:r>
              <w:rPr>
                <w:w w:val="100"/>
                <w:sz w:val="22"/>
              </w:rPr>
              <w:t>-</w:t>
            </w:r>
          </w:p>
        </w:tc>
        <w:tc>
          <w:tcPr>
            <w:tcW w:w="849" w:type="dxa"/>
          </w:tcPr>
          <w:p>
            <w:pPr>
              <w:pStyle w:val="TableParagraph"/>
              <w:ind w:left="0" w:right="103"/>
              <w:jc w:val="right"/>
              <w:rPr>
                <w:sz w:val="22"/>
              </w:rPr>
            </w:pPr>
            <w:r>
              <w:rPr>
                <w:sz w:val="22"/>
              </w:rPr>
              <w:t>-0.11%</w:t>
            </w:r>
          </w:p>
        </w:tc>
        <w:tc>
          <w:tcPr>
            <w:tcW w:w="770" w:type="dxa"/>
          </w:tcPr>
          <w:p>
            <w:pPr>
              <w:pStyle w:val="TableParagraph"/>
              <w:ind w:left="39" w:right="23"/>
              <w:jc w:val="center"/>
              <w:rPr>
                <w:sz w:val="22"/>
              </w:rPr>
            </w:pPr>
            <w:r>
              <w:rPr>
                <w:sz w:val="22"/>
              </w:rPr>
              <w:t>+1.28%</w:t>
            </w:r>
          </w:p>
        </w:tc>
        <w:tc>
          <w:tcPr>
            <w:tcW w:w="842" w:type="dxa"/>
            <w:tcBorders>
              <w:right w:val="single" w:sz="6" w:space="0" w:color="000000"/>
            </w:tcBorders>
          </w:tcPr>
          <w:p>
            <w:pPr>
              <w:pStyle w:val="TableParagraph"/>
              <w:ind w:left="130" w:right="113"/>
              <w:jc w:val="center"/>
              <w:rPr>
                <w:sz w:val="22"/>
              </w:rPr>
            </w:pPr>
            <w:r>
              <w:rPr>
                <w:sz w:val="22"/>
              </w:rPr>
              <w:t>+5.6%</w:t>
            </w:r>
          </w:p>
        </w:tc>
        <w:tc>
          <w:tcPr>
            <w:tcW w:w="708" w:type="dxa"/>
            <w:tcBorders>
              <w:left w:val="single" w:sz="6" w:space="0" w:color="000000"/>
            </w:tcBorders>
          </w:tcPr>
          <w:p>
            <w:pPr>
              <w:pStyle w:val="TableParagraph"/>
              <w:rPr>
                <w:sz w:val="22"/>
              </w:rPr>
            </w:pPr>
            <w:r>
              <w:rPr>
                <w:sz w:val="22"/>
              </w:rPr>
              <w:t>+8.7%</w:t>
            </w:r>
          </w:p>
        </w:tc>
        <w:tc>
          <w:tcPr>
            <w:tcW w:w="708" w:type="dxa"/>
          </w:tcPr>
          <w:p>
            <w:pPr>
              <w:pStyle w:val="TableParagraph"/>
              <w:spacing w:before="0"/>
              <w:ind w:left="0"/>
              <w:rPr>
                <w:rFonts w:ascii="Times New Roman"/>
                <w:sz w:val="20"/>
              </w:rPr>
            </w:pPr>
          </w:p>
        </w:tc>
      </w:tr>
      <w:tr>
        <w:trPr>
          <w:trHeight w:val="383" w:hRule="atLeast"/>
        </w:trPr>
        <w:tc>
          <w:tcPr>
            <w:tcW w:w="5048" w:type="dxa"/>
          </w:tcPr>
          <w:p>
            <w:pPr>
              <w:pStyle w:val="TableParagraph"/>
              <w:rPr>
                <w:sz w:val="22"/>
              </w:rPr>
            </w:pPr>
            <w:r>
              <w:rPr>
                <w:sz w:val="22"/>
              </w:rPr>
              <w:t>Student behaviour is well managed at my school</w:t>
            </w:r>
          </w:p>
        </w:tc>
        <w:tc>
          <w:tcPr>
            <w:tcW w:w="708" w:type="dxa"/>
          </w:tcPr>
          <w:p>
            <w:pPr>
              <w:pStyle w:val="TableParagraph"/>
              <w:ind w:left="7"/>
              <w:jc w:val="center"/>
              <w:rPr>
                <w:sz w:val="22"/>
              </w:rPr>
            </w:pPr>
            <w:r>
              <w:rPr>
                <w:w w:val="100"/>
                <w:sz w:val="22"/>
              </w:rPr>
              <w:t>-</w:t>
            </w:r>
          </w:p>
        </w:tc>
        <w:tc>
          <w:tcPr>
            <w:tcW w:w="849" w:type="dxa"/>
          </w:tcPr>
          <w:p>
            <w:pPr>
              <w:pStyle w:val="TableParagraph"/>
              <w:ind w:left="0" w:right="136"/>
              <w:jc w:val="right"/>
              <w:rPr>
                <w:sz w:val="22"/>
              </w:rPr>
            </w:pPr>
            <w:r>
              <w:rPr>
                <w:sz w:val="22"/>
              </w:rPr>
              <w:t>+1.3%</w:t>
            </w:r>
          </w:p>
        </w:tc>
        <w:tc>
          <w:tcPr>
            <w:tcW w:w="770" w:type="dxa"/>
          </w:tcPr>
          <w:p>
            <w:pPr>
              <w:pStyle w:val="TableParagraph"/>
              <w:ind w:left="38" w:right="23"/>
              <w:jc w:val="center"/>
              <w:rPr>
                <w:sz w:val="22"/>
              </w:rPr>
            </w:pPr>
            <w:r>
              <w:rPr>
                <w:sz w:val="22"/>
              </w:rPr>
              <w:t>-2.3%</w:t>
            </w:r>
          </w:p>
        </w:tc>
        <w:tc>
          <w:tcPr>
            <w:tcW w:w="842" w:type="dxa"/>
            <w:tcBorders>
              <w:right w:val="single" w:sz="6" w:space="0" w:color="000000"/>
            </w:tcBorders>
          </w:tcPr>
          <w:p>
            <w:pPr>
              <w:pStyle w:val="TableParagraph"/>
              <w:ind w:left="130" w:right="113"/>
              <w:jc w:val="center"/>
              <w:rPr>
                <w:sz w:val="22"/>
              </w:rPr>
            </w:pPr>
            <w:r>
              <w:rPr>
                <w:sz w:val="22"/>
              </w:rPr>
              <w:t>+6.7%</w:t>
            </w:r>
          </w:p>
        </w:tc>
        <w:tc>
          <w:tcPr>
            <w:tcW w:w="708" w:type="dxa"/>
            <w:tcBorders>
              <w:left w:val="single" w:sz="6" w:space="0" w:color="000000"/>
            </w:tcBorders>
          </w:tcPr>
          <w:p>
            <w:pPr>
              <w:pStyle w:val="TableParagraph"/>
              <w:rPr>
                <w:sz w:val="22"/>
              </w:rPr>
            </w:pPr>
            <w:r>
              <w:rPr>
                <w:sz w:val="22"/>
              </w:rPr>
              <w:t>+7.3%</w:t>
            </w:r>
          </w:p>
        </w:tc>
        <w:tc>
          <w:tcPr>
            <w:tcW w:w="708" w:type="dxa"/>
          </w:tcPr>
          <w:p>
            <w:pPr>
              <w:pStyle w:val="TableParagraph"/>
              <w:spacing w:before="0"/>
              <w:ind w:left="0"/>
              <w:rPr>
                <w:rFonts w:ascii="Times New Roman"/>
                <w:sz w:val="20"/>
              </w:rPr>
            </w:pPr>
          </w:p>
        </w:tc>
      </w:tr>
    </w:tbl>
    <w:p>
      <w:pPr>
        <w:pStyle w:val="BodyText"/>
        <w:rPr>
          <w:sz w:val="20"/>
        </w:rPr>
      </w:pPr>
    </w:p>
    <w:p>
      <w:pPr>
        <w:pStyle w:val="BodyText"/>
        <w:spacing w:before="1"/>
        <w:rPr>
          <w:sz w:val="19"/>
        </w:rPr>
      </w:pPr>
    </w:p>
    <w:p>
      <w:pPr>
        <w:pStyle w:val="BodyText"/>
        <w:spacing w:before="94"/>
        <w:ind w:left="760"/>
        <w:rPr>
          <w:rFonts w:ascii="Arial"/>
        </w:rPr>
      </w:pPr>
      <w:r>
        <w:rPr/>
        <w:pict>
          <v:shape style="position:absolute;margin-left:43.200001pt;margin-top:23.657862pt;width:509.15pt;height:147.9pt;mso-position-horizontal-relative:page;mso-position-vertical-relative:paragraph;z-index:-15728128;mso-wrap-distance-left:0;mso-wrap-distance-right:0" type="#_x0000_t202" filled="false" stroked="true" strokeweight=".47998pt" strokecolor="#000000">
            <v:textbox inset="0,0,0,0">
              <w:txbxContent>
                <w:p>
                  <w:pPr>
                    <w:pStyle w:val="BodyText"/>
                    <w:numPr>
                      <w:ilvl w:val="0"/>
                      <w:numId w:val="3"/>
                    </w:numPr>
                    <w:tabs>
                      <w:tab w:pos="823" w:val="left" w:leader="none"/>
                      <w:tab w:pos="824" w:val="left" w:leader="none"/>
                    </w:tabs>
                    <w:spacing w:line="240" w:lineRule="auto" w:before="112" w:after="0"/>
                    <w:ind w:left="823" w:right="108" w:hanging="361"/>
                    <w:jc w:val="left"/>
                    <w:rPr>
                      <w:rFonts w:ascii="Symbol" w:hAnsi="Symbol"/>
                    </w:rPr>
                  </w:pPr>
                  <w:r>
                    <w:rPr/>
                    <w:t>This data tells us that our school climate continues to improve when compared against like schools. It is important to note that the system measurement changed in 2019. School satisfaction survey results are showing a positive trend when compared with like schools and the increase of 7.3% for the item </w:t>
                  </w:r>
                  <w:r>
                    <w:rPr>
                      <w:i/>
                    </w:rPr>
                    <w:t>Student behaviour is well managed at my</w:t>
                  </w:r>
                  <w:r>
                    <w:rPr>
                      <w:i/>
                      <w:spacing w:val="-5"/>
                    </w:rPr>
                    <w:t> </w:t>
                  </w:r>
                  <w:r>
                    <w:rPr>
                      <w:i/>
                    </w:rPr>
                    <w:t>school</w:t>
                  </w:r>
                  <w:r>
                    <w:rPr/>
                    <w:t>.</w:t>
                  </w:r>
                </w:p>
                <w:p>
                  <w:pPr>
                    <w:pStyle w:val="BodyText"/>
                    <w:numPr>
                      <w:ilvl w:val="0"/>
                      <w:numId w:val="3"/>
                    </w:numPr>
                    <w:tabs>
                      <w:tab w:pos="823" w:val="left" w:leader="none"/>
                      <w:tab w:pos="824" w:val="left" w:leader="none"/>
                    </w:tabs>
                    <w:spacing w:line="240" w:lineRule="auto" w:before="0" w:after="0"/>
                    <w:ind w:left="823" w:right="289" w:hanging="361"/>
                    <w:jc w:val="left"/>
                    <w:rPr>
                      <w:rFonts w:ascii="Symbol" w:hAnsi="Symbol"/>
                    </w:rPr>
                  </w:pPr>
                  <w:r>
                    <w:rPr/>
                    <w:t>The targeted programs such as Diamond, AmFlex along with the PBL implementation, Inquiry focus</w:t>
                  </w:r>
                  <w:r>
                    <w:rPr>
                      <w:spacing w:val="-32"/>
                    </w:rPr>
                    <w:t> </w:t>
                  </w:r>
                  <w:r>
                    <w:rPr/>
                    <w:t>in Primary and the 2020 Conceptual Framework supporting social and emotional learning are having a positive impact on meeting individual student needs and improving school</w:t>
                  </w:r>
                  <w:r>
                    <w:rPr>
                      <w:spacing w:val="-14"/>
                    </w:rPr>
                    <w:t> </w:t>
                  </w:r>
                  <w:r>
                    <w:rPr/>
                    <w:t>climate.</w:t>
                  </w:r>
                </w:p>
                <w:p>
                  <w:pPr>
                    <w:pStyle w:val="BodyText"/>
                    <w:numPr>
                      <w:ilvl w:val="0"/>
                      <w:numId w:val="3"/>
                    </w:numPr>
                    <w:tabs>
                      <w:tab w:pos="824" w:val="left" w:leader="none"/>
                    </w:tabs>
                    <w:spacing w:line="240" w:lineRule="auto" w:before="0" w:after="0"/>
                    <w:ind w:left="823" w:right="883" w:hanging="361"/>
                    <w:jc w:val="both"/>
                    <w:rPr>
                      <w:rFonts w:ascii="Symbol" w:hAnsi="Symbol"/>
                      <w:color w:val="006FC0"/>
                    </w:rPr>
                  </w:pPr>
                  <w:r>
                    <w:rPr/>
                    <w:t>In Secondary targeted surveys of students has provided feedback to teachers on wellbeing and engagement informing improvement in Amcares programming and the identifying of students requiring extra</w:t>
                  </w:r>
                  <w:r>
                    <w:rPr>
                      <w:spacing w:val="-5"/>
                    </w:rPr>
                    <w:t> </w:t>
                  </w:r>
                  <w:r>
                    <w:rPr/>
                    <w:t>support.</w:t>
                  </w:r>
                </w:p>
              </w:txbxContent>
            </v:textbox>
            <v:stroke dashstyle="solid"/>
            <w10:wrap type="topAndBottom"/>
          </v:shape>
        </w:pict>
      </w:r>
      <w:r>
        <w:rPr>
          <w:rFonts w:ascii="Arial"/>
          <w:color w:val="1F4D78"/>
        </w:rPr>
        <w:t>What this evidence tells us</w:t>
      </w:r>
    </w:p>
    <w:p>
      <w:pPr>
        <w:pStyle w:val="BodyText"/>
        <w:spacing w:before="2"/>
        <w:rPr>
          <w:rFonts w:ascii="Arial"/>
          <w:sz w:val="10"/>
        </w:rPr>
      </w:pPr>
    </w:p>
    <w:p>
      <w:pPr>
        <w:pStyle w:val="BodyText"/>
        <w:spacing w:before="94"/>
        <w:ind w:left="760"/>
        <w:rPr>
          <w:rFonts w:ascii="Arial"/>
        </w:rPr>
      </w:pPr>
      <w:r>
        <w:rPr/>
        <w:pict>
          <v:shape style="position:absolute;margin-left:43.080002pt;margin-top:23.537878pt;width:509.3pt;height:194.2pt;mso-position-horizontal-relative:page;mso-position-vertical-relative:paragraph;z-index:-15727616;mso-wrap-distance-left:0;mso-wrap-distance-right:0" type="#_x0000_t202" filled="false" stroked="true" strokeweight=".47998pt" strokecolor="#000000">
            <v:textbox inset="0,0,0,0">
              <w:txbxContent>
                <w:p>
                  <w:pPr>
                    <w:spacing w:before="114"/>
                    <w:ind w:left="103" w:right="0" w:firstLine="0"/>
                    <w:jc w:val="left"/>
                    <w:rPr>
                      <w:b/>
                      <w:sz w:val="22"/>
                    </w:rPr>
                  </w:pPr>
                  <w:r>
                    <w:rPr>
                      <w:b/>
                      <w:sz w:val="22"/>
                    </w:rPr>
                    <w:t>Enhance Cultural Integrity practices across the school</w:t>
                  </w:r>
                </w:p>
                <w:p>
                  <w:pPr>
                    <w:pStyle w:val="BodyText"/>
                    <w:spacing w:before="118"/>
                    <w:ind w:left="103"/>
                  </w:pPr>
                  <w:r>
                    <w:rPr/>
                    <w:t>Improved student awareness of indigenous perspectives and inclusivity.</w:t>
                  </w:r>
                </w:p>
                <w:p>
                  <w:pPr>
                    <w:pStyle w:val="BodyText"/>
                    <w:numPr>
                      <w:ilvl w:val="0"/>
                      <w:numId w:val="4"/>
                    </w:numPr>
                    <w:tabs>
                      <w:tab w:pos="823" w:val="left" w:leader="none"/>
                      <w:tab w:pos="824" w:val="left" w:leader="none"/>
                    </w:tabs>
                    <w:spacing w:line="240" w:lineRule="auto" w:before="1" w:after="0"/>
                    <w:ind w:left="823" w:right="215" w:hanging="361"/>
                    <w:jc w:val="left"/>
                  </w:pPr>
                  <w:r>
                    <w:rPr/>
                    <w:t>The cultural integrity team has staff participation from across the school providing effective communication of priorities and supporting the 3 year cultural integrity plan. Staff have increased confidence and capability in teaching cultural perspectives. Leadership from senior executive staff and the RAP review has kept this clearly on the</w:t>
                  </w:r>
                  <w:r>
                    <w:rPr>
                      <w:spacing w:val="-8"/>
                    </w:rPr>
                    <w:t> </w:t>
                  </w:r>
                  <w:r>
                    <w:rPr/>
                    <w:t>agenda.</w:t>
                  </w:r>
                </w:p>
                <w:p>
                  <w:pPr>
                    <w:pStyle w:val="BodyText"/>
                    <w:numPr>
                      <w:ilvl w:val="0"/>
                      <w:numId w:val="4"/>
                    </w:numPr>
                    <w:tabs>
                      <w:tab w:pos="823" w:val="left" w:leader="none"/>
                      <w:tab w:pos="824" w:val="left" w:leader="none"/>
                    </w:tabs>
                    <w:spacing w:line="240" w:lineRule="auto" w:before="1" w:after="0"/>
                    <w:ind w:left="823" w:right="165" w:hanging="361"/>
                    <w:jc w:val="left"/>
                  </w:pPr>
                  <w:r>
                    <w:rPr/>
                    <w:t>Students have multiple opportunities to experience indigenous perspectives and engage in activities to broaden understandings. For example indigenous perspectives are embedded in Year 5 and 6 learning units, 7 – 10 Science and Humanities</w:t>
                  </w:r>
                  <w:r>
                    <w:rPr>
                      <w:spacing w:val="-6"/>
                    </w:rPr>
                    <w:t> </w:t>
                  </w:r>
                  <w:r>
                    <w:rPr/>
                    <w:t>units.</w:t>
                  </w:r>
                </w:p>
                <w:p>
                  <w:pPr>
                    <w:pStyle w:val="BodyText"/>
                    <w:numPr>
                      <w:ilvl w:val="0"/>
                      <w:numId w:val="4"/>
                    </w:numPr>
                    <w:tabs>
                      <w:tab w:pos="823" w:val="left" w:leader="none"/>
                      <w:tab w:pos="824" w:val="left" w:leader="none"/>
                    </w:tabs>
                    <w:spacing w:line="240" w:lineRule="auto" w:before="0" w:after="0"/>
                    <w:ind w:left="823" w:right="123" w:hanging="361"/>
                    <w:jc w:val="left"/>
                  </w:pPr>
                  <w:r>
                    <w:rPr/>
                    <w:t>The Mura Burranda room is an accessible and interactive space developed for the school community to engage with Aboriginal and Torres strait Islander histories and</w:t>
                  </w:r>
                  <w:r>
                    <w:rPr>
                      <w:spacing w:val="-11"/>
                    </w:rPr>
                    <w:t> </w:t>
                  </w:r>
                  <w:r>
                    <w:rPr/>
                    <w:t>perspectives.</w:t>
                  </w:r>
                </w:p>
                <w:p>
                  <w:pPr>
                    <w:pStyle w:val="BodyText"/>
                  </w:pPr>
                </w:p>
                <w:p>
                  <w:pPr>
                    <w:pStyle w:val="BodyText"/>
                    <w:ind w:left="103"/>
                  </w:pPr>
                  <w:r>
                    <w:rPr/>
                    <w:t>Student learning environment celebrates cultural diversity</w:t>
                  </w:r>
                </w:p>
              </w:txbxContent>
            </v:textbox>
            <v:stroke dashstyle="solid"/>
            <w10:wrap type="topAndBottom"/>
          </v:shape>
        </w:pict>
      </w:r>
      <w:r>
        <w:rPr>
          <w:rFonts w:ascii="Arial"/>
          <w:color w:val="1F4D78"/>
        </w:rPr>
        <w:t>Our achievements for this priority</w:t>
      </w:r>
    </w:p>
    <w:p>
      <w:pPr>
        <w:spacing w:after="0"/>
        <w:rPr>
          <w:rFonts w:ascii="Arial"/>
        </w:rPr>
        <w:sectPr>
          <w:pgSz w:w="11910" w:h="16840"/>
          <w:pgMar w:header="0" w:footer="1126" w:top="1420" w:bottom="1320" w:left="680" w:right="680"/>
        </w:sectPr>
      </w:pPr>
    </w:p>
    <w:p>
      <w:pPr>
        <w:pStyle w:val="ListParagraph"/>
        <w:numPr>
          <w:ilvl w:val="0"/>
          <w:numId w:val="5"/>
        </w:numPr>
        <w:tabs>
          <w:tab w:pos="1009" w:val="left" w:leader="none"/>
          <w:tab w:pos="1011" w:val="left" w:leader="none"/>
        </w:tabs>
        <w:spacing w:line="240" w:lineRule="auto" w:before="123" w:after="0"/>
        <w:ind w:left="1010" w:right="724" w:hanging="361"/>
        <w:jc w:val="left"/>
        <w:rPr>
          <w:sz w:val="22"/>
        </w:rPr>
      </w:pPr>
      <w:r>
        <w:rPr/>
        <w:pict>
          <v:shape style="position:absolute;margin-left:42.84pt;margin-top:71.999947pt;width:509.75pt;height:677.75pt;mso-position-horizontal-relative:page;mso-position-vertical-relative:page;z-index:-16176128" coordorigin="857,1440" coordsize="10195,13555" path="m11052,1440l11042,1440,11042,1450,11042,1562,11042,14985,866,14985,866,1562,866,1450,11042,1450,11042,1440,866,1440,857,1440,857,14995,866,14995,11042,14995,11052,14995,11052,14985,11052,1562,11052,1450,11052,1440xe" filled="true" fillcolor="#000000" stroked="false">
            <v:path arrowok="t"/>
            <v:fill type="solid"/>
            <w10:wrap type="none"/>
          </v:shape>
        </w:pict>
      </w:r>
      <w:r>
        <w:rPr>
          <w:sz w:val="22"/>
        </w:rPr>
        <w:t>Acknowledgement of country on display in learning spaces, corridors and Principal offices. Student work in classrooms demonstrates indigenous perspectives, in particular in inquiry</w:t>
      </w:r>
      <w:r>
        <w:rPr>
          <w:spacing w:val="-14"/>
          <w:sz w:val="22"/>
        </w:rPr>
        <w:t> </w:t>
      </w:r>
      <w:r>
        <w:rPr>
          <w:sz w:val="22"/>
        </w:rPr>
        <w:t>units.</w:t>
      </w:r>
    </w:p>
    <w:p>
      <w:pPr>
        <w:pStyle w:val="ListParagraph"/>
        <w:numPr>
          <w:ilvl w:val="0"/>
          <w:numId w:val="5"/>
        </w:numPr>
        <w:tabs>
          <w:tab w:pos="1009" w:val="left" w:leader="none"/>
          <w:tab w:pos="1011" w:val="left" w:leader="none"/>
        </w:tabs>
        <w:spacing w:line="240" w:lineRule="auto" w:before="1" w:after="0"/>
        <w:ind w:left="1010" w:right="741" w:hanging="361"/>
        <w:jc w:val="left"/>
        <w:rPr>
          <w:sz w:val="22"/>
        </w:rPr>
      </w:pPr>
      <w:r>
        <w:rPr>
          <w:sz w:val="22"/>
        </w:rPr>
        <w:t>The Mura Burranda room celebrates Indigenous culture. A new acknowledgment of country which incorporates and promotes student participation while yarning circles are used as an effective communication tool and forum to celebrate</w:t>
      </w:r>
      <w:r>
        <w:rPr>
          <w:spacing w:val="-2"/>
          <w:sz w:val="22"/>
        </w:rPr>
        <w:t> </w:t>
      </w:r>
      <w:r>
        <w:rPr>
          <w:sz w:val="22"/>
        </w:rPr>
        <w:t>diversity.</w:t>
      </w:r>
    </w:p>
    <w:p>
      <w:pPr>
        <w:pStyle w:val="ListParagraph"/>
        <w:numPr>
          <w:ilvl w:val="0"/>
          <w:numId w:val="5"/>
        </w:numPr>
        <w:tabs>
          <w:tab w:pos="1009" w:val="left" w:leader="none"/>
          <w:tab w:pos="1011" w:val="left" w:leader="none"/>
        </w:tabs>
        <w:spacing w:line="240" w:lineRule="auto" w:before="0" w:after="0"/>
        <w:ind w:left="1010" w:right="424" w:hanging="361"/>
        <w:jc w:val="left"/>
        <w:rPr>
          <w:sz w:val="22"/>
        </w:rPr>
      </w:pPr>
      <w:r>
        <w:rPr>
          <w:sz w:val="22"/>
        </w:rPr>
        <w:t>Highly visible indigenous artwork provides students and families with a deeper understanding of the role Amaroo School land had for the Ngunnawal people while and community projects acknowledge Aboriginal and Torres Strait Islander communities. Prominent acknowledgement of Reconciliation and NAIDOC week embedded through whole school assemblies, the K-10 buddy program and through curriculum and resources. This includes LSUA art programs painting a Reconciliation</w:t>
      </w:r>
      <w:r>
        <w:rPr>
          <w:spacing w:val="-9"/>
          <w:sz w:val="22"/>
        </w:rPr>
        <w:t> </w:t>
      </w:r>
      <w:r>
        <w:rPr>
          <w:sz w:val="22"/>
        </w:rPr>
        <w:t>wall.</w:t>
      </w:r>
    </w:p>
    <w:p>
      <w:pPr>
        <w:pStyle w:val="BodyText"/>
      </w:pPr>
    </w:p>
    <w:p>
      <w:pPr>
        <w:pStyle w:val="BodyText"/>
        <w:spacing w:line="268" w:lineRule="exact" w:before="1"/>
        <w:ind w:left="289"/>
      </w:pPr>
      <w:r>
        <w:rPr/>
        <w:t>Shared values and beliefs in decision making about student learning</w:t>
      </w:r>
    </w:p>
    <w:p>
      <w:pPr>
        <w:pStyle w:val="ListParagraph"/>
        <w:numPr>
          <w:ilvl w:val="0"/>
          <w:numId w:val="5"/>
        </w:numPr>
        <w:tabs>
          <w:tab w:pos="1009" w:val="left" w:leader="none"/>
          <w:tab w:pos="1011" w:val="left" w:leader="none"/>
        </w:tabs>
        <w:spacing w:line="240" w:lineRule="auto" w:before="0" w:after="0"/>
        <w:ind w:left="1010" w:right="502" w:hanging="361"/>
        <w:jc w:val="left"/>
        <w:rPr>
          <w:sz w:val="22"/>
        </w:rPr>
      </w:pPr>
      <w:r>
        <w:rPr>
          <w:sz w:val="22"/>
        </w:rPr>
        <w:t>Targeted professional learning has raised staff awareness and commitment to being culturally respectful whilst planning student learning. The Cultural Integrity Workshops each term has helped formulate shared values through which staff acknowledge the importance of enhancing cultural integrity practices across the school. This included Grant Sarra whole school PL, providing staff with a shared experience in which they could share their growing understanding of</w:t>
      </w:r>
      <w:r>
        <w:rPr>
          <w:spacing w:val="-15"/>
          <w:sz w:val="22"/>
        </w:rPr>
        <w:t> </w:t>
      </w:r>
      <w:r>
        <w:rPr>
          <w:sz w:val="22"/>
        </w:rPr>
        <w:t>culture.</w:t>
      </w:r>
    </w:p>
    <w:p>
      <w:pPr>
        <w:pStyle w:val="ListParagraph"/>
        <w:numPr>
          <w:ilvl w:val="0"/>
          <w:numId w:val="5"/>
        </w:numPr>
        <w:tabs>
          <w:tab w:pos="1009" w:val="left" w:leader="none"/>
          <w:tab w:pos="1011" w:val="left" w:leader="none"/>
        </w:tabs>
        <w:spacing w:line="240" w:lineRule="auto" w:before="1" w:after="0"/>
        <w:ind w:left="1010" w:right="683" w:hanging="361"/>
        <w:jc w:val="left"/>
        <w:rPr>
          <w:sz w:val="22"/>
        </w:rPr>
      </w:pPr>
      <w:r>
        <w:rPr>
          <w:sz w:val="22"/>
        </w:rPr>
        <w:t>Structured Professional Learning Teamwork that explicitly incorporates Aboriginal and Torres Strait Islander perspectives in curriculum planning across</w:t>
      </w:r>
      <w:r>
        <w:rPr>
          <w:spacing w:val="-1"/>
          <w:sz w:val="22"/>
        </w:rPr>
        <w:t> </w:t>
      </w:r>
      <w:r>
        <w:rPr>
          <w:sz w:val="22"/>
        </w:rPr>
        <w:t>school.</w:t>
      </w:r>
    </w:p>
    <w:p>
      <w:pPr>
        <w:pStyle w:val="ListParagraph"/>
        <w:numPr>
          <w:ilvl w:val="0"/>
          <w:numId w:val="5"/>
        </w:numPr>
        <w:tabs>
          <w:tab w:pos="1009" w:val="left" w:leader="none"/>
          <w:tab w:pos="1011" w:val="left" w:leader="none"/>
        </w:tabs>
        <w:spacing w:line="279" w:lineRule="exact" w:before="0" w:after="0"/>
        <w:ind w:left="1010" w:right="0" w:hanging="362"/>
        <w:jc w:val="left"/>
        <w:rPr>
          <w:sz w:val="22"/>
        </w:rPr>
      </w:pPr>
      <w:r>
        <w:rPr>
          <w:sz w:val="22"/>
        </w:rPr>
        <w:t>New Indigenous Education Officer enhancing the embedding of cultural integrity across the</w:t>
      </w:r>
      <w:r>
        <w:rPr>
          <w:spacing w:val="-22"/>
          <w:sz w:val="22"/>
        </w:rPr>
        <w:t> </w:t>
      </w:r>
      <w:r>
        <w:rPr>
          <w:sz w:val="22"/>
        </w:rPr>
        <w:t>school.</w:t>
      </w:r>
    </w:p>
    <w:p>
      <w:pPr>
        <w:pStyle w:val="BodyText"/>
        <w:spacing w:before="10"/>
        <w:rPr>
          <w:sz w:val="31"/>
        </w:rPr>
      </w:pPr>
    </w:p>
    <w:p>
      <w:pPr>
        <w:pStyle w:val="Heading2"/>
        <w:ind w:left="289"/>
      </w:pPr>
      <w:r>
        <w:rPr/>
        <w:t>Whole school implementation of Positive Behaviours for Learning (PBL)</w:t>
      </w:r>
    </w:p>
    <w:p>
      <w:pPr>
        <w:pStyle w:val="BodyText"/>
        <w:spacing w:before="121"/>
        <w:ind w:left="289"/>
      </w:pPr>
      <w:r>
        <w:rPr/>
        <w:t>Improved student behaviour participation and engagement in non-classroom settings</w:t>
      </w:r>
    </w:p>
    <w:p>
      <w:pPr>
        <w:pStyle w:val="ListParagraph"/>
        <w:numPr>
          <w:ilvl w:val="0"/>
          <w:numId w:val="5"/>
        </w:numPr>
        <w:tabs>
          <w:tab w:pos="1009" w:val="left" w:leader="none"/>
          <w:tab w:pos="1011" w:val="left" w:leader="none"/>
        </w:tabs>
        <w:spacing w:line="240" w:lineRule="auto" w:before="0" w:after="0"/>
        <w:ind w:left="1010" w:right="420" w:hanging="361"/>
        <w:jc w:val="left"/>
        <w:rPr>
          <w:sz w:val="22"/>
        </w:rPr>
      </w:pPr>
      <w:r>
        <w:rPr>
          <w:sz w:val="22"/>
        </w:rPr>
        <w:t>The school is a positive place to be. PBL is highly visible in the school setting and is also shared at events, newsletters, Front Office, First Aid, everywhere. Staff, students and our parent community are aware and understand the expectations of PBL. Parents as determined by the SSS data of 2019 and 2020 share that they believe that the school has high expectations of students and that behaviour is managed appropriately. The ratio of positive to negative incidences is 128 to</w:t>
      </w:r>
      <w:r>
        <w:rPr>
          <w:spacing w:val="-5"/>
          <w:sz w:val="22"/>
        </w:rPr>
        <w:t> </w:t>
      </w:r>
      <w:r>
        <w:rPr>
          <w:sz w:val="22"/>
        </w:rPr>
        <w:t>1.</w:t>
      </w:r>
    </w:p>
    <w:p>
      <w:pPr>
        <w:pStyle w:val="ListParagraph"/>
        <w:numPr>
          <w:ilvl w:val="0"/>
          <w:numId w:val="5"/>
        </w:numPr>
        <w:tabs>
          <w:tab w:pos="1009" w:val="left" w:leader="none"/>
          <w:tab w:pos="1011" w:val="left" w:leader="none"/>
        </w:tabs>
        <w:spacing w:line="240" w:lineRule="auto" w:before="0" w:after="0"/>
        <w:ind w:left="1010" w:right="453" w:hanging="361"/>
        <w:jc w:val="left"/>
        <w:rPr>
          <w:sz w:val="22"/>
        </w:rPr>
      </w:pPr>
      <w:r>
        <w:rPr>
          <w:sz w:val="22"/>
        </w:rPr>
        <w:t>Clear evidence of implementation across school with clear signage, processes and procedures from </w:t>
      </w:r>
      <w:r>
        <w:rPr>
          <w:spacing w:val="2"/>
          <w:sz w:val="22"/>
        </w:rPr>
        <w:t>P- </w:t>
      </w:r>
      <w:r>
        <w:rPr>
          <w:sz w:val="22"/>
        </w:rPr>
        <w:t>10.</w:t>
      </w:r>
    </w:p>
    <w:p>
      <w:pPr>
        <w:pStyle w:val="ListParagraph"/>
        <w:numPr>
          <w:ilvl w:val="0"/>
          <w:numId w:val="5"/>
        </w:numPr>
        <w:tabs>
          <w:tab w:pos="1009" w:val="left" w:leader="none"/>
          <w:tab w:pos="1011" w:val="left" w:leader="none"/>
        </w:tabs>
        <w:spacing w:line="240" w:lineRule="auto" w:before="0" w:after="0"/>
        <w:ind w:left="1010" w:right="520" w:hanging="361"/>
        <w:jc w:val="left"/>
        <w:rPr>
          <w:sz w:val="22"/>
        </w:rPr>
      </w:pPr>
      <w:r>
        <w:rPr>
          <w:sz w:val="22"/>
        </w:rPr>
        <w:t>Significant improvement in behaviour management and support for students. Teachers have been equipped with resources and tools to make the PBL implementation in non-classroom settings (bum- bags containing tokens, lanyard tags and cards). This allows for easy access for reference and re- teaching.</w:t>
      </w:r>
    </w:p>
    <w:p>
      <w:pPr>
        <w:pStyle w:val="ListParagraph"/>
        <w:numPr>
          <w:ilvl w:val="0"/>
          <w:numId w:val="5"/>
        </w:numPr>
        <w:tabs>
          <w:tab w:pos="1009" w:val="left" w:leader="none"/>
          <w:tab w:pos="1011" w:val="left" w:leader="none"/>
        </w:tabs>
        <w:spacing w:line="279" w:lineRule="exact" w:before="0" w:after="0"/>
        <w:ind w:left="1010" w:right="0" w:hanging="362"/>
        <w:jc w:val="left"/>
        <w:rPr>
          <w:sz w:val="22"/>
        </w:rPr>
      </w:pPr>
      <w:r>
        <w:rPr>
          <w:sz w:val="22"/>
        </w:rPr>
        <w:t>Students refer to the PBL signage around the</w:t>
      </w:r>
      <w:r>
        <w:rPr>
          <w:spacing w:val="-6"/>
          <w:sz w:val="22"/>
        </w:rPr>
        <w:t> </w:t>
      </w:r>
      <w:r>
        <w:rPr>
          <w:sz w:val="22"/>
        </w:rPr>
        <w:t>school.</w:t>
      </w:r>
    </w:p>
    <w:p>
      <w:pPr>
        <w:pStyle w:val="ListParagraph"/>
        <w:numPr>
          <w:ilvl w:val="0"/>
          <w:numId w:val="5"/>
        </w:numPr>
        <w:tabs>
          <w:tab w:pos="1009" w:val="left" w:leader="none"/>
          <w:tab w:pos="1011" w:val="left" w:leader="none"/>
        </w:tabs>
        <w:spacing w:line="240" w:lineRule="auto" w:before="1" w:after="0"/>
        <w:ind w:left="1010" w:right="0" w:hanging="362"/>
        <w:jc w:val="left"/>
        <w:rPr>
          <w:sz w:val="22"/>
        </w:rPr>
      </w:pPr>
      <w:r>
        <w:rPr>
          <w:sz w:val="22"/>
        </w:rPr>
        <w:t>Preschool teachers have created social stories and a matrix for PBL expectations in each</w:t>
      </w:r>
      <w:r>
        <w:rPr>
          <w:spacing w:val="-26"/>
          <w:sz w:val="22"/>
        </w:rPr>
        <w:t> </w:t>
      </w:r>
      <w:r>
        <w:rPr>
          <w:sz w:val="22"/>
        </w:rPr>
        <w:t>setting.</w:t>
      </w:r>
    </w:p>
    <w:p>
      <w:pPr>
        <w:pStyle w:val="ListParagraph"/>
        <w:numPr>
          <w:ilvl w:val="0"/>
          <w:numId w:val="5"/>
        </w:numPr>
        <w:tabs>
          <w:tab w:pos="1009" w:val="left" w:leader="none"/>
          <w:tab w:pos="1011" w:val="left" w:leader="none"/>
        </w:tabs>
        <w:spacing w:line="240" w:lineRule="auto" w:before="1" w:after="0"/>
        <w:ind w:left="1010" w:right="0" w:hanging="362"/>
        <w:jc w:val="left"/>
        <w:rPr>
          <w:sz w:val="22"/>
        </w:rPr>
      </w:pPr>
      <w:r>
        <w:rPr>
          <w:sz w:val="22"/>
        </w:rPr>
        <w:t>Improved behaviour before and after school, in break times and between</w:t>
      </w:r>
      <w:r>
        <w:rPr>
          <w:spacing w:val="-9"/>
          <w:sz w:val="22"/>
        </w:rPr>
        <w:t> </w:t>
      </w:r>
      <w:r>
        <w:rPr>
          <w:sz w:val="22"/>
        </w:rPr>
        <w:t>lessons.</w:t>
      </w:r>
    </w:p>
    <w:p>
      <w:pPr>
        <w:pStyle w:val="BodyText"/>
      </w:pPr>
    </w:p>
    <w:p>
      <w:pPr>
        <w:pStyle w:val="BodyText"/>
        <w:ind w:left="289"/>
      </w:pPr>
      <w:r>
        <w:rPr/>
        <w:t>Increase student participation and engagement in their learning</w:t>
      </w:r>
    </w:p>
    <w:p>
      <w:pPr>
        <w:pStyle w:val="ListParagraph"/>
        <w:numPr>
          <w:ilvl w:val="0"/>
          <w:numId w:val="5"/>
        </w:numPr>
        <w:tabs>
          <w:tab w:pos="1009" w:val="left" w:leader="none"/>
          <w:tab w:pos="1011" w:val="left" w:leader="none"/>
        </w:tabs>
        <w:spacing w:line="240" w:lineRule="auto" w:before="1" w:after="0"/>
        <w:ind w:left="1010" w:right="417" w:hanging="361"/>
        <w:jc w:val="left"/>
        <w:rPr>
          <w:sz w:val="22"/>
        </w:rPr>
      </w:pPr>
      <w:r>
        <w:rPr>
          <w:sz w:val="22"/>
        </w:rPr>
        <w:t>Tokens and recognition of students’ effort in class is celebrated. Students were recognised during the Covid remote learning time, with verbal recognition on Seesaw and class google meet time, or written messages. Effort and achievement is celebrated during</w:t>
      </w:r>
      <w:r>
        <w:rPr>
          <w:spacing w:val="-7"/>
          <w:sz w:val="22"/>
        </w:rPr>
        <w:t> </w:t>
      </w:r>
      <w:r>
        <w:rPr>
          <w:sz w:val="22"/>
        </w:rPr>
        <w:t>assemblies.</w:t>
      </w:r>
    </w:p>
    <w:p>
      <w:pPr>
        <w:pStyle w:val="ListParagraph"/>
        <w:numPr>
          <w:ilvl w:val="0"/>
          <w:numId w:val="5"/>
        </w:numPr>
        <w:tabs>
          <w:tab w:pos="1009" w:val="left" w:leader="none"/>
          <w:tab w:pos="1011" w:val="left" w:leader="none"/>
        </w:tabs>
        <w:spacing w:line="240" w:lineRule="auto" w:before="0" w:after="0"/>
        <w:ind w:left="1010" w:right="565" w:hanging="361"/>
        <w:jc w:val="left"/>
        <w:rPr>
          <w:sz w:val="22"/>
        </w:rPr>
      </w:pPr>
      <w:r>
        <w:rPr>
          <w:sz w:val="22"/>
        </w:rPr>
        <w:t>The positive school culture is reflected in our recent Social and Emotional ACER data where 95.9% of boys and 94.1% of girls agree they get along with their</w:t>
      </w:r>
      <w:r>
        <w:rPr>
          <w:spacing w:val="-8"/>
          <w:sz w:val="22"/>
        </w:rPr>
        <w:t> </w:t>
      </w:r>
      <w:r>
        <w:rPr>
          <w:sz w:val="22"/>
        </w:rPr>
        <w:t>teachers.</w:t>
      </w:r>
    </w:p>
    <w:p>
      <w:pPr>
        <w:pStyle w:val="ListParagraph"/>
        <w:numPr>
          <w:ilvl w:val="0"/>
          <w:numId w:val="5"/>
        </w:numPr>
        <w:tabs>
          <w:tab w:pos="1009" w:val="left" w:leader="none"/>
          <w:tab w:pos="1011" w:val="left" w:leader="none"/>
        </w:tabs>
        <w:spacing w:line="240" w:lineRule="auto" w:before="0" w:after="0"/>
        <w:ind w:left="1010" w:right="369" w:hanging="361"/>
        <w:jc w:val="left"/>
        <w:rPr>
          <w:sz w:val="22"/>
        </w:rPr>
      </w:pPr>
      <w:r>
        <w:rPr>
          <w:sz w:val="22"/>
        </w:rPr>
        <w:t>Student agency and choice (simultaneous indoor/outdoor play) has been implemented in all preschool classes following reflection of our NQS Assessment and Rating</w:t>
      </w:r>
      <w:r>
        <w:rPr>
          <w:spacing w:val="-13"/>
          <w:sz w:val="22"/>
        </w:rPr>
        <w:t> </w:t>
      </w:r>
      <w:r>
        <w:rPr>
          <w:sz w:val="22"/>
        </w:rPr>
        <w:t>Recommendations.</w:t>
      </w:r>
    </w:p>
    <w:p>
      <w:pPr>
        <w:pStyle w:val="BodyText"/>
      </w:pPr>
    </w:p>
    <w:p>
      <w:pPr>
        <w:pStyle w:val="BodyText"/>
        <w:ind w:left="289"/>
      </w:pPr>
      <w:r>
        <w:rPr/>
        <w:t>Students receiving positive reward achievement levels for each behaviour</w:t>
      </w:r>
    </w:p>
    <w:p>
      <w:pPr>
        <w:spacing w:after="0"/>
        <w:sectPr>
          <w:pgSz w:w="11910" w:h="16840"/>
          <w:pgMar w:header="0" w:footer="1126" w:top="1420" w:bottom="1320" w:left="680" w:right="680"/>
        </w:sectPr>
      </w:pPr>
    </w:p>
    <w:p>
      <w:pPr>
        <w:pStyle w:val="ListParagraph"/>
        <w:numPr>
          <w:ilvl w:val="0"/>
          <w:numId w:val="5"/>
        </w:numPr>
        <w:tabs>
          <w:tab w:pos="1009" w:val="left" w:leader="none"/>
          <w:tab w:pos="1011" w:val="left" w:leader="none"/>
        </w:tabs>
        <w:spacing w:line="240" w:lineRule="auto" w:before="123" w:after="0"/>
        <w:ind w:left="1010" w:right="377" w:hanging="361"/>
        <w:jc w:val="left"/>
        <w:rPr>
          <w:sz w:val="22"/>
        </w:rPr>
      </w:pPr>
      <w:r>
        <w:rPr/>
        <w:pict>
          <v:shape style="position:absolute;margin-left:42.84pt;margin-top:.049055pt;width:509.75pt;height:299.6pt;mso-position-horizontal-relative:page;mso-position-vertical-relative:paragraph;z-index:-16175104" coordorigin="857,1" coordsize="10195,5992" path="m11052,5983l11042,5983,866,5983,857,5983,857,5992,866,5992,11042,5992,11052,5992,11052,5983xm11052,1l11042,1,866,1,857,1,857,11,857,123,857,5983,866,5983,866,123,866,11,11042,11,11042,123,11042,5983,11052,5983,11052,123,11052,11,11052,1xe" filled="true" fillcolor="#000000" stroked="false">
            <v:path arrowok="t"/>
            <v:fill type="solid"/>
            <w10:wrap type="none"/>
          </v:shape>
        </w:pict>
      </w:r>
      <w:r>
        <w:rPr>
          <w:sz w:val="22"/>
        </w:rPr>
        <w:t>The introduction of PBL and recognition certificates through the Continuum of Acknowledgements has increased the students' awareness of how they are progressing and what level they are</w:t>
      </w:r>
      <w:r>
        <w:rPr>
          <w:spacing w:val="-16"/>
          <w:sz w:val="22"/>
        </w:rPr>
        <w:t> </w:t>
      </w:r>
      <w:r>
        <w:rPr>
          <w:sz w:val="22"/>
        </w:rPr>
        <w:t>achieving.</w:t>
      </w:r>
    </w:p>
    <w:p>
      <w:pPr>
        <w:pStyle w:val="ListParagraph"/>
        <w:numPr>
          <w:ilvl w:val="0"/>
          <w:numId w:val="5"/>
        </w:numPr>
        <w:tabs>
          <w:tab w:pos="1009" w:val="left" w:leader="none"/>
          <w:tab w:pos="1011" w:val="left" w:leader="none"/>
        </w:tabs>
        <w:spacing w:line="240" w:lineRule="auto" w:before="1" w:after="0"/>
        <w:ind w:left="1010" w:right="527" w:hanging="361"/>
        <w:jc w:val="left"/>
        <w:rPr>
          <w:sz w:val="22"/>
        </w:rPr>
      </w:pPr>
      <w:r>
        <w:rPr>
          <w:sz w:val="22"/>
        </w:rPr>
        <w:t>Increase in students receiving certificates for all respect, safe, responsible and learning. Recognition through assemblies, also builds students self esteem, resulting in higher level behaviour in classroom and non-classroom settings in comparison to</w:t>
      </w:r>
      <w:r>
        <w:rPr>
          <w:spacing w:val="-5"/>
          <w:sz w:val="22"/>
        </w:rPr>
        <w:t> </w:t>
      </w:r>
      <w:r>
        <w:rPr>
          <w:sz w:val="22"/>
        </w:rPr>
        <w:t>2019.</w:t>
      </w:r>
    </w:p>
    <w:p>
      <w:pPr>
        <w:pStyle w:val="ListParagraph"/>
        <w:numPr>
          <w:ilvl w:val="0"/>
          <w:numId w:val="5"/>
        </w:numPr>
        <w:tabs>
          <w:tab w:pos="1009" w:val="left" w:leader="none"/>
          <w:tab w:pos="1011" w:val="left" w:leader="none"/>
        </w:tabs>
        <w:spacing w:line="279" w:lineRule="exact" w:before="0" w:after="0"/>
        <w:ind w:left="1010" w:right="0" w:hanging="362"/>
        <w:jc w:val="left"/>
        <w:rPr>
          <w:sz w:val="22"/>
        </w:rPr>
      </w:pPr>
      <w:r>
        <w:rPr>
          <w:sz w:val="22"/>
        </w:rPr>
        <w:t>Students awarded Bronze, Silver and Gold awards at assemblies totalling thousands of</w:t>
      </w:r>
      <w:r>
        <w:rPr>
          <w:spacing w:val="-11"/>
          <w:sz w:val="22"/>
        </w:rPr>
        <w:t> </w:t>
      </w:r>
      <w:r>
        <w:rPr>
          <w:sz w:val="22"/>
        </w:rPr>
        <w:t>awards.</w:t>
      </w:r>
    </w:p>
    <w:p>
      <w:pPr>
        <w:pStyle w:val="BodyText"/>
        <w:spacing w:before="1"/>
      </w:pPr>
    </w:p>
    <w:p>
      <w:pPr>
        <w:pStyle w:val="BodyText"/>
        <w:ind w:left="289"/>
      </w:pPr>
      <w:r>
        <w:rPr/>
        <w:t>Reduced incidences of negative behaviours</w:t>
      </w:r>
    </w:p>
    <w:p>
      <w:pPr>
        <w:pStyle w:val="ListParagraph"/>
        <w:numPr>
          <w:ilvl w:val="0"/>
          <w:numId w:val="5"/>
        </w:numPr>
        <w:tabs>
          <w:tab w:pos="1009" w:val="left" w:leader="none"/>
          <w:tab w:pos="1011" w:val="left" w:leader="none"/>
        </w:tabs>
        <w:spacing w:line="240" w:lineRule="auto" w:before="1" w:after="0"/>
        <w:ind w:left="1010" w:right="0" w:hanging="362"/>
        <w:jc w:val="left"/>
        <w:rPr>
          <w:sz w:val="22"/>
        </w:rPr>
      </w:pPr>
      <w:r>
        <w:rPr>
          <w:sz w:val="22"/>
        </w:rPr>
        <w:t>2020 data directly compared to 2019 data shows a significant decrease in negative</w:t>
      </w:r>
      <w:r>
        <w:rPr>
          <w:spacing w:val="-10"/>
          <w:sz w:val="22"/>
        </w:rPr>
        <w:t> </w:t>
      </w:r>
      <w:r>
        <w:rPr>
          <w:sz w:val="22"/>
        </w:rPr>
        <w:t>behaviours.</w:t>
      </w:r>
    </w:p>
    <w:p>
      <w:pPr>
        <w:pStyle w:val="ListParagraph"/>
        <w:numPr>
          <w:ilvl w:val="0"/>
          <w:numId w:val="5"/>
        </w:numPr>
        <w:tabs>
          <w:tab w:pos="1009" w:val="left" w:leader="none"/>
          <w:tab w:pos="1011" w:val="left" w:leader="none"/>
        </w:tabs>
        <w:spacing w:line="240" w:lineRule="auto" w:before="0" w:after="0"/>
        <w:ind w:left="1010" w:right="367" w:hanging="361"/>
        <w:jc w:val="left"/>
        <w:rPr>
          <w:sz w:val="22"/>
        </w:rPr>
      </w:pPr>
      <w:r>
        <w:rPr>
          <w:sz w:val="22"/>
        </w:rPr>
        <w:t>The introduction of more engaging and authentic play based preschool program resulted in a decrease in negative behaviour</w:t>
      </w:r>
      <w:r>
        <w:rPr>
          <w:spacing w:val="-4"/>
          <w:sz w:val="22"/>
        </w:rPr>
        <w:t> </w:t>
      </w:r>
      <w:r>
        <w:rPr>
          <w:sz w:val="22"/>
        </w:rPr>
        <w:t>incidences.</w:t>
      </w:r>
    </w:p>
    <w:p>
      <w:pPr>
        <w:pStyle w:val="BodyText"/>
        <w:spacing w:line="268" w:lineRule="exact"/>
        <w:ind w:left="649"/>
        <w:rPr>
          <w:rFonts w:ascii="Symbol" w:hAnsi="Symbol"/>
        </w:rPr>
      </w:pPr>
      <w:r>
        <w:rPr>
          <w:rFonts w:ascii="Symbol" w:hAnsi="Symbol"/>
          <w:w w:val="100"/>
        </w:rPr>
        <w:t></w:t>
      </w:r>
    </w:p>
    <w:p>
      <w:pPr>
        <w:pStyle w:val="BodyText"/>
        <w:spacing w:before="11"/>
        <w:ind w:left="289"/>
      </w:pPr>
      <w:r>
        <w:rPr/>
        <w:t>Increased levels of positive student driven initiatives across the school</w:t>
      </w:r>
    </w:p>
    <w:p>
      <w:pPr>
        <w:pStyle w:val="ListParagraph"/>
        <w:numPr>
          <w:ilvl w:val="0"/>
          <w:numId w:val="5"/>
        </w:numPr>
        <w:tabs>
          <w:tab w:pos="1009" w:val="left" w:leader="none"/>
          <w:tab w:pos="1011" w:val="left" w:leader="none"/>
        </w:tabs>
        <w:spacing w:line="240" w:lineRule="auto" w:before="0" w:after="0"/>
        <w:ind w:left="1010" w:right="558" w:hanging="361"/>
        <w:jc w:val="left"/>
        <w:rPr>
          <w:sz w:val="22"/>
        </w:rPr>
      </w:pPr>
      <w:r>
        <w:rPr>
          <w:sz w:val="22"/>
        </w:rPr>
        <w:t>The primary SRC introduced ‘no waste’ and “waste free lunches’ and sustainable gardens to beautify the school and promote a culture of caring for school grounds. While Year 6 SRC students regularly volunteer in the</w:t>
      </w:r>
      <w:r>
        <w:rPr>
          <w:spacing w:val="-3"/>
          <w:sz w:val="22"/>
        </w:rPr>
        <w:t> </w:t>
      </w:r>
      <w:r>
        <w:rPr>
          <w:sz w:val="22"/>
        </w:rPr>
        <w:t>canteen.</w:t>
      </w:r>
    </w:p>
    <w:p>
      <w:pPr>
        <w:pStyle w:val="ListParagraph"/>
        <w:numPr>
          <w:ilvl w:val="0"/>
          <w:numId w:val="5"/>
        </w:numPr>
        <w:tabs>
          <w:tab w:pos="1009" w:val="left" w:leader="none"/>
          <w:tab w:pos="1011" w:val="left" w:leader="none"/>
        </w:tabs>
        <w:spacing w:line="240" w:lineRule="auto" w:before="2" w:after="0"/>
        <w:ind w:left="1010" w:right="460" w:hanging="361"/>
        <w:jc w:val="left"/>
        <w:rPr>
          <w:sz w:val="22"/>
        </w:rPr>
      </w:pPr>
      <w:r>
        <w:rPr>
          <w:sz w:val="22"/>
        </w:rPr>
        <w:t>Each term our Preschool classes have made class norms using PBL language and values with the children. Child-directed learning has ensured each child's agency is promoted, enabling them to make choices in the daily routines and decisions that influence</w:t>
      </w:r>
      <w:r>
        <w:rPr>
          <w:spacing w:val="-8"/>
          <w:sz w:val="22"/>
        </w:rPr>
        <w:t> </w:t>
      </w:r>
      <w:r>
        <w:rPr>
          <w:sz w:val="22"/>
        </w:rPr>
        <w:t>them.</w:t>
      </w:r>
    </w:p>
    <w:p>
      <w:pPr>
        <w:pStyle w:val="ListParagraph"/>
        <w:numPr>
          <w:ilvl w:val="0"/>
          <w:numId w:val="5"/>
        </w:numPr>
        <w:tabs>
          <w:tab w:pos="1009" w:val="left" w:leader="none"/>
          <w:tab w:pos="1011" w:val="left" w:leader="none"/>
        </w:tabs>
        <w:spacing w:line="240" w:lineRule="auto" w:before="0" w:after="0"/>
        <w:ind w:left="1010" w:right="550" w:hanging="361"/>
        <w:jc w:val="left"/>
        <w:rPr>
          <w:sz w:val="22"/>
        </w:rPr>
      </w:pPr>
      <w:r>
        <w:rPr>
          <w:sz w:val="22"/>
        </w:rPr>
        <w:t>Secondary students have developed and participated in initiatives across the school - SL@M, PEARLS fundraisers, recycling, Create-a-cafe, pop up cafe, Building foundations- building</w:t>
      </w:r>
      <w:r>
        <w:rPr>
          <w:spacing w:val="-13"/>
          <w:sz w:val="22"/>
        </w:rPr>
        <w:t> </w:t>
      </w:r>
      <w:r>
        <w:rPr>
          <w:sz w:val="22"/>
        </w:rPr>
        <w:t>projects.</w:t>
      </w:r>
    </w:p>
    <w:p>
      <w:pPr>
        <w:pStyle w:val="BodyText"/>
        <w:rPr>
          <w:sz w:val="20"/>
        </w:rPr>
      </w:pPr>
    </w:p>
    <w:p>
      <w:pPr>
        <w:pStyle w:val="BodyText"/>
        <w:rPr>
          <w:sz w:val="24"/>
        </w:rPr>
      </w:pPr>
    </w:p>
    <w:p>
      <w:pPr>
        <w:pStyle w:val="BodyText"/>
        <w:spacing w:before="94"/>
        <w:ind w:left="760"/>
        <w:rPr>
          <w:rFonts w:ascii="Arial"/>
        </w:rPr>
      </w:pPr>
      <w:r>
        <w:rPr/>
        <w:pict>
          <v:shape style="position:absolute;margin-left:39.959999pt;margin-top:23.657862pt;width:515.5pt;height:119.2pt;mso-position-horizontal-relative:page;mso-position-vertical-relative:paragraph;z-index:-15726592;mso-wrap-distance-left:0;mso-wrap-distance-right:0" type="#_x0000_t202" filled="false" stroked="true" strokeweight=".47998pt" strokecolor="#000000">
            <v:textbox inset="0,0,0,0">
              <w:txbxContent>
                <w:p>
                  <w:pPr>
                    <w:spacing w:before="112"/>
                    <w:ind w:left="103" w:right="0" w:firstLine="0"/>
                    <w:jc w:val="left"/>
                    <w:rPr>
                      <w:b/>
                      <w:sz w:val="22"/>
                    </w:rPr>
                  </w:pPr>
                  <w:r>
                    <w:rPr>
                      <w:b/>
                      <w:sz w:val="22"/>
                    </w:rPr>
                    <w:t>Enhance Cultural Integrity Practices across the school</w:t>
                  </w:r>
                </w:p>
                <w:p>
                  <w:pPr>
                    <w:pStyle w:val="BodyText"/>
                    <w:ind w:left="103" w:right="908"/>
                  </w:pPr>
                  <w:r>
                    <w:rPr/>
                    <w:t>Continue to embed cultural integrity understanding across the school according to the Cultural Integrity Implementation Plan.</w:t>
                  </w:r>
                </w:p>
                <w:p>
                  <w:pPr>
                    <w:pStyle w:val="BodyText"/>
                    <w:spacing w:before="11"/>
                    <w:rPr>
                      <w:sz w:val="21"/>
                    </w:rPr>
                  </w:pPr>
                </w:p>
                <w:p>
                  <w:pPr>
                    <w:spacing w:before="0"/>
                    <w:ind w:left="103" w:right="0" w:firstLine="0"/>
                    <w:jc w:val="left"/>
                    <w:rPr>
                      <w:b/>
                      <w:sz w:val="22"/>
                    </w:rPr>
                  </w:pPr>
                  <w:r>
                    <w:rPr>
                      <w:b/>
                      <w:sz w:val="22"/>
                    </w:rPr>
                    <w:t>Whole school implementation of Positive Behaviours for Learning (PBL)</w:t>
                  </w:r>
                </w:p>
                <w:p>
                  <w:pPr>
                    <w:pStyle w:val="BodyText"/>
                    <w:ind w:left="103" w:right="339"/>
                  </w:pPr>
                  <w:r>
                    <w:rPr/>
                    <w:t>Embed the acknowledgement of positive behaviour in playground settings through the use of a card system in Secondary.</w:t>
                  </w:r>
                </w:p>
                <w:p>
                  <w:pPr>
                    <w:pStyle w:val="BodyText"/>
                    <w:spacing w:before="1"/>
                    <w:ind w:left="103"/>
                  </w:pPr>
                  <w:r>
                    <w:rPr/>
                    <w:t>Implement targeted lessons on behaviour expectations in the Secondary classroom settings.</w:t>
                  </w:r>
                </w:p>
              </w:txbxContent>
            </v:textbox>
            <v:stroke dashstyle="solid"/>
            <w10:wrap type="topAndBottom"/>
          </v:shape>
        </w:pict>
      </w:r>
      <w:r>
        <w:rPr>
          <w:rFonts w:ascii="Arial"/>
          <w:color w:val="1F4D78"/>
        </w:rPr>
        <w:t>Challenges we will address in our next Action Plan</w:t>
      </w:r>
    </w:p>
    <w:p>
      <w:pPr>
        <w:pStyle w:val="BodyText"/>
        <w:spacing w:before="5"/>
        <w:rPr>
          <w:rFonts w:ascii="Arial"/>
          <w:sz w:val="23"/>
        </w:rPr>
      </w:pPr>
    </w:p>
    <w:p>
      <w:pPr>
        <w:pStyle w:val="Heading1"/>
        <w:tabs>
          <w:tab w:pos="2037" w:val="left" w:leader="none"/>
        </w:tabs>
        <w:rPr>
          <w:rFonts w:ascii="Calibri"/>
        </w:rPr>
      </w:pPr>
      <w:r>
        <w:rPr>
          <w:color w:val="1F4E79"/>
        </w:rPr>
        <w:t>Priority</w:t>
      </w:r>
      <w:r>
        <w:rPr>
          <w:color w:val="1F4E79"/>
          <w:spacing w:val="-1"/>
        </w:rPr>
        <w:t> </w:t>
      </w:r>
      <w:r>
        <w:rPr>
          <w:color w:val="1F4E79"/>
        </w:rPr>
        <w:t>2:</w:t>
        <w:tab/>
      </w:r>
      <w:r>
        <w:rPr>
          <w:rFonts w:ascii="Calibri"/>
        </w:rPr>
        <w:t>Improve student outcomes in reading and</w:t>
      </w:r>
      <w:r>
        <w:rPr>
          <w:rFonts w:ascii="Calibri"/>
          <w:spacing w:val="-2"/>
        </w:rPr>
        <w:t> </w:t>
      </w:r>
      <w:r>
        <w:rPr>
          <w:rFonts w:ascii="Calibri"/>
        </w:rPr>
        <w:t>numeracy.</w:t>
      </w:r>
    </w:p>
    <w:p>
      <w:pPr>
        <w:spacing w:before="145"/>
        <w:ind w:left="760" w:right="0" w:firstLine="0"/>
        <w:jc w:val="left"/>
        <w:rPr>
          <w:rFonts w:ascii="Arial"/>
          <w:sz w:val="24"/>
        </w:rPr>
      </w:pPr>
      <w:r>
        <w:rPr>
          <w:rFonts w:ascii="Arial"/>
          <w:color w:val="1F4E79"/>
          <w:sz w:val="24"/>
        </w:rPr>
        <w:t>Targets or measures</w:t>
      </w:r>
    </w:p>
    <w:p>
      <w:pPr>
        <w:pStyle w:val="BodyText"/>
        <w:spacing w:before="141"/>
        <w:ind w:left="760"/>
      </w:pPr>
      <w:r>
        <w:rPr/>
        <w:t>By the end of 2021 we will achieve:</w:t>
      </w:r>
    </w:p>
    <w:p>
      <w:pPr>
        <w:pStyle w:val="ListParagraph"/>
        <w:numPr>
          <w:ilvl w:val="1"/>
          <w:numId w:val="5"/>
        </w:numPr>
        <w:tabs>
          <w:tab w:pos="1480" w:val="left" w:leader="none"/>
          <w:tab w:pos="1481" w:val="left" w:leader="none"/>
        </w:tabs>
        <w:spacing w:line="240" w:lineRule="auto" w:before="120" w:after="0"/>
        <w:ind w:left="1480" w:right="0" w:hanging="361"/>
        <w:jc w:val="left"/>
        <w:rPr>
          <w:sz w:val="22"/>
        </w:rPr>
      </w:pPr>
      <w:r>
        <w:rPr>
          <w:sz w:val="22"/>
        </w:rPr>
        <w:t>80% of students achieving expected growth in PIP’s reading and 70% of students</w:t>
      </w:r>
      <w:r>
        <w:rPr>
          <w:spacing w:val="-21"/>
          <w:sz w:val="22"/>
        </w:rPr>
        <w:t> </w:t>
      </w:r>
      <w:r>
        <w:rPr>
          <w:sz w:val="22"/>
        </w:rPr>
        <w:t>achieving</w:t>
      </w:r>
    </w:p>
    <w:p>
      <w:pPr>
        <w:pStyle w:val="BodyText"/>
        <w:spacing w:line="268" w:lineRule="exact"/>
        <w:ind w:left="1480"/>
      </w:pPr>
      <w:r>
        <w:rPr/>
        <w:t>expected growth in PIP’s maths</w:t>
      </w:r>
    </w:p>
    <w:p>
      <w:pPr>
        <w:pStyle w:val="ListParagraph"/>
        <w:numPr>
          <w:ilvl w:val="1"/>
          <w:numId w:val="5"/>
        </w:numPr>
        <w:tabs>
          <w:tab w:pos="1480" w:val="left" w:leader="none"/>
          <w:tab w:pos="1481" w:val="left" w:leader="none"/>
        </w:tabs>
        <w:spacing w:line="240" w:lineRule="auto" w:before="0" w:after="0"/>
        <w:ind w:left="1480" w:right="774" w:hanging="360"/>
        <w:jc w:val="left"/>
        <w:rPr>
          <w:sz w:val="22"/>
        </w:rPr>
      </w:pPr>
      <w:r>
        <w:rPr>
          <w:sz w:val="22"/>
        </w:rPr>
        <w:t>Year 3 achieve a mean score within confidence interval of our system targets for reading and numeracy</w:t>
      </w:r>
    </w:p>
    <w:p>
      <w:pPr>
        <w:pStyle w:val="ListParagraph"/>
        <w:numPr>
          <w:ilvl w:val="1"/>
          <w:numId w:val="5"/>
        </w:numPr>
        <w:tabs>
          <w:tab w:pos="1480" w:val="left" w:leader="none"/>
          <w:tab w:pos="1481" w:val="left" w:leader="none"/>
        </w:tabs>
        <w:spacing w:line="240" w:lineRule="auto" w:before="1" w:after="0"/>
        <w:ind w:left="1480" w:right="980" w:hanging="360"/>
        <w:jc w:val="left"/>
        <w:rPr>
          <w:sz w:val="22"/>
        </w:rPr>
      </w:pPr>
      <w:r>
        <w:rPr>
          <w:sz w:val="22"/>
        </w:rPr>
        <w:t>2%-point improvement per annum of students achieving expected growth in Years 5,7,9 in reading and in</w:t>
      </w:r>
      <w:r>
        <w:rPr>
          <w:spacing w:val="-4"/>
          <w:sz w:val="22"/>
        </w:rPr>
        <w:t> </w:t>
      </w:r>
      <w:r>
        <w:rPr>
          <w:sz w:val="22"/>
        </w:rPr>
        <w:t>numeracy</w:t>
      </w:r>
    </w:p>
    <w:p>
      <w:pPr>
        <w:pStyle w:val="BodyText"/>
        <w:spacing w:before="11"/>
        <w:rPr>
          <w:sz w:val="31"/>
        </w:rPr>
      </w:pPr>
    </w:p>
    <w:p>
      <w:pPr>
        <w:pStyle w:val="BodyText"/>
        <w:ind w:left="760"/>
      </w:pPr>
      <w:r>
        <w:rPr/>
        <w:t>In 2020 we implemented this priority through the following strategies.</w:t>
      </w:r>
    </w:p>
    <w:p>
      <w:pPr>
        <w:pStyle w:val="Heading2"/>
        <w:spacing w:before="120"/>
        <w:ind w:left="760"/>
      </w:pPr>
      <w:r>
        <w:rPr/>
        <w:t>Embed Future Focused Personalised Learning practices across the school</w:t>
      </w:r>
    </w:p>
    <w:p>
      <w:pPr>
        <w:spacing w:after="0"/>
        <w:sectPr>
          <w:pgSz w:w="11910" w:h="16840"/>
          <w:pgMar w:header="0" w:footer="1126" w:top="1420" w:bottom="1320" w:left="680" w:right="680"/>
        </w:sectPr>
      </w:pPr>
    </w:p>
    <w:p>
      <w:pPr>
        <w:pStyle w:val="ListParagraph"/>
        <w:numPr>
          <w:ilvl w:val="1"/>
          <w:numId w:val="5"/>
        </w:numPr>
        <w:tabs>
          <w:tab w:pos="1480" w:val="left" w:leader="none"/>
          <w:tab w:pos="1481" w:val="left" w:leader="none"/>
        </w:tabs>
        <w:spacing w:line="240" w:lineRule="auto" w:before="81" w:after="0"/>
        <w:ind w:left="1480" w:right="0" w:hanging="361"/>
        <w:jc w:val="left"/>
        <w:rPr>
          <w:sz w:val="22"/>
        </w:rPr>
      </w:pPr>
      <w:r>
        <w:rPr>
          <w:sz w:val="22"/>
        </w:rPr>
        <w:t>Coherent education pathway of curriculum, pedagogy and assessment from</w:t>
      </w:r>
      <w:r>
        <w:rPr>
          <w:spacing w:val="-23"/>
          <w:sz w:val="22"/>
        </w:rPr>
        <w:t> </w:t>
      </w:r>
      <w:r>
        <w:rPr>
          <w:sz w:val="22"/>
        </w:rPr>
        <w:t>P-10</w:t>
      </w:r>
    </w:p>
    <w:p>
      <w:pPr>
        <w:pStyle w:val="ListParagraph"/>
        <w:numPr>
          <w:ilvl w:val="1"/>
          <w:numId w:val="5"/>
        </w:numPr>
        <w:tabs>
          <w:tab w:pos="1480" w:val="left" w:leader="none"/>
          <w:tab w:pos="1481" w:val="left" w:leader="none"/>
        </w:tabs>
        <w:spacing w:line="240" w:lineRule="auto" w:before="181" w:after="0"/>
        <w:ind w:left="1480" w:right="0" w:hanging="361"/>
        <w:jc w:val="left"/>
        <w:rPr>
          <w:sz w:val="22"/>
        </w:rPr>
      </w:pPr>
      <w:r>
        <w:rPr>
          <w:sz w:val="22"/>
        </w:rPr>
        <w:t>Gifted and Talented students engaged and extended to achieve expected</w:t>
      </w:r>
      <w:r>
        <w:rPr>
          <w:spacing w:val="-13"/>
          <w:sz w:val="22"/>
        </w:rPr>
        <w:t> </w:t>
      </w:r>
      <w:r>
        <w:rPr>
          <w:sz w:val="22"/>
        </w:rPr>
        <w:t>growth</w:t>
      </w:r>
    </w:p>
    <w:p>
      <w:pPr>
        <w:pStyle w:val="ListParagraph"/>
        <w:numPr>
          <w:ilvl w:val="1"/>
          <w:numId w:val="5"/>
        </w:numPr>
        <w:tabs>
          <w:tab w:pos="1480" w:val="left" w:leader="none"/>
          <w:tab w:pos="1481" w:val="left" w:leader="none"/>
        </w:tabs>
        <w:spacing w:line="240" w:lineRule="auto" w:before="22" w:after="0"/>
        <w:ind w:left="1480" w:right="0" w:hanging="361"/>
        <w:jc w:val="left"/>
        <w:rPr>
          <w:sz w:val="22"/>
        </w:rPr>
      </w:pPr>
      <w:r>
        <w:rPr>
          <w:sz w:val="22"/>
        </w:rPr>
        <w:t>Response to Intervention targeted students supported to achieve at expected</w:t>
      </w:r>
      <w:r>
        <w:rPr>
          <w:spacing w:val="-7"/>
          <w:sz w:val="22"/>
        </w:rPr>
        <w:t> </w:t>
      </w:r>
      <w:r>
        <w:rPr>
          <w:sz w:val="22"/>
        </w:rPr>
        <w:t>levels</w:t>
      </w:r>
    </w:p>
    <w:p>
      <w:pPr>
        <w:pStyle w:val="ListParagraph"/>
        <w:numPr>
          <w:ilvl w:val="1"/>
          <w:numId w:val="5"/>
        </w:numPr>
        <w:tabs>
          <w:tab w:pos="1480" w:val="left" w:leader="none"/>
          <w:tab w:pos="1481" w:val="left" w:leader="none"/>
        </w:tabs>
        <w:spacing w:line="240" w:lineRule="auto" w:before="181" w:after="0"/>
        <w:ind w:left="1480" w:right="0" w:hanging="361"/>
        <w:jc w:val="left"/>
        <w:rPr>
          <w:sz w:val="22"/>
        </w:rPr>
      </w:pPr>
      <w:r>
        <w:rPr>
          <w:sz w:val="22"/>
        </w:rPr>
        <w:t>Improved Inclusion Support Program student transitions</w:t>
      </w:r>
    </w:p>
    <w:p>
      <w:pPr>
        <w:pStyle w:val="ListParagraph"/>
        <w:numPr>
          <w:ilvl w:val="1"/>
          <w:numId w:val="5"/>
        </w:numPr>
        <w:tabs>
          <w:tab w:pos="1480" w:val="left" w:leader="none"/>
          <w:tab w:pos="1481" w:val="left" w:leader="none"/>
        </w:tabs>
        <w:spacing w:line="240" w:lineRule="auto" w:before="22" w:after="0"/>
        <w:ind w:left="1480" w:right="0" w:hanging="361"/>
        <w:jc w:val="left"/>
        <w:rPr>
          <w:sz w:val="22"/>
        </w:rPr>
      </w:pPr>
      <w:r>
        <w:rPr>
          <w:sz w:val="22"/>
        </w:rPr>
        <w:t>Improved levels of student agency within preschool programs and</w:t>
      </w:r>
      <w:r>
        <w:rPr>
          <w:spacing w:val="-10"/>
          <w:sz w:val="22"/>
        </w:rPr>
        <w:t> </w:t>
      </w:r>
      <w:r>
        <w:rPr>
          <w:sz w:val="22"/>
        </w:rPr>
        <w:t>groupings</w:t>
      </w:r>
    </w:p>
    <w:p>
      <w:pPr>
        <w:spacing w:before="180"/>
        <w:ind w:left="760" w:right="1343" w:firstLine="0"/>
        <w:jc w:val="left"/>
        <w:rPr>
          <w:i/>
          <w:sz w:val="22"/>
        </w:rPr>
      </w:pPr>
      <w:r>
        <w:rPr>
          <w:i/>
          <w:sz w:val="22"/>
        </w:rPr>
        <w:t>Below is our progress towards our five-year targets with an emphasis on the accumulation and </w:t>
      </w:r>
      <w:r>
        <w:rPr>
          <w:i/>
          <w:sz w:val="22"/>
        </w:rPr>
        <w:t>analysis of evidence over the term of our plan.</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8"/>
        <w:rPr>
          <w:i/>
          <w:sz w:val="19"/>
        </w:rPr>
      </w:pPr>
    </w:p>
    <w:p>
      <w:pPr>
        <w:spacing w:before="0"/>
        <w:ind w:left="760" w:right="0" w:firstLine="0"/>
        <w:jc w:val="left"/>
        <w:rPr>
          <w:rFonts w:ascii="Calibri Light"/>
          <w:b w:val="0"/>
          <w:i/>
          <w:sz w:val="22"/>
        </w:rPr>
      </w:pPr>
      <w:r>
        <w:rPr>
          <w:rFonts w:ascii="Calibri Light"/>
          <w:b w:val="0"/>
          <w:i/>
          <w:color w:val="1F4E79"/>
          <w:sz w:val="22"/>
        </w:rPr>
        <w:t>Student learning data </w:t>
      </w: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53"/>
        <w:gridCol w:w="849"/>
        <w:gridCol w:w="852"/>
        <w:gridCol w:w="849"/>
        <w:gridCol w:w="851"/>
        <w:gridCol w:w="991"/>
        <w:gridCol w:w="851"/>
      </w:tblGrid>
      <w:tr>
        <w:trPr>
          <w:trHeight w:val="652" w:hRule="atLeast"/>
        </w:trPr>
        <w:tc>
          <w:tcPr>
            <w:tcW w:w="4253" w:type="dxa"/>
          </w:tcPr>
          <w:p>
            <w:pPr>
              <w:pStyle w:val="TableParagraph"/>
              <w:rPr>
                <w:b/>
                <w:sz w:val="22"/>
              </w:rPr>
            </w:pPr>
            <w:r>
              <w:rPr>
                <w:b/>
                <w:sz w:val="22"/>
              </w:rPr>
              <w:t>Targets or Measures</w:t>
            </w:r>
          </w:p>
          <w:p>
            <w:pPr>
              <w:pStyle w:val="TableParagraph"/>
              <w:spacing w:before="1"/>
              <w:rPr>
                <w:sz w:val="22"/>
              </w:rPr>
            </w:pPr>
            <w:r>
              <w:rPr>
                <w:sz w:val="22"/>
              </w:rPr>
              <w:t>PIP’s (BASE) Reading and Numeracy data</w:t>
            </w:r>
          </w:p>
        </w:tc>
        <w:tc>
          <w:tcPr>
            <w:tcW w:w="849" w:type="dxa"/>
          </w:tcPr>
          <w:p>
            <w:pPr>
              <w:pStyle w:val="TableParagraph"/>
              <w:ind w:left="191" w:right="176"/>
              <w:jc w:val="center"/>
              <w:rPr>
                <w:b/>
                <w:sz w:val="22"/>
              </w:rPr>
            </w:pPr>
            <w:r>
              <w:rPr>
                <w:b/>
                <w:sz w:val="22"/>
              </w:rPr>
              <w:t>Base</w:t>
            </w:r>
          </w:p>
        </w:tc>
        <w:tc>
          <w:tcPr>
            <w:tcW w:w="852" w:type="dxa"/>
          </w:tcPr>
          <w:p>
            <w:pPr>
              <w:pStyle w:val="TableParagraph"/>
              <w:ind w:left="140"/>
              <w:rPr>
                <w:b/>
                <w:sz w:val="22"/>
              </w:rPr>
            </w:pPr>
            <w:r>
              <w:rPr>
                <w:b/>
                <w:sz w:val="22"/>
              </w:rPr>
              <w:t>Year 1</w:t>
            </w:r>
          </w:p>
          <w:p>
            <w:pPr>
              <w:pStyle w:val="TableParagraph"/>
              <w:spacing w:before="1"/>
              <w:ind w:left="202"/>
              <w:rPr>
                <w:b/>
                <w:sz w:val="22"/>
              </w:rPr>
            </w:pPr>
            <w:r>
              <w:rPr>
                <w:b/>
                <w:sz w:val="22"/>
              </w:rPr>
              <w:t>2017</w:t>
            </w:r>
          </w:p>
        </w:tc>
        <w:tc>
          <w:tcPr>
            <w:tcW w:w="849" w:type="dxa"/>
          </w:tcPr>
          <w:p>
            <w:pPr>
              <w:pStyle w:val="TableParagraph"/>
              <w:ind w:left="140"/>
              <w:rPr>
                <w:b/>
                <w:sz w:val="22"/>
              </w:rPr>
            </w:pPr>
            <w:r>
              <w:rPr>
                <w:b/>
                <w:sz w:val="22"/>
              </w:rPr>
              <w:t>Year 2</w:t>
            </w:r>
          </w:p>
          <w:p>
            <w:pPr>
              <w:pStyle w:val="TableParagraph"/>
              <w:spacing w:before="1"/>
              <w:ind w:left="202"/>
              <w:rPr>
                <w:b/>
                <w:sz w:val="22"/>
              </w:rPr>
            </w:pPr>
            <w:r>
              <w:rPr>
                <w:b/>
                <w:sz w:val="22"/>
              </w:rPr>
              <w:t>2018</w:t>
            </w:r>
          </w:p>
        </w:tc>
        <w:tc>
          <w:tcPr>
            <w:tcW w:w="851" w:type="dxa"/>
          </w:tcPr>
          <w:p>
            <w:pPr>
              <w:pStyle w:val="TableParagraph"/>
              <w:ind w:left="140"/>
              <w:rPr>
                <w:b/>
                <w:sz w:val="22"/>
              </w:rPr>
            </w:pPr>
            <w:r>
              <w:rPr>
                <w:b/>
                <w:sz w:val="22"/>
              </w:rPr>
              <w:t>Year 3</w:t>
            </w:r>
          </w:p>
          <w:p>
            <w:pPr>
              <w:pStyle w:val="TableParagraph"/>
              <w:spacing w:before="1"/>
              <w:ind w:left="203"/>
              <w:rPr>
                <w:b/>
                <w:sz w:val="22"/>
              </w:rPr>
            </w:pPr>
            <w:r>
              <w:rPr>
                <w:b/>
                <w:sz w:val="22"/>
              </w:rPr>
              <w:t>2019</w:t>
            </w:r>
          </w:p>
        </w:tc>
        <w:tc>
          <w:tcPr>
            <w:tcW w:w="991" w:type="dxa"/>
          </w:tcPr>
          <w:p>
            <w:pPr>
              <w:pStyle w:val="TableParagraph"/>
              <w:ind w:left="209"/>
              <w:rPr>
                <w:b/>
                <w:sz w:val="22"/>
              </w:rPr>
            </w:pPr>
            <w:r>
              <w:rPr>
                <w:b/>
                <w:sz w:val="22"/>
              </w:rPr>
              <w:t>Year 4</w:t>
            </w:r>
          </w:p>
          <w:p>
            <w:pPr>
              <w:pStyle w:val="TableParagraph"/>
              <w:spacing w:before="1"/>
              <w:ind w:left="274"/>
              <w:rPr>
                <w:b/>
                <w:sz w:val="22"/>
              </w:rPr>
            </w:pPr>
            <w:r>
              <w:rPr>
                <w:b/>
                <w:sz w:val="22"/>
              </w:rPr>
              <w:t>2020</w:t>
            </w:r>
          </w:p>
        </w:tc>
        <w:tc>
          <w:tcPr>
            <w:tcW w:w="851" w:type="dxa"/>
          </w:tcPr>
          <w:p>
            <w:pPr>
              <w:pStyle w:val="TableParagraph"/>
              <w:ind w:left="142"/>
              <w:rPr>
                <w:b/>
                <w:sz w:val="22"/>
              </w:rPr>
            </w:pPr>
            <w:r>
              <w:rPr>
                <w:b/>
                <w:sz w:val="22"/>
              </w:rPr>
              <w:t>Year 5</w:t>
            </w:r>
          </w:p>
        </w:tc>
      </w:tr>
      <w:tr>
        <w:trPr>
          <w:trHeight w:val="650" w:hRule="atLeast"/>
        </w:trPr>
        <w:tc>
          <w:tcPr>
            <w:tcW w:w="4253" w:type="dxa"/>
          </w:tcPr>
          <w:p>
            <w:pPr>
              <w:pStyle w:val="TableParagraph"/>
              <w:rPr>
                <w:sz w:val="22"/>
              </w:rPr>
            </w:pPr>
            <w:r>
              <w:rPr>
                <w:sz w:val="22"/>
              </w:rPr>
              <w:t>% of students achieving expected growth in</w:t>
            </w:r>
          </w:p>
          <w:p>
            <w:pPr>
              <w:pStyle w:val="TableParagraph"/>
              <w:spacing w:before="1"/>
              <w:rPr>
                <w:b/>
                <w:sz w:val="22"/>
              </w:rPr>
            </w:pPr>
            <w:r>
              <w:rPr>
                <w:b/>
                <w:sz w:val="22"/>
              </w:rPr>
              <w:t>PIP’s </w:t>
            </w:r>
            <w:r>
              <w:rPr>
                <w:sz w:val="22"/>
              </w:rPr>
              <w:t>(BASE) </w:t>
            </w:r>
            <w:r>
              <w:rPr>
                <w:b/>
                <w:sz w:val="22"/>
              </w:rPr>
              <w:t>reading</w:t>
            </w:r>
          </w:p>
        </w:tc>
        <w:tc>
          <w:tcPr>
            <w:tcW w:w="849" w:type="dxa"/>
          </w:tcPr>
          <w:p>
            <w:pPr>
              <w:pStyle w:val="TableParagraph"/>
              <w:ind w:left="11"/>
              <w:jc w:val="center"/>
              <w:rPr>
                <w:sz w:val="22"/>
              </w:rPr>
            </w:pPr>
            <w:r>
              <w:rPr>
                <w:w w:val="100"/>
                <w:sz w:val="22"/>
              </w:rPr>
              <w:t>-</w:t>
            </w:r>
          </w:p>
        </w:tc>
        <w:tc>
          <w:tcPr>
            <w:tcW w:w="852" w:type="dxa"/>
          </w:tcPr>
          <w:p>
            <w:pPr>
              <w:pStyle w:val="TableParagraph"/>
              <w:ind w:left="211" w:right="200"/>
              <w:jc w:val="center"/>
              <w:rPr>
                <w:sz w:val="22"/>
              </w:rPr>
            </w:pPr>
            <w:r>
              <w:rPr>
                <w:sz w:val="22"/>
              </w:rPr>
              <w:t>76%</w:t>
            </w:r>
          </w:p>
        </w:tc>
        <w:tc>
          <w:tcPr>
            <w:tcW w:w="849" w:type="dxa"/>
          </w:tcPr>
          <w:p>
            <w:pPr>
              <w:pStyle w:val="TableParagraph"/>
              <w:ind w:left="190" w:right="176"/>
              <w:jc w:val="center"/>
              <w:rPr>
                <w:sz w:val="22"/>
              </w:rPr>
            </w:pPr>
            <w:r>
              <w:rPr>
                <w:sz w:val="22"/>
              </w:rPr>
              <w:t>76%</w:t>
            </w:r>
          </w:p>
        </w:tc>
        <w:tc>
          <w:tcPr>
            <w:tcW w:w="851" w:type="dxa"/>
          </w:tcPr>
          <w:p>
            <w:pPr>
              <w:pStyle w:val="TableParagraph"/>
              <w:ind w:left="216" w:right="203"/>
              <w:jc w:val="center"/>
              <w:rPr>
                <w:sz w:val="22"/>
              </w:rPr>
            </w:pPr>
            <w:r>
              <w:rPr>
                <w:sz w:val="22"/>
              </w:rPr>
              <w:t>68%</w:t>
            </w:r>
          </w:p>
        </w:tc>
        <w:tc>
          <w:tcPr>
            <w:tcW w:w="991" w:type="dxa"/>
          </w:tcPr>
          <w:p>
            <w:pPr>
              <w:pStyle w:val="TableParagraph"/>
              <w:ind w:left="300" w:right="286"/>
              <w:jc w:val="center"/>
              <w:rPr>
                <w:sz w:val="22"/>
              </w:rPr>
            </w:pPr>
            <w:r>
              <w:rPr>
                <w:sz w:val="22"/>
              </w:rPr>
              <w:t>TBA</w:t>
            </w:r>
          </w:p>
        </w:tc>
        <w:tc>
          <w:tcPr>
            <w:tcW w:w="851" w:type="dxa"/>
          </w:tcPr>
          <w:p>
            <w:pPr>
              <w:pStyle w:val="TableParagraph"/>
              <w:spacing w:before="0"/>
              <w:ind w:left="0"/>
              <w:rPr>
                <w:rFonts w:ascii="Times New Roman"/>
                <w:sz w:val="20"/>
              </w:rPr>
            </w:pPr>
          </w:p>
        </w:tc>
      </w:tr>
      <w:tr>
        <w:trPr>
          <w:trHeight w:val="652" w:hRule="atLeast"/>
        </w:trPr>
        <w:tc>
          <w:tcPr>
            <w:tcW w:w="4253" w:type="dxa"/>
          </w:tcPr>
          <w:p>
            <w:pPr>
              <w:pStyle w:val="TableParagraph"/>
              <w:rPr>
                <w:sz w:val="22"/>
              </w:rPr>
            </w:pPr>
            <w:r>
              <w:rPr>
                <w:sz w:val="22"/>
              </w:rPr>
              <w:t>% of students achieving expected growth in</w:t>
            </w:r>
          </w:p>
          <w:p>
            <w:pPr>
              <w:pStyle w:val="TableParagraph"/>
              <w:spacing w:before="1"/>
              <w:rPr>
                <w:b/>
                <w:sz w:val="22"/>
              </w:rPr>
            </w:pPr>
            <w:r>
              <w:rPr>
                <w:b/>
                <w:sz w:val="22"/>
              </w:rPr>
              <w:t>PIP’s</w:t>
            </w:r>
            <w:r>
              <w:rPr>
                <w:sz w:val="22"/>
              </w:rPr>
              <w:t>(BASE) </w:t>
            </w:r>
            <w:r>
              <w:rPr>
                <w:b/>
                <w:sz w:val="22"/>
              </w:rPr>
              <w:t>numeracy</w:t>
            </w:r>
          </w:p>
        </w:tc>
        <w:tc>
          <w:tcPr>
            <w:tcW w:w="849" w:type="dxa"/>
          </w:tcPr>
          <w:p>
            <w:pPr>
              <w:pStyle w:val="TableParagraph"/>
              <w:ind w:left="11"/>
              <w:jc w:val="center"/>
              <w:rPr>
                <w:sz w:val="22"/>
              </w:rPr>
            </w:pPr>
            <w:r>
              <w:rPr>
                <w:w w:val="100"/>
                <w:sz w:val="22"/>
              </w:rPr>
              <w:t>-</w:t>
            </w:r>
          </w:p>
        </w:tc>
        <w:tc>
          <w:tcPr>
            <w:tcW w:w="852" w:type="dxa"/>
          </w:tcPr>
          <w:p>
            <w:pPr>
              <w:pStyle w:val="TableParagraph"/>
              <w:ind w:left="211" w:right="200"/>
              <w:jc w:val="center"/>
              <w:rPr>
                <w:sz w:val="22"/>
              </w:rPr>
            </w:pPr>
            <w:r>
              <w:rPr>
                <w:sz w:val="22"/>
              </w:rPr>
              <w:t>52%</w:t>
            </w:r>
          </w:p>
        </w:tc>
        <w:tc>
          <w:tcPr>
            <w:tcW w:w="849" w:type="dxa"/>
          </w:tcPr>
          <w:p>
            <w:pPr>
              <w:pStyle w:val="TableParagraph"/>
              <w:ind w:left="190" w:right="176"/>
              <w:jc w:val="center"/>
              <w:rPr>
                <w:sz w:val="22"/>
              </w:rPr>
            </w:pPr>
            <w:r>
              <w:rPr>
                <w:sz w:val="22"/>
              </w:rPr>
              <w:t>74%</w:t>
            </w:r>
          </w:p>
        </w:tc>
        <w:tc>
          <w:tcPr>
            <w:tcW w:w="851" w:type="dxa"/>
          </w:tcPr>
          <w:p>
            <w:pPr>
              <w:pStyle w:val="TableParagraph"/>
              <w:ind w:left="216" w:right="203"/>
              <w:jc w:val="center"/>
              <w:rPr>
                <w:sz w:val="22"/>
              </w:rPr>
            </w:pPr>
            <w:r>
              <w:rPr>
                <w:sz w:val="22"/>
              </w:rPr>
              <w:t>71%</w:t>
            </w:r>
          </w:p>
        </w:tc>
        <w:tc>
          <w:tcPr>
            <w:tcW w:w="991" w:type="dxa"/>
          </w:tcPr>
          <w:p>
            <w:pPr>
              <w:pStyle w:val="TableParagraph"/>
              <w:ind w:left="300" w:right="286"/>
              <w:jc w:val="center"/>
              <w:rPr>
                <w:sz w:val="22"/>
              </w:rPr>
            </w:pPr>
            <w:r>
              <w:rPr>
                <w:sz w:val="22"/>
              </w:rPr>
              <w:t>TBA</w:t>
            </w:r>
          </w:p>
        </w:tc>
        <w:tc>
          <w:tcPr>
            <w:tcW w:w="851" w:type="dxa"/>
          </w:tcPr>
          <w:p>
            <w:pPr>
              <w:pStyle w:val="TableParagraph"/>
              <w:spacing w:before="0"/>
              <w:ind w:left="0"/>
              <w:rPr>
                <w:rFonts w:ascii="Times New Roman"/>
                <w:sz w:val="20"/>
              </w:rPr>
            </w:pPr>
          </w:p>
        </w:tc>
      </w:tr>
    </w:tbl>
    <w:p>
      <w:pPr>
        <w:pStyle w:val="BodyText"/>
        <w:spacing w:before="7"/>
        <w:rPr>
          <w:rFonts w:ascii="Calibri Light"/>
          <w:b w:val="0"/>
          <w:i/>
          <w:sz w:val="19"/>
        </w:rPr>
      </w:pPr>
    </w:p>
    <w:p>
      <w:pPr>
        <w:spacing w:before="0"/>
        <w:ind w:left="760" w:right="0" w:firstLine="0"/>
        <w:jc w:val="left"/>
        <w:rPr>
          <w:rFonts w:ascii="Calibri Light"/>
          <w:b w:val="0"/>
          <w:i/>
          <w:sz w:val="22"/>
        </w:rPr>
      </w:pPr>
      <w:r>
        <w:rPr>
          <w:rFonts w:ascii="Calibri Light"/>
          <w:b w:val="0"/>
          <w:i/>
          <w:color w:val="1F4E79"/>
          <w:w w:val="100"/>
          <w:sz w:val="22"/>
        </w:rPr>
        <w:t> </w:t>
      </w: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77"/>
        <w:gridCol w:w="1419"/>
        <w:gridCol w:w="1419"/>
        <w:gridCol w:w="1347"/>
        <w:gridCol w:w="701"/>
        <w:gridCol w:w="788"/>
        <w:gridCol w:w="852"/>
      </w:tblGrid>
      <w:tr>
        <w:trPr>
          <w:trHeight w:val="650" w:hRule="atLeast"/>
        </w:trPr>
        <w:tc>
          <w:tcPr>
            <w:tcW w:w="2977" w:type="dxa"/>
          </w:tcPr>
          <w:p>
            <w:pPr>
              <w:pStyle w:val="TableParagraph"/>
              <w:rPr>
                <w:b/>
                <w:sz w:val="22"/>
              </w:rPr>
            </w:pPr>
            <w:r>
              <w:rPr>
                <w:b/>
                <w:sz w:val="22"/>
              </w:rPr>
              <w:t>Targets or Measures</w:t>
            </w:r>
          </w:p>
          <w:p>
            <w:pPr>
              <w:pStyle w:val="TableParagraph"/>
              <w:spacing w:before="1"/>
              <w:rPr>
                <w:sz w:val="22"/>
              </w:rPr>
            </w:pPr>
            <w:r>
              <w:rPr>
                <w:sz w:val="22"/>
              </w:rPr>
              <w:t>Year 3 NAPLAN mean scores</w:t>
            </w:r>
          </w:p>
        </w:tc>
        <w:tc>
          <w:tcPr>
            <w:tcW w:w="1419" w:type="dxa"/>
          </w:tcPr>
          <w:p>
            <w:pPr>
              <w:pStyle w:val="TableParagraph"/>
              <w:ind w:left="484" w:right="475" w:firstLine="3"/>
              <w:jc w:val="center"/>
              <w:rPr>
                <w:b/>
                <w:sz w:val="22"/>
              </w:rPr>
            </w:pPr>
            <w:r>
              <w:rPr>
                <w:b/>
                <w:sz w:val="22"/>
              </w:rPr>
              <w:t>Base 2016</w:t>
            </w:r>
          </w:p>
        </w:tc>
        <w:tc>
          <w:tcPr>
            <w:tcW w:w="1419" w:type="dxa"/>
          </w:tcPr>
          <w:p>
            <w:pPr>
              <w:pStyle w:val="TableParagraph"/>
              <w:ind w:left="401" w:right="394"/>
              <w:jc w:val="center"/>
              <w:rPr>
                <w:b/>
                <w:sz w:val="22"/>
              </w:rPr>
            </w:pPr>
            <w:r>
              <w:rPr>
                <w:b/>
                <w:sz w:val="22"/>
              </w:rPr>
              <w:t>Year 1</w:t>
            </w:r>
          </w:p>
          <w:p>
            <w:pPr>
              <w:pStyle w:val="TableParagraph"/>
              <w:spacing w:before="1"/>
              <w:ind w:left="399" w:right="394"/>
              <w:jc w:val="center"/>
              <w:rPr>
                <w:b/>
                <w:sz w:val="22"/>
              </w:rPr>
            </w:pPr>
            <w:r>
              <w:rPr>
                <w:b/>
                <w:sz w:val="22"/>
              </w:rPr>
              <w:t>2017</w:t>
            </w:r>
          </w:p>
        </w:tc>
        <w:tc>
          <w:tcPr>
            <w:tcW w:w="1347" w:type="dxa"/>
          </w:tcPr>
          <w:p>
            <w:pPr>
              <w:pStyle w:val="TableParagraph"/>
              <w:ind w:left="382"/>
              <w:rPr>
                <w:b/>
                <w:sz w:val="22"/>
              </w:rPr>
            </w:pPr>
            <w:r>
              <w:rPr>
                <w:b/>
                <w:sz w:val="22"/>
              </w:rPr>
              <w:t>Year 2</w:t>
            </w:r>
          </w:p>
          <w:p>
            <w:pPr>
              <w:pStyle w:val="TableParagraph"/>
              <w:spacing w:before="1"/>
              <w:ind w:left="444"/>
              <w:rPr>
                <w:b/>
                <w:sz w:val="22"/>
              </w:rPr>
            </w:pPr>
            <w:r>
              <w:rPr>
                <w:b/>
                <w:sz w:val="22"/>
              </w:rPr>
              <w:t>2018</w:t>
            </w:r>
          </w:p>
        </w:tc>
        <w:tc>
          <w:tcPr>
            <w:tcW w:w="701" w:type="dxa"/>
          </w:tcPr>
          <w:p>
            <w:pPr>
              <w:pStyle w:val="TableParagraph"/>
              <w:ind w:left="60"/>
              <w:rPr>
                <w:b/>
                <w:sz w:val="22"/>
              </w:rPr>
            </w:pPr>
            <w:r>
              <w:rPr>
                <w:b/>
                <w:sz w:val="22"/>
              </w:rPr>
              <w:t>Year 3</w:t>
            </w:r>
          </w:p>
          <w:p>
            <w:pPr>
              <w:pStyle w:val="TableParagraph"/>
              <w:spacing w:before="1"/>
              <w:ind w:left="122"/>
              <w:rPr>
                <w:b/>
                <w:sz w:val="22"/>
              </w:rPr>
            </w:pPr>
            <w:r>
              <w:rPr>
                <w:b/>
                <w:sz w:val="22"/>
              </w:rPr>
              <w:t>2019</w:t>
            </w:r>
          </w:p>
        </w:tc>
        <w:tc>
          <w:tcPr>
            <w:tcW w:w="788" w:type="dxa"/>
          </w:tcPr>
          <w:p>
            <w:pPr>
              <w:pStyle w:val="TableParagraph"/>
              <w:ind w:left="103"/>
              <w:rPr>
                <w:b/>
                <w:sz w:val="22"/>
              </w:rPr>
            </w:pPr>
            <w:r>
              <w:rPr>
                <w:b/>
                <w:sz w:val="22"/>
              </w:rPr>
              <w:t>Year 4</w:t>
            </w:r>
          </w:p>
          <w:p>
            <w:pPr>
              <w:pStyle w:val="TableParagraph"/>
              <w:spacing w:before="1"/>
              <w:ind w:left="168"/>
              <w:rPr>
                <w:b/>
                <w:sz w:val="22"/>
              </w:rPr>
            </w:pPr>
            <w:r>
              <w:rPr>
                <w:b/>
                <w:sz w:val="22"/>
              </w:rPr>
              <w:t>2020</w:t>
            </w:r>
          </w:p>
        </w:tc>
        <w:tc>
          <w:tcPr>
            <w:tcW w:w="852" w:type="dxa"/>
          </w:tcPr>
          <w:p>
            <w:pPr>
              <w:pStyle w:val="TableParagraph"/>
              <w:ind w:left="136"/>
              <w:rPr>
                <w:b/>
                <w:sz w:val="22"/>
              </w:rPr>
            </w:pPr>
            <w:r>
              <w:rPr>
                <w:b/>
                <w:sz w:val="22"/>
              </w:rPr>
              <w:t>Year 5</w:t>
            </w:r>
          </w:p>
        </w:tc>
      </w:tr>
      <w:tr>
        <w:trPr>
          <w:trHeight w:val="602" w:hRule="atLeast"/>
        </w:trPr>
        <w:tc>
          <w:tcPr>
            <w:tcW w:w="2977" w:type="dxa"/>
          </w:tcPr>
          <w:p>
            <w:pPr>
              <w:pStyle w:val="TableParagraph"/>
              <w:rPr>
                <w:sz w:val="22"/>
              </w:rPr>
            </w:pPr>
            <w:r>
              <w:rPr>
                <w:sz w:val="22"/>
              </w:rPr>
              <w:t>Reading</w:t>
            </w:r>
          </w:p>
        </w:tc>
        <w:tc>
          <w:tcPr>
            <w:tcW w:w="1419" w:type="dxa"/>
          </w:tcPr>
          <w:p>
            <w:pPr>
              <w:pStyle w:val="TableParagraph"/>
              <w:ind w:left="401" w:right="392"/>
              <w:jc w:val="center"/>
              <w:rPr>
                <w:sz w:val="22"/>
              </w:rPr>
            </w:pPr>
            <w:r>
              <w:rPr>
                <w:sz w:val="22"/>
              </w:rPr>
              <w:t>429</w:t>
            </w:r>
          </w:p>
        </w:tc>
        <w:tc>
          <w:tcPr>
            <w:tcW w:w="1419" w:type="dxa"/>
          </w:tcPr>
          <w:p>
            <w:pPr>
              <w:pStyle w:val="TableParagraph"/>
              <w:ind w:left="401" w:right="393"/>
              <w:jc w:val="center"/>
              <w:rPr>
                <w:sz w:val="22"/>
              </w:rPr>
            </w:pPr>
            <w:r>
              <w:rPr>
                <w:sz w:val="22"/>
              </w:rPr>
              <w:t>470</w:t>
            </w:r>
          </w:p>
        </w:tc>
        <w:tc>
          <w:tcPr>
            <w:tcW w:w="1347" w:type="dxa"/>
          </w:tcPr>
          <w:p>
            <w:pPr>
              <w:pStyle w:val="TableParagraph"/>
              <w:ind w:left="502"/>
              <w:rPr>
                <w:sz w:val="22"/>
              </w:rPr>
            </w:pPr>
            <w:r>
              <w:rPr>
                <w:sz w:val="22"/>
              </w:rPr>
              <w:t>444</w:t>
            </w:r>
          </w:p>
        </w:tc>
        <w:tc>
          <w:tcPr>
            <w:tcW w:w="701" w:type="dxa"/>
          </w:tcPr>
          <w:p>
            <w:pPr>
              <w:pStyle w:val="TableParagraph"/>
              <w:ind w:left="160" w:right="156"/>
              <w:jc w:val="center"/>
              <w:rPr>
                <w:sz w:val="22"/>
              </w:rPr>
            </w:pPr>
            <w:r>
              <w:rPr>
                <w:sz w:val="22"/>
              </w:rPr>
              <w:t>430</w:t>
            </w:r>
          </w:p>
        </w:tc>
        <w:tc>
          <w:tcPr>
            <w:tcW w:w="788" w:type="dxa"/>
          </w:tcPr>
          <w:p>
            <w:pPr>
              <w:pStyle w:val="TableParagraph"/>
              <w:ind w:left="55"/>
              <w:rPr>
                <w:sz w:val="22"/>
              </w:rPr>
            </w:pPr>
            <w:r>
              <w:rPr>
                <w:sz w:val="22"/>
              </w:rPr>
              <w:t>N/A</w:t>
            </w:r>
          </w:p>
        </w:tc>
        <w:tc>
          <w:tcPr>
            <w:tcW w:w="852" w:type="dxa"/>
          </w:tcPr>
          <w:p>
            <w:pPr>
              <w:pStyle w:val="TableParagraph"/>
              <w:spacing w:before="0"/>
              <w:ind w:left="0"/>
              <w:rPr>
                <w:rFonts w:ascii="Times New Roman"/>
                <w:sz w:val="20"/>
              </w:rPr>
            </w:pPr>
          </w:p>
        </w:tc>
      </w:tr>
      <w:tr>
        <w:trPr>
          <w:trHeight w:val="515" w:hRule="atLeast"/>
        </w:trPr>
        <w:tc>
          <w:tcPr>
            <w:tcW w:w="2977" w:type="dxa"/>
          </w:tcPr>
          <w:p>
            <w:pPr>
              <w:pStyle w:val="TableParagraph"/>
              <w:rPr>
                <w:sz w:val="22"/>
              </w:rPr>
            </w:pPr>
            <w:r>
              <w:rPr>
                <w:sz w:val="22"/>
              </w:rPr>
              <w:t>Numeracy</w:t>
            </w:r>
          </w:p>
        </w:tc>
        <w:tc>
          <w:tcPr>
            <w:tcW w:w="1419" w:type="dxa"/>
          </w:tcPr>
          <w:p>
            <w:pPr>
              <w:pStyle w:val="TableParagraph"/>
              <w:ind w:left="401" w:right="392"/>
              <w:jc w:val="center"/>
              <w:rPr>
                <w:sz w:val="22"/>
              </w:rPr>
            </w:pPr>
            <w:r>
              <w:rPr>
                <w:sz w:val="22"/>
              </w:rPr>
              <w:t>406</w:t>
            </w:r>
          </w:p>
        </w:tc>
        <w:tc>
          <w:tcPr>
            <w:tcW w:w="1419" w:type="dxa"/>
          </w:tcPr>
          <w:p>
            <w:pPr>
              <w:pStyle w:val="TableParagraph"/>
              <w:ind w:left="401" w:right="393"/>
              <w:jc w:val="center"/>
              <w:rPr>
                <w:sz w:val="22"/>
              </w:rPr>
            </w:pPr>
            <w:r>
              <w:rPr>
                <w:sz w:val="22"/>
              </w:rPr>
              <w:t>430</w:t>
            </w:r>
          </w:p>
        </w:tc>
        <w:tc>
          <w:tcPr>
            <w:tcW w:w="1347" w:type="dxa"/>
          </w:tcPr>
          <w:p>
            <w:pPr>
              <w:pStyle w:val="TableParagraph"/>
              <w:ind w:left="502"/>
              <w:rPr>
                <w:sz w:val="22"/>
              </w:rPr>
            </w:pPr>
            <w:r>
              <w:rPr>
                <w:sz w:val="22"/>
              </w:rPr>
              <w:t>415</w:t>
            </w:r>
          </w:p>
        </w:tc>
        <w:tc>
          <w:tcPr>
            <w:tcW w:w="701" w:type="dxa"/>
          </w:tcPr>
          <w:p>
            <w:pPr>
              <w:pStyle w:val="TableParagraph"/>
              <w:ind w:left="160" w:right="156"/>
              <w:jc w:val="center"/>
              <w:rPr>
                <w:sz w:val="22"/>
              </w:rPr>
            </w:pPr>
            <w:r>
              <w:rPr>
                <w:sz w:val="22"/>
              </w:rPr>
              <w:t>400</w:t>
            </w:r>
          </w:p>
        </w:tc>
        <w:tc>
          <w:tcPr>
            <w:tcW w:w="788" w:type="dxa"/>
          </w:tcPr>
          <w:p>
            <w:pPr>
              <w:pStyle w:val="TableParagraph"/>
              <w:ind w:left="55"/>
              <w:rPr>
                <w:sz w:val="22"/>
              </w:rPr>
            </w:pPr>
            <w:r>
              <w:rPr>
                <w:sz w:val="22"/>
              </w:rPr>
              <w:t>N/A</w:t>
            </w:r>
          </w:p>
        </w:tc>
        <w:tc>
          <w:tcPr>
            <w:tcW w:w="852" w:type="dxa"/>
          </w:tcPr>
          <w:p>
            <w:pPr>
              <w:pStyle w:val="TableParagraph"/>
              <w:spacing w:before="0"/>
              <w:ind w:left="0"/>
              <w:rPr>
                <w:rFonts w:ascii="Times New Roman"/>
                <w:sz w:val="20"/>
              </w:rPr>
            </w:pPr>
          </w:p>
        </w:tc>
      </w:tr>
    </w:tbl>
    <w:p>
      <w:pPr>
        <w:pStyle w:val="BodyText"/>
        <w:rPr>
          <w:rFonts w:ascii="Calibri Light"/>
          <w:b w:val="0"/>
          <w:i/>
          <w:sz w:val="20"/>
        </w:rPr>
      </w:pPr>
    </w:p>
    <w:p>
      <w:pPr>
        <w:pStyle w:val="BodyText"/>
        <w:rPr>
          <w:rFonts w:ascii="Calibri Light"/>
          <w:b w:val="0"/>
          <w:i/>
          <w:sz w:val="20"/>
        </w:rPr>
      </w:pPr>
    </w:p>
    <w:p>
      <w:pPr>
        <w:pStyle w:val="BodyText"/>
        <w:spacing w:before="11"/>
        <w:rPr>
          <w:rFonts w:ascii="Calibri Light"/>
          <w:b w:val="0"/>
          <w:i/>
          <w:sz w:val="11"/>
        </w:rPr>
      </w:pPr>
    </w:p>
    <w:tbl>
      <w:tblPr>
        <w:tblW w:w="0" w:type="auto"/>
        <w:jc w:val="left"/>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3"/>
        <w:gridCol w:w="852"/>
        <w:gridCol w:w="849"/>
        <w:gridCol w:w="707"/>
        <w:gridCol w:w="852"/>
        <w:gridCol w:w="707"/>
        <w:gridCol w:w="851"/>
      </w:tblGrid>
      <w:tr>
        <w:trPr>
          <w:trHeight w:val="921" w:hRule="atLeast"/>
        </w:trPr>
        <w:tc>
          <w:tcPr>
            <w:tcW w:w="4673" w:type="dxa"/>
          </w:tcPr>
          <w:p>
            <w:pPr>
              <w:pStyle w:val="TableParagraph"/>
              <w:rPr>
                <w:b/>
                <w:sz w:val="22"/>
              </w:rPr>
            </w:pPr>
            <w:r>
              <w:rPr>
                <w:b/>
                <w:sz w:val="22"/>
              </w:rPr>
              <w:t>Targets or Measures</w:t>
            </w:r>
          </w:p>
          <w:p>
            <w:pPr>
              <w:pStyle w:val="TableParagraph"/>
              <w:spacing w:before="1"/>
              <w:ind w:right="263"/>
              <w:rPr>
                <w:sz w:val="22"/>
              </w:rPr>
            </w:pPr>
            <w:r>
              <w:rPr>
                <w:sz w:val="22"/>
              </w:rPr>
              <w:t>Years 5,7,9 NAPLAN expected growth in Reading and Numeracy</w:t>
            </w:r>
          </w:p>
        </w:tc>
        <w:tc>
          <w:tcPr>
            <w:tcW w:w="852" w:type="dxa"/>
          </w:tcPr>
          <w:p>
            <w:pPr>
              <w:pStyle w:val="TableParagraph"/>
              <w:ind w:left="201" w:right="174" w:firstLine="9"/>
              <w:rPr>
                <w:b/>
                <w:sz w:val="22"/>
              </w:rPr>
            </w:pPr>
            <w:r>
              <w:rPr>
                <w:b/>
                <w:sz w:val="22"/>
              </w:rPr>
              <w:t>Base 2016</w:t>
            </w:r>
          </w:p>
        </w:tc>
        <w:tc>
          <w:tcPr>
            <w:tcW w:w="849" w:type="dxa"/>
          </w:tcPr>
          <w:p>
            <w:pPr>
              <w:pStyle w:val="TableParagraph"/>
              <w:ind w:left="139"/>
              <w:rPr>
                <w:b/>
                <w:sz w:val="22"/>
              </w:rPr>
            </w:pPr>
            <w:r>
              <w:rPr>
                <w:b/>
                <w:sz w:val="22"/>
              </w:rPr>
              <w:t>Year 1</w:t>
            </w:r>
          </w:p>
          <w:p>
            <w:pPr>
              <w:pStyle w:val="TableParagraph"/>
              <w:spacing w:before="1"/>
              <w:ind w:left="202"/>
              <w:rPr>
                <w:b/>
                <w:sz w:val="22"/>
              </w:rPr>
            </w:pPr>
            <w:r>
              <w:rPr>
                <w:b/>
                <w:sz w:val="22"/>
              </w:rPr>
              <w:t>2017</w:t>
            </w:r>
          </w:p>
        </w:tc>
        <w:tc>
          <w:tcPr>
            <w:tcW w:w="707" w:type="dxa"/>
          </w:tcPr>
          <w:p>
            <w:pPr>
              <w:pStyle w:val="TableParagraph"/>
              <w:ind w:left="68"/>
              <w:rPr>
                <w:b/>
                <w:sz w:val="22"/>
              </w:rPr>
            </w:pPr>
            <w:r>
              <w:rPr>
                <w:b/>
                <w:sz w:val="22"/>
              </w:rPr>
              <w:t>Year 2</w:t>
            </w:r>
          </w:p>
          <w:p>
            <w:pPr>
              <w:pStyle w:val="TableParagraph"/>
              <w:spacing w:before="1"/>
              <w:ind w:left="133"/>
              <w:rPr>
                <w:b/>
                <w:sz w:val="22"/>
              </w:rPr>
            </w:pPr>
            <w:r>
              <w:rPr>
                <w:b/>
                <w:sz w:val="22"/>
              </w:rPr>
              <w:t>2018</w:t>
            </w:r>
          </w:p>
        </w:tc>
        <w:tc>
          <w:tcPr>
            <w:tcW w:w="852" w:type="dxa"/>
          </w:tcPr>
          <w:p>
            <w:pPr>
              <w:pStyle w:val="TableParagraph"/>
              <w:ind w:left="141"/>
              <w:rPr>
                <w:b/>
                <w:sz w:val="22"/>
              </w:rPr>
            </w:pPr>
            <w:r>
              <w:rPr>
                <w:b/>
                <w:sz w:val="22"/>
              </w:rPr>
              <w:t>Year 3</w:t>
            </w:r>
          </w:p>
          <w:p>
            <w:pPr>
              <w:pStyle w:val="TableParagraph"/>
              <w:spacing w:before="1"/>
              <w:ind w:left="203"/>
              <w:rPr>
                <w:b/>
                <w:sz w:val="22"/>
              </w:rPr>
            </w:pPr>
            <w:r>
              <w:rPr>
                <w:b/>
                <w:sz w:val="22"/>
              </w:rPr>
              <w:t>2019</w:t>
            </w:r>
          </w:p>
        </w:tc>
        <w:tc>
          <w:tcPr>
            <w:tcW w:w="707" w:type="dxa"/>
          </w:tcPr>
          <w:p>
            <w:pPr>
              <w:pStyle w:val="TableParagraph"/>
              <w:ind w:left="67"/>
              <w:rPr>
                <w:b/>
                <w:sz w:val="22"/>
              </w:rPr>
            </w:pPr>
            <w:r>
              <w:rPr>
                <w:b/>
                <w:sz w:val="22"/>
              </w:rPr>
              <w:t>Year 4</w:t>
            </w:r>
          </w:p>
          <w:p>
            <w:pPr>
              <w:pStyle w:val="TableParagraph"/>
              <w:spacing w:before="1"/>
              <w:ind w:left="132"/>
              <w:rPr>
                <w:b/>
                <w:sz w:val="22"/>
              </w:rPr>
            </w:pPr>
            <w:r>
              <w:rPr>
                <w:b/>
                <w:sz w:val="22"/>
              </w:rPr>
              <w:t>2020</w:t>
            </w:r>
          </w:p>
        </w:tc>
        <w:tc>
          <w:tcPr>
            <w:tcW w:w="851" w:type="dxa"/>
          </w:tcPr>
          <w:p>
            <w:pPr>
              <w:pStyle w:val="TableParagraph"/>
              <w:ind w:left="142"/>
              <w:rPr>
                <w:b/>
                <w:sz w:val="22"/>
              </w:rPr>
            </w:pPr>
            <w:r>
              <w:rPr>
                <w:b/>
                <w:sz w:val="22"/>
              </w:rPr>
              <w:t>Year 5</w:t>
            </w:r>
          </w:p>
        </w:tc>
      </w:tr>
      <w:tr>
        <w:trPr>
          <w:trHeight w:val="381" w:hRule="atLeast"/>
        </w:trPr>
        <w:tc>
          <w:tcPr>
            <w:tcW w:w="4673" w:type="dxa"/>
          </w:tcPr>
          <w:p>
            <w:pPr>
              <w:pStyle w:val="TableParagraph"/>
              <w:spacing w:before="54"/>
              <w:rPr>
                <w:sz w:val="22"/>
              </w:rPr>
            </w:pPr>
            <w:r>
              <w:rPr>
                <w:sz w:val="22"/>
              </w:rPr>
              <w:t>Year 5 Reading % Expected Growth</w:t>
            </w:r>
          </w:p>
        </w:tc>
        <w:tc>
          <w:tcPr>
            <w:tcW w:w="852" w:type="dxa"/>
          </w:tcPr>
          <w:p>
            <w:pPr>
              <w:pStyle w:val="TableParagraph"/>
              <w:spacing w:before="54"/>
              <w:ind w:left="211" w:right="200"/>
              <w:jc w:val="center"/>
              <w:rPr>
                <w:sz w:val="22"/>
              </w:rPr>
            </w:pPr>
            <w:r>
              <w:rPr>
                <w:sz w:val="22"/>
              </w:rPr>
              <w:t>64.4</w:t>
            </w:r>
          </w:p>
        </w:tc>
        <w:tc>
          <w:tcPr>
            <w:tcW w:w="849" w:type="dxa"/>
          </w:tcPr>
          <w:p>
            <w:pPr>
              <w:pStyle w:val="TableParagraph"/>
              <w:spacing w:before="54"/>
              <w:ind w:left="191" w:right="176"/>
              <w:jc w:val="center"/>
              <w:rPr>
                <w:sz w:val="22"/>
              </w:rPr>
            </w:pPr>
            <w:r>
              <w:rPr>
                <w:sz w:val="22"/>
              </w:rPr>
              <w:t>56.9</w:t>
            </w:r>
          </w:p>
        </w:tc>
        <w:tc>
          <w:tcPr>
            <w:tcW w:w="707" w:type="dxa"/>
          </w:tcPr>
          <w:p>
            <w:pPr>
              <w:pStyle w:val="TableParagraph"/>
              <w:spacing w:before="54"/>
              <w:ind w:left="140" w:right="126"/>
              <w:jc w:val="center"/>
              <w:rPr>
                <w:sz w:val="22"/>
              </w:rPr>
            </w:pPr>
            <w:r>
              <w:rPr>
                <w:sz w:val="22"/>
              </w:rPr>
              <w:t>64.0</w:t>
            </w:r>
          </w:p>
        </w:tc>
        <w:tc>
          <w:tcPr>
            <w:tcW w:w="852" w:type="dxa"/>
          </w:tcPr>
          <w:p>
            <w:pPr>
              <w:pStyle w:val="TableParagraph"/>
              <w:spacing w:before="54"/>
              <w:ind w:left="232"/>
              <w:rPr>
                <w:sz w:val="22"/>
              </w:rPr>
            </w:pPr>
            <w:r>
              <w:rPr>
                <w:sz w:val="22"/>
              </w:rPr>
              <w:t>56.1</w:t>
            </w:r>
          </w:p>
        </w:tc>
        <w:tc>
          <w:tcPr>
            <w:tcW w:w="707" w:type="dxa"/>
          </w:tcPr>
          <w:p>
            <w:pPr>
              <w:pStyle w:val="TableParagraph"/>
              <w:spacing w:before="54"/>
              <w:rPr>
                <w:sz w:val="22"/>
              </w:rPr>
            </w:pPr>
            <w:r>
              <w:rPr>
                <w:sz w:val="22"/>
              </w:rPr>
              <w:t>N/A</w:t>
            </w:r>
          </w:p>
        </w:tc>
        <w:tc>
          <w:tcPr>
            <w:tcW w:w="851" w:type="dxa"/>
          </w:tcPr>
          <w:p>
            <w:pPr>
              <w:pStyle w:val="TableParagraph"/>
              <w:spacing w:before="0"/>
              <w:ind w:left="0"/>
              <w:rPr>
                <w:rFonts w:ascii="Times New Roman"/>
                <w:sz w:val="20"/>
              </w:rPr>
            </w:pPr>
          </w:p>
        </w:tc>
      </w:tr>
      <w:tr>
        <w:trPr>
          <w:trHeight w:val="383" w:hRule="atLeast"/>
        </w:trPr>
        <w:tc>
          <w:tcPr>
            <w:tcW w:w="4673" w:type="dxa"/>
          </w:tcPr>
          <w:p>
            <w:pPr>
              <w:pStyle w:val="TableParagraph"/>
              <w:rPr>
                <w:sz w:val="22"/>
              </w:rPr>
            </w:pPr>
            <w:r>
              <w:rPr>
                <w:sz w:val="22"/>
              </w:rPr>
              <w:t>Year 7 Reading % Expected Growth</w:t>
            </w:r>
          </w:p>
        </w:tc>
        <w:tc>
          <w:tcPr>
            <w:tcW w:w="852" w:type="dxa"/>
          </w:tcPr>
          <w:p>
            <w:pPr>
              <w:pStyle w:val="TableParagraph"/>
              <w:ind w:left="211" w:right="200"/>
              <w:jc w:val="center"/>
              <w:rPr>
                <w:sz w:val="22"/>
              </w:rPr>
            </w:pPr>
            <w:r>
              <w:rPr>
                <w:sz w:val="22"/>
              </w:rPr>
              <w:t>51.9</w:t>
            </w:r>
          </w:p>
        </w:tc>
        <w:tc>
          <w:tcPr>
            <w:tcW w:w="849" w:type="dxa"/>
          </w:tcPr>
          <w:p>
            <w:pPr>
              <w:pStyle w:val="TableParagraph"/>
              <w:ind w:left="191" w:right="176"/>
              <w:jc w:val="center"/>
              <w:rPr>
                <w:sz w:val="22"/>
              </w:rPr>
            </w:pPr>
            <w:r>
              <w:rPr>
                <w:sz w:val="22"/>
              </w:rPr>
              <w:t>61.6</w:t>
            </w:r>
          </w:p>
        </w:tc>
        <w:tc>
          <w:tcPr>
            <w:tcW w:w="707" w:type="dxa"/>
          </w:tcPr>
          <w:p>
            <w:pPr>
              <w:pStyle w:val="TableParagraph"/>
              <w:ind w:left="140" w:right="126"/>
              <w:jc w:val="center"/>
              <w:rPr>
                <w:sz w:val="22"/>
              </w:rPr>
            </w:pPr>
            <w:r>
              <w:rPr>
                <w:sz w:val="22"/>
              </w:rPr>
              <w:t>55.0</w:t>
            </w:r>
          </w:p>
        </w:tc>
        <w:tc>
          <w:tcPr>
            <w:tcW w:w="852" w:type="dxa"/>
          </w:tcPr>
          <w:p>
            <w:pPr>
              <w:pStyle w:val="TableParagraph"/>
              <w:ind w:left="232"/>
              <w:rPr>
                <w:sz w:val="22"/>
              </w:rPr>
            </w:pPr>
            <w:r>
              <w:rPr>
                <w:sz w:val="22"/>
              </w:rPr>
              <w:t>57.5</w:t>
            </w:r>
          </w:p>
        </w:tc>
        <w:tc>
          <w:tcPr>
            <w:tcW w:w="707" w:type="dxa"/>
          </w:tcPr>
          <w:p>
            <w:pPr>
              <w:pStyle w:val="TableParagraph"/>
              <w:rPr>
                <w:sz w:val="22"/>
              </w:rPr>
            </w:pPr>
            <w:r>
              <w:rPr>
                <w:sz w:val="22"/>
              </w:rPr>
              <w:t>N/A</w:t>
            </w:r>
          </w:p>
        </w:tc>
        <w:tc>
          <w:tcPr>
            <w:tcW w:w="851" w:type="dxa"/>
          </w:tcPr>
          <w:p>
            <w:pPr>
              <w:pStyle w:val="TableParagraph"/>
              <w:spacing w:before="0"/>
              <w:ind w:left="0"/>
              <w:rPr>
                <w:rFonts w:ascii="Times New Roman"/>
                <w:sz w:val="20"/>
              </w:rPr>
            </w:pPr>
          </w:p>
        </w:tc>
      </w:tr>
      <w:tr>
        <w:trPr>
          <w:trHeight w:val="381" w:hRule="atLeast"/>
        </w:trPr>
        <w:tc>
          <w:tcPr>
            <w:tcW w:w="4673" w:type="dxa"/>
          </w:tcPr>
          <w:p>
            <w:pPr>
              <w:pStyle w:val="TableParagraph"/>
              <w:spacing w:before="54"/>
              <w:rPr>
                <w:sz w:val="22"/>
              </w:rPr>
            </w:pPr>
            <w:r>
              <w:rPr>
                <w:sz w:val="22"/>
              </w:rPr>
              <w:t>Year 9 Reading % Expected Growth</w:t>
            </w:r>
          </w:p>
        </w:tc>
        <w:tc>
          <w:tcPr>
            <w:tcW w:w="852" w:type="dxa"/>
          </w:tcPr>
          <w:p>
            <w:pPr>
              <w:pStyle w:val="TableParagraph"/>
              <w:spacing w:before="54"/>
              <w:ind w:left="211" w:right="200"/>
              <w:jc w:val="center"/>
              <w:rPr>
                <w:sz w:val="22"/>
              </w:rPr>
            </w:pPr>
            <w:r>
              <w:rPr>
                <w:sz w:val="22"/>
              </w:rPr>
              <w:t>61.9</w:t>
            </w:r>
          </w:p>
        </w:tc>
        <w:tc>
          <w:tcPr>
            <w:tcW w:w="849" w:type="dxa"/>
          </w:tcPr>
          <w:p>
            <w:pPr>
              <w:pStyle w:val="TableParagraph"/>
              <w:spacing w:before="54"/>
              <w:ind w:left="191" w:right="176"/>
              <w:jc w:val="center"/>
              <w:rPr>
                <w:sz w:val="22"/>
              </w:rPr>
            </w:pPr>
            <w:r>
              <w:rPr>
                <w:sz w:val="22"/>
              </w:rPr>
              <w:t>61.2</w:t>
            </w:r>
          </w:p>
        </w:tc>
        <w:tc>
          <w:tcPr>
            <w:tcW w:w="707" w:type="dxa"/>
          </w:tcPr>
          <w:p>
            <w:pPr>
              <w:pStyle w:val="TableParagraph"/>
              <w:spacing w:before="54"/>
              <w:ind w:left="140" w:right="126"/>
              <w:jc w:val="center"/>
              <w:rPr>
                <w:sz w:val="22"/>
              </w:rPr>
            </w:pPr>
            <w:r>
              <w:rPr>
                <w:sz w:val="22"/>
              </w:rPr>
              <w:t>74.3</w:t>
            </w:r>
          </w:p>
        </w:tc>
        <w:tc>
          <w:tcPr>
            <w:tcW w:w="852" w:type="dxa"/>
          </w:tcPr>
          <w:p>
            <w:pPr>
              <w:pStyle w:val="TableParagraph"/>
              <w:spacing w:before="54"/>
              <w:ind w:left="232"/>
              <w:rPr>
                <w:sz w:val="22"/>
              </w:rPr>
            </w:pPr>
            <w:r>
              <w:rPr>
                <w:sz w:val="22"/>
              </w:rPr>
              <w:t>73.2</w:t>
            </w:r>
          </w:p>
        </w:tc>
        <w:tc>
          <w:tcPr>
            <w:tcW w:w="707" w:type="dxa"/>
          </w:tcPr>
          <w:p>
            <w:pPr>
              <w:pStyle w:val="TableParagraph"/>
              <w:spacing w:before="54"/>
              <w:rPr>
                <w:sz w:val="22"/>
              </w:rPr>
            </w:pPr>
            <w:r>
              <w:rPr>
                <w:sz w:val="22"/>
              </w:rPr>
              <w:t>N/A</w:t>
            </w:r>
          </w:p>
        </w:tc>
        <w:tc>
          <w:tcPr>
            <w:tcW w:w="851" w:type="dxa"/>
          </w:tcPr>
          <w:p>
            <w:pPr>
              <w:pStyle w:val="TableParagraph"/>
              <w:spacing w:before="0"/>
              <w:ind w:left="0"/>
              <w:rPr>
                <w:rFonts w:ascii="Times New Roman"/>
                <w:sz w:val="20"/>
              </w:rPr>
            </w:pPr>
          </w:p>
        </w:tc>
      </w:tr>
      <w:tr>
        <w:trPr>
          <w:trHeight w:val="384" w:hRule="atLeast"/>
        </w:trPr>
        <w:tc>
          <w:tcPr>
            <w:tcW w:w="4673" w:type="dxa"/>
          </w:tcPr>
          <w:p>
            <w:pPr>
              <w:pStyle w:val="TableParagraph"/>
              <w:rPr>
                <w:sz w:val="22"/>
              </w:rPr>
            </w:pPr>
            <w:r>
              <w:rPr>
                <w:sz w:val="22"/>
              </w:rPr>
              <w:t>Year 5 Numeracy % Expected Growth</w:t>
            </w:r>
          </w:p>
        </w:tc>
        <w:tc>
          <w:tcPr>
            <w:tcW w:w="852" w:type="dxa"/>
          </w:tcPr>
          <w:p>
            <w:pPr>
              <w:pStyle w:val="TableParagraph"/>
              <w:ind w:left="211" w:right="200"/>
              <w:jc w:val="center"/>
              <w:rPr>
                <w:sz w:val="22"/>
              </w:rPr>
            </w:pPr>
            <w:r>
              <w:rPr>
                <w:sz w:val="22"/>
              </w:rPr>
              <w:t>51.9</w:t>
            </w:r>
          </w:p>
        </w:tc>
        <w:tc>
          <w:tcPr>
            <w:tcW w:w="849" w:type="dxa"/>
          </w:tcPr>
          <w:p>
            <w:pPr>
              <w:pStyle w:val="TableParagraph"/>
              <w:ind w:left="191" w:right="176"/>
              <w:jc w:val="center"/>
              <w:rPr>
                <w:sz w:val="22"/>
              </w:rPr>
            </w:pPr>
            <w:r>
              <w:rPr>
                <w:sz w:val="22"/>
              </w:rPr>
              <w:t>73.9</w:t>
            </w:r>
          </w:p>
        </w:tc>
        <w:tc>
          <w:tcPr>
            <w:tcW w:w="707" w:type="dxa"/>
          </w:tcPr>
          <w:p>
            <w:pPr>
              <w:pStyle w:val="TableParagraph"/>
              <w:ind w:left="140" w:right="126"/>
              <w:jc w:val="center"/>
              <w:rPr>
                <w:sz w:val="22"/>
              </w:rPr>
            </w:pPr>
            <w:r>
              <w:rPr>
                <w:sz w:val="22"/>
              </w:rPr>
              <w:t>48.9</w:t>
            </w:r>
          </w:p>
        </w:tc>
        <w:tc>
          <w:tcPr>
            <w:tcW w:w="852" w:type="dxa"/>
          </w:tcPr>
          <w:p>
            <w:pPr>
              <w:pStyle w:val="TableParagraph"/>
              <w:ind w:left="232"/>
              <w:rPr>
                <w:sz w:val="22"/>
              </w:rPr>
            </w:pPr>
            <w:r>
              <w:rPr>
                <w:sz w:val="22"/>
              </w:rPr>
              <w:t>50.0</w:t>
            </w:r>
          </w:p>
        </w:tc>
        <w:tc>
          <w:tcPr>
            <w:tcW w:w="707" w:type="dxa"/>
          </w:tcPr>
          <w:p>
            <w:pPr>
              <w:pStyle w:val="TableParagraph"/>
              <w:rPr>
                <w:sz w:val="22"/>
              </w:rPr>
            </w:pPr>
            <w:r>
              <w:rPr>
                <w:sz w:val="22"/>
              </w:rPr>
              <w:t>N/A</w:t>
            </w:r>
          </w:p>
        </w:tc>
        <w:tc>
          <w:tcPr>
            <w:tcW w:w="851" w:type="dxa"/>
          </w:tcPr>
          <w:p>
            <w:pPr>
              <w:pStyle w:val="TableParagraph"/>
              <w:spacing w:before="0"/>
              <w:ind w:left="0"/>
              <w:rPr>
                <w:rFonts w:ascii="Times New Roman"/>
                <w:sz w:val="20"/>
              </w:rPr>
            </w:pPr>
          </w:p>
        </w:tc>
      </w:tr>
      <w:tr>
        <w:trPr>
          <w:trHeight w:val="381" w:hRule="atLeast"/>
        </w:trPr>
        <w:tc>
          <w:tcPr>
            <w:tcW w:w="4673" w:type="dxa"/>
          </w:tcPr>
          <w:p>
            <w:pPr>
              <w:pStyle w:val="TableParagraph"/>
              <w:rPr>
                <w:sz w:val="22"/>
              </w:rPr>
            </w:pPr>
            <w:r>
              <w:rPr>
                <w:sz w:val="22"/>
              </w:rPr>
              <w:t>Year 7 Numeracy % Expected Growth</w:t>
            </w:r>
          </w:p>
        </w:tc>
        <w:tc>
          <w:tcPr>
            <w:tcW w:w="852" w:type="dxa"/>
          </w:tcPr>
          <w:p>
            <w:pPr>
              <w:pStyle w:val="TableParagraph"/>
              <w:ind w:left="211" w:right="200"/>
              <w:jc w:val="center"/>
              <w:rPr>
                <w:sz w:val="22"/>
              </w:rPr>
            </w:pPr>
            <w:r>
              <w:rPr>
                <w:sz w:val="22"/>
              </w:rPr>
              <w:t>75.0</w:t>
            </w:r>
          </w:p>
        </w:tc>
        <w:tc>
          <w:tcPr>
            <w:tcW w:w="849" w:type="dxa"/>
          </w:tcPr>
          <w:p>
            <w:pPr>
              <w:pStyle w:val="TableParagraph"/>
              <w:ind w:left="191" w:right="176"/>
              <w:jc w:val="center"/>
              <w:rPr>
                <w:sz w:val="22"/>
              </w:rPr>
            </w:pPr>
            <w:r>
              <w:rPr>
                <w:sz w:val="22"/>
              </w:rPr>
              <w:t>76.5</w:t>
            </w:r>
          </w:p>
        </w:tc>
        <w:tc>
          <w:tcPr>
            <w:tcW w:w="707" w:type="dxa"/>
          </w:tcPr>
          <w:p>
            <w:pPr>
              <w:pStyle w:val="TableParagraph"/>
              <w:ind w:left="140" w:right="126"/>
              <w:jc w:val="center"/>
              <w:rPr>
                <w:sz w:val="22"/>
              </w:rPr>
            </w:pPr>
            <w:r>
              <w:rPr>
                <w:sz w:val="22"/>
              </w:rPr>
              <w:t>69.2</w:t>
            </w:r>
          </w:p>
        </w:tc>
        <w:tc>
          <w:tcPr>
            <w:tcW w:w="852" w:type="dxa"/>
          </w:tcPr>
          <w:p>
            <w:pPr>
              <w:pStyle w:val="TableParagraph"/>
              <w:ind w:left="232"/>
              <w:rPr>
                <w:sz w:val="22"/>
              </w:rPr>
            </w:pPr>
            <w:r>
              <w:rPr>
                <w:sz w:val="22"/>
              </w:rPr>
              <w:t>74.7</w:t>
            </w:r>
          </w:p>
        </w:tc>
        <w:tc>
          <w:tcPr>
            <w:tcW w:w="707" w:type="dxa"/>
          </w:tcPr>
          <w:p>
            <w:pPr>
              <w:pStyle w:val="TableParagraph"/>
              <w:rPr>
                <w:sz w:val="22"/>
              </w:rPr>
            </w:pPr>
            <w:r>
              <w:rPr>
                <w:sz w:val="22"/>
              </w:rPr>
              <w:t>N/A</w:t>
            </w:r>
          </w:p>
        </w:tc>
        <w:tc>
          <w:tcPr>
            <w:tcW w:w="851" w:type="dxa"/>
          </w:tcPr>
          <w:p>
            <w:pPr>
              <w:pStyle w:val="TableParagraph"/>
              <w:spacing w:before="0"/>
              <w:ind w:left="0"/>
              <w:rPr>
                <w:rFonts w:ascii="Times New Roman"/>
                <w:sz w:val="20"/>
              </w:rPr>
            </w:pPr>
          </w:p>
        </w:tc>
      </w:tr>
      <w:tr>
        <w:trPr>
          <w:trHeight w:val="383" w:hRule="atLeast"/>
        </w:trPr>
        <w:tc>
          <w:tcPr>
            <w:tcW w:w="4673" w:type="dxa"/>
          </w:tcPr>
          <w:p>
            <w:pPr>
              <w:pStyle w:val="TableParagraph"/>
              <w:rPr>
                <w:sz w:val="22"/>
              </w:rPr>
            </w:pPr>
            <w:r>
              <w:rPr>
                <w:sz w:val="22"/>
              </w:rPr>
              <w:t>Year 9 Numeracy % Expected Growth</w:t>
            </w:r>
          </w:p>
        </w:tc>
        <w:tc>
          <w:tcPr>
            <w:tcW w:w="852" w:type="dxa"/>
          </w:tcPr>
          <w:p>
            <w:pPr>
              <w:pStyle w:val="TableParagraph"/>
              <w:ind w:left="211" w:right="200"/>
              <w:jc w:val="center"/>
              <w:rPr>
                <w:sz w:val="22"/>
              </w:rPr>
            </w:pPr>
            <w:r>
              <w:rPr>
                <w:sz w:val="22"/>
              </w:rPr>
              <w:t>62.7</w:t>
            </w:r>
          </w:p>
        </w:tc>
        <w:tc>
          <w:tcPr>
            <w:tcW w:w="849" w:type="dxa"/>
          </w:tcPr>
          <w:p>
            <w:pPr>
              <w:pStyle w:val="TableParagraph"/>
              <w:ind w:left="191" w:right="176"/>
              <w:jc w:val="center"/>
              <w:rPr>
                <w:sz w:val="22"/>
              </w:rPr>
            </w:pPr>
            <w:r>
              <w:rPr>
                <w:sz w:val="22"/>
              </w:rPr>
              <w:t>60.3</w:t>
            </w:r>
          </w:p>
        </w:tc>
        <w:tc>
          <w:tcPr>
            <w:tcW w:w="707" w:type="dxa"/>
          </w:tcPr>
          <w:p>
            <w:pPr>
              <w:pStyle w:val="TableParagraph"/>
              <w:ind w:left="140" w:right="126"/>
              <w:jc w:val="center"/>
              <w:rPr>
                <w:sz w:val="22"/>
              </w:rPr>
            </w:pPr>
            <w:r>
              <w:rPr>
                <w:sz w:val="22"/>
              </w:rPr>
              <w:t>67.5</w:t>
            </w:r>
          </w:p>
        </w:tc>
        <w:tc>
          <w:tcPr>
            <w:tcW w:w="852" w:type="dxa"/>
          </w:tcPr>
          <w:p>
            <w:pPr>
              <w:pStyle w:val="TableParagraph"/>
              <w:ind w:left="232"/>
              <w:rPr>
                <w:sz w:val="22"/>
              </w:rPr>
            </w:pPr>
            <w:r>
              <w:rPr>
                <w:sz w:val="22"/>
              </w:rPr>
              <w:t>57.0</w:t>
            </w:r>
          </w:p>
        </w:tc>
        <w:tc>
          <w:tcPr>
            <w:tcW w:w="707" w:type="dxa"/>
          </w:tcPr>
          <w:p>
            <w:pPr>
              <w:pStyle w:val="TableParagraph"/>
              <w:rPr>
                <w:sz w:val="22"/>
              </w:rPr>
            </w:pPr>
            <w:r>
              <w:rPr>
                <w:sz w:val="22"/>
              </w:rPr>
              <w:t>N/A</w:t>
            </w:r>
          </w:p>
        </w:tc>
        <w:tc>
          <w:tcPr>
            <w:tcW w:w="851" w:type="dxa"/>
          </w:tcPr>
          <w:p>
            <w:pPr>
              <w:pStyle w:val="TableParagraph"/>
              <w:spacing w:before="0"/>
              <w:ind w:left="0"/>
              <w:rPr>
                <w:rFonts w:ascii="Times New Roman"/>
                <w:sz w:val="20"/>
              </w:rPr>
            </w:pPr>
          </w:p>
        </w:tc>
      </w:tr>
    </w:tbl>
    <w:p>
      <w:pPr>
        <w:spacing w:after="0"/>
        <w:rPr>
          <w:rFonts w:ascii="Times New Roman"/>
          <w:sz w:val="20"/>
        </w:rPr>
        <w:sectPr>
          <w:pgSz w:w="11910" w:h="16840"/>
          <w:pgMar w:header="0" w:footer="1126" w:top="1340" w:bottom="1320" w:left="680" w:right="680"/>
        </w:sectPr>
      </w:pPr>
    </w:p>
    <w:p>
      <w:pPr>
        <w:pStyle w:val="BodyText"/>
        <w:spacing w:before="81"/>
        <w:ind w:left="760"/>
        <w:rPr>
          <w:rFonts w:ascii="Arial"/>
        </w:rPr>
      </w:pPr>
      <w:r>
        <w:rPr/>
        <w:pict>
          <v:shape style="position:absolute;margin-left:63.720001pt;margin-top:22.887846pt;width:467.9pt;height:31.95pt;mso-position-horizontal-relative:page;mso-position-vertical-relative:paragraph;z-index:-15725568;mso-wrap-distance-left:0;mso-wrap-distance-right:0" type="#_x0000_t202" filled="false" stroked="true" strokeweight=".47998pt" strokecolor="#000000">
            <v:textbox inset="0,0,0,0">
              <w:txbxContent>
                <w:p>
                  <w:pPr>
                    <w:pStyle w:val="BodyText"/>
                    <w:numPr>
                      <w:ilvl w:val="0"/>
                      <w:numId w:val="6"/>
                    </w:numPr>
                    <w:tabs>
                      <w:tab w:pos="530" w:val="left" w:leader="none"/>
                      <w:tab w:pos="531" w:val="left" w:leader="none"/>
                    </w:tabs>
                    <w:spacing w:line="240" w:lineRule="auto" w:before="115" w:after="0"/>
                    <w:ind w:left="530" w:right="0" w:hanging="428"/>
                    <w:jc w:val="left"/>
                  </w:pPr>
                  <w:r>
                    <w:rPr/>
                    <w:t>The PIP’s (BASE) Numeracy and Reading data for 2020 not available at time of</w:t>
                  </w:r>
                  <w:r>
                    <w:rPr>
                      <w:spacing w:val="-17"/>
                    </w:rPr>
                    <w:t> </w:t>
                  </w:r>
                  <w:r>
                    <w:rPr/>
                    <w:t>reporting.</w:t>
                  </w:r>
                </w:p>
              </w:txbxContent>
            </v:textbox>
            <v:stroke dashstyle="solid"/>
            <w10:wrap type="topAndBottom"/>
          </v:shape>
        </w:pict>
      </w:r>
      <w:r>
        <w:rPr>
          <w:rFonts w:ascii="Arial"/>
          <w:color w:val="1F4D78"/>
        </w:rPr>
        <w:t>What this evidence tells us</w:t>
      </w:r>
    </w:p>
    <w:p>
      <w:pPr>
        <w:pStyle w:val="BodyText"/>
        <w:rPr>
          <w:rFonts w:ascii="Arial"/>
          <w:sz w:val="20"/>
        </w:rPr>
      </w:pPr>
    </w:p>
    <w:p>
      <w:pPr>
        <w:pStyle w:val="BodyText"/>
        <w:spacing w:before="8"/>
        <w:rPr>
          <w:rFonts w:ascii="Arial"/>
          <w:sz w:val="25"/>
        </w:rPr>
      </w:pPr>
    </w:p>
    <w:p>
      <w:pPr>
        <w:pStyle w:val="BodyText"/>
        <w:spacing w:before="56"/>
        <w:ind w:left="760"/>
      </w:pPr>
      <w:r>
        <w:rPr>
          <w:color w:val="5B9BD4"/>
        </w:rPr>
        <w:t>Our achievements for this priority</w:t>
      </w:r>
    </w:p>
    <w:p>
      <w:pPr>
        <w:pStyle w:val="BodyText"/>
        <w:rPr>
          <w:sz w:val="25"/>
        </w:rPr>
      </w:pPr>
    </w:p>
    <w:p>
      <w:pPr>
        <w:pStyle w:val="Heading2"/>
        <w:ind w:left="705"/>
      </w:pPr>
      <w:r>
        <w:rPr/>
        <w:pict>
          <v:shape style="position:absolute;margin-left:63.600002pt;margin-top:-6.086406pt;width:468.1pt;height:585.1pt;mso-position-horizontal-relative:page;mso-position-vertical-relative:paragraph;z-index:-16174080" coordorigin="1272,-122" coordsize="9362,11702" path="m1282,1l1272,1,1272,11570,1282,11570,1282,1xm10634,11570l10624,11570,1282,11570,1272,11570,1272,11580,1282,11580,10624,11580,10634,11580,10634,11570xm10634,1l10624,1,10624,11570,10634,11570,10634,1xm10634,-122l10624,-122,1282,-122,1272,-122,1272,-112,1272,1,1282,1,1282,-112,10624,-112,10624,1,10634,1,10634,-112,10634,-122xe" filled="true" fillcolor="#000000" stroked="false">
            <v:path arrowok="t"/>
            <v:fill type="solid"/>
            <w10:wrap type="none"/>
          </v:shape>
        </w:pict>
      </w:r>
      <w:r>
        <w:rPr/>
        <w:t>Embed Future Focused Personalised Learning practices across the school</w:t>
      </w:r>
    </w:p>
    <w:p>
      <w:pPr>
        <w:pStyle w:val="BodyText"/>
        <w:ind w:left="705"/>
      </w:pPr>
      <w:r>
        <w:rPr/>
        <w:t>Coherent education pathway of curriculum, pedagogy and assessment from P-10</w:t>
      </w:r>
    </w:p>
    <w:p>
      <w:pPr>
        <w:pStyle w:val="ListParagraph"/>
        <w:numPr>
          <w:ilvl w:val="1"/>
          <w:numId w:val="5"/>
        </w:numPr>
        <w:tabs>
          <w:tab w:pos="1425" w:val="left" w:leader="none"/>
          <w:tab w:pos="1426" w:val="left" w:leader="none"/>
        </w:tabs>
        <w:spacing w:line="240" w:lineRule="auto" w:before="1" w:after="0"/>
        <w:ind w:left="1425" w:right="1083" w:hanging="360"/>
        <w:jc w:val="left"/>
        <w:rPr>
          <w:sz w:val="22"/>
        </w:rPr>
      </w:pPr>
      <w:r>
        <w:rPr>
          <w:sz w:val="22"/>
        </w:rPr>
        <w:t>The 'Journey of a Learner' articulates the learning and key stages of the 8 years of primary school</w:t>
      </w:r>
      <w:r>
        <w:rPr>
          <w:spacing w:val="-1"/>
          <w:sz w:val="22"/>
        </w:rPr>
        <w:t> </w:t>
      </w:r>
      <w:r>
        <w:rPr>
          <w:sz w:val="22"/>
        </w:rPr>
        <w:t>education.</w:t>
      </w:r>
    </w:p>
    <w:p>
      <w:pPr>
        <w:pStyle w:val="ListParagraph"/>
        <w:numPr>
          <w:ilvl w:val="1"/>
          <w:numId w:val="5"/>
        </w:numPr>
        <w:tabs>
          <w:tab w:pos="1425" w:val="left" w:leader="none"/>
          <w:tab w:pos="1426" w:val="left" w:leader="none"/>
        </w:tabs>
        <w:spacing w:line="240" w:lineRule="auto" w:before="0" w:after="0"/>
        <w:ind w:left="1425" w:right="1016" w:hanging="360"/>
        <w:jc w:val="left"/>
        <w:rPr>
          <w:sz w:val="22"/>
        </w:rPr>
      </w:pPr>
      <w:r>
        <w:rPr>
          <w:sz w:val="22"/>
        </w:rPr>
        <w:t>The Primary sector has vertically mapped the curriculum for students in reading, writing, numeracy and concepts in integrated inquiry providing a coherent pathway for teachers to follow as they plan for</w:t>
      </w:r>
      <w:r>
        <w:rPr>
          <w:spacing w:val="-4"/>
          <w:sz w:val="22"/>
        </w:rPr>
        <w:t> </w:t>
      </w:r>
      <w:r>
        <w:rPr>
          <w:sz w:val="22"/>
        </w:rPr>
        <w:t>learning.</w:t>
      </w:r>
    </w:p>
    <w:p>
      <w:pPr>
        <w:pStyle w:val="ListParagraph"/>
        <w:numPr>
          <w:ilvl w:val="1"/>
          <w:numId w:val="5"/>
        </w:numPr>
        <w:tabs>
          <w:tab w:pos="1425" w:val="left" w:leader="none"/>
          <w:tab w:pos="1426" w:val="left" w:leader="none"/>
        </w:tabs>
        <w:spacing w:line="240" w:lineRule="auto" w:before="0" w:after="0"/>
        <w:ind w:left="1425" w:right="771" w:hanging="360"/>
        <w:jc w:val="left"/>
        <w:rPr>
          <w:sz w:val="22"/>
        </w:rPr>
      </w:pPr>
      <w:r>
        <w:rPr>
          <w:sz w:val="22"/>
        </w:rPr>
        <w:t>The Primary Conceptual framework has informed our model of inquiry to support students as global citizens.</w:t>
      </w:r>
    </w:p>
    <w:p>
      <w:pPr>
        <w:pStyle w:val="ListParagraph"/>
        <w:numPr>
          <w:ilvl w:val="1"/>
          <w:numId w:val="5"/>
        </w:numPr>
        <w:tabs>
          <w:tab w:pos="1425" w:val="left" w:leader="none"/>
          <w:tab w:pos="1426" w:val="left" w:leader="none"/>
        </w:tabs>
        <w:spacing w:line="240" w:lineRule="auto" w:before="1" w:after="0"/>
        <w:ind w:left="1425" w:right="801" w:hanging="360"/>
        <w:jc w:val="left"/>
        <w:rPr>
          <w:sz w:val="22"/>
        </w:rPr>
      </w:pPr>
      <w:r>
        <w:rPr>
          <w:sz w:val="22"/>
        </w:rPr>
        <w:t>During 2020 we have undertaken professional learning on the 10 Essential Learning Practices (ELPs). We have focused on ELP 1 &amp; 2 in depth to build staff capacity. The impact of this can be seen in the classrooms and have been documented against the standards creating a visual guide across the</w:t>
      </w:r>
      <w:r>
        <w:rPr>
          <w:spacing w:val="-4"/>
          <w:sz w:val="22"/>
        </w:rPr>
        <w:t> </w:t>
      </w:r>
      <w:r>
        <w:rPr>
          <w:sz w:val="22"/>
        </w:rPr>
        <w:t>years.</w:t>
      </w:r>
    </w:p>
    <w:p>
      <w:pPr>
        <w:pStyle w:val="ListParagraph"/>
        <w:numPr>
          <w:ilvl w:val="1"/>
          <w:numId w:val="5"/>
        </w:numPr>
        <w:tabs>
          <w:tab w:pos="1425" w:val="left" w:leader="none"/>
          <w:tab w:pos="1426" w:val="left" w:leader="none"/>
        </w:tabs>
        <w:spacing w:line="240" w:lineRule="auto" w:before="0" w:after="0"/>
        <w:ind w:left="1425" w:right="764" w:hanging="360"/>
        <w:jc w:val="left"/>
        <w:rPr>
          <w:sz w:val="22"/>
        </w:rPr>
      </w:pPr>
      <w:r>
        <w:rPr>
          <w:sz w:val="22"/>
        </w:rPr>
        <w:t>In Secondary work continues strengthening the connections between curriculum, assessment and pedagogy. Faculties undertook structured action research process to evaluate, research and improve</w:t>
      </w:r>
      <w:r>
        <w:rPr>
          <w:spacing w:val="-4"/>
          <w:sz w:val="22"/>
        </w:rPr>
        <w:t> </w:t>
      </w:r>
      <w:r>
        <w:rPr>
          <w:sz w:val="22"/>
        </w:rPr>
        <w:t>pedagogy.</w:t>
      </w:r>
    </w:p>
    <w:p>
      <w:pPr>
        <w:pStyle w:val="ListParagraph"/>
        <w:numPr>
          <w:ilvl w:val="1"/>
          <w:numId w:val="5"/>
        </w:numPr>
        <w:tabs>
          <w:tab w:pos="1425" w:val="left" w:leader="none"/>
          <w:tab w:pos="1426" w:val="left" w:leader="none"/>
        </w:tabs>
        <w:spacing w:line="240" w:lineRule="auto" w:before="0" w:after="0"/>
        <w:ind w:left="1425" w:right="732" w:hanging="360"/>
        <w:jc w:val="left"/>
        <w:rPr>
          <w:sz w:val="22"/>
        </w:rPr>
      </w:pPr>
      <w:r>
        <w:rPr>
          <w:sz w:val="22"/>
        </w:rPr>
        <w:t>In Secondary a learning coach has increased the effectiveness of Professional Learning Teams, built SLC capacity in leading teams and promoted the evaluation of effective teaching and learning aligning with relevant</w:t>
      </w:r>
      <w:r>
        <w:rPr>
          <w:spacing w:val="-4"/>
          <w:sz w:val="22"/>
        </w:rPr>
        <w:t> </w:t>
      </w:r>
      <w:r>
        <w:rPr>
          <w:sz w:val="22"/>
        </w:rPr>
        <w:t>curriculum</w:t>
      </w:r>
    </w:p>
    <w:p>
      <w:pPr>
        <w:pStyle w:val="ListParagraph"/>
        <w:numPr>
          <w:ilvl w:val="1"/>
          <w:numId w:val="5"/>
        </w:numPr>
        <w:tabs>
          <w:tab w:pos="1425" w:val="left" w:leader="none"/>
          <w:tab w:pos="1426" w:val="left" w:leader="none"/>
        </w:tabs>
        <w:spacing w:line="240" w:lineRule="auto" w:before="0" w:after="0"/>
        <w:ind w:left="1425" w:right="1337" w:hanging="360"/>
        <w:jc w:val="left"/>
        <w:rPr>
          <w:sz w:val="22"/>
        </w:rPr>
      </w:pPr>
      <w:r>
        <w:rPr>
          <w:sz w:val="22"/>
        </w:rPr>
        <w:t>In Secondary the use of grade and achievement data has identified required changes in pedagogy to improve student</w:t>
      </w:r>
      <w:r>
        <w:rPr>
          <w:spacing w:val="-2"/>
          <w:sz w:val="22"/>
        </w:rPr>
        <w:t> </w:t>
      </w:r>
      <w:r>
        <w:rPr>
          <w:sz w:val="22"/>
        </w:rPr>
        <w:t>outcomes.</w:t>
      </w:r>
    </w:p>
    <w:p>
      <w:pPr>
        <w:pStyle w:val="ListParagraph"/>
        <w:numPr>
          <w:ilvl w:val="1"/>
          <w:numId w:val="5"/>
        </w:numPr>
        <w:tabs>
          <w:tab w:pos="1425" w:val="left" w:leader="none"/>
          <w:tab w:pos="1426" w:val="left" w:leader="none"/>
        </w:tabs>
        <w:spacing w:line="240" w:lineRule="auto" w:before="0" w:after="0"/>
        <w:ind w:left="1425" w:right="0" w:hanging="361"/>
        <w:jc w:val="left"/>
        <w:rPr>
          <w:sz w:val="22"/>
        </w:rPr>
      </w:pPr>
      <w:r>
        <w:rPr>
          <w:sz w:val="22"/>
        </w:rPr>
        <w:t>Preschool Semester Report templates have been updated to embed learner asset</w:t>
      </w:r>
      <w:r>
        <w:rPr>
          <w:spacing w:val="-18"/>
          <w:sz w:val="22"/>
        </w:rPr>
        <w:t> </w:t>
      </w:r>
      <w:r>
        <w:rPr>
          <w:sz w:val="22"/>
        </w:rPr>
        <w:t>language.</w:t>
      </w:r>
    </w:p>
    <w:p>
      <w:pPr>
        <w:pStyle w:val="BodyText"/>
      </w:pPr>
    </w:p>
    <w:p>
      <w:pPr>
        <w:pStyle w:val="BodyText"/>
        <w:spacing w:line="268" w:lineRule="exact"/>
        <w:ind w:left="705"/>
      </w:pPr>
      <w:r>
        <w:rPr/>
        <w:t>Gifted and Talented students engaged and extended to achieve expected growth</w:t>
      </w:r>
    </w:p>
    <w:p>
      <w:pPr>
        <w:pStyle w:val="ListParagraph"/>
        <w:numPr>
          <w:ilvl w:val="1"/>
          <w:numId w:val="5"/>
        </w:numPr>
        <w:tabs>
          <w:tab w:pos="1425" w:val="left" w:leader="none"/>
          <w:tab w:pos="1426" w:val="left" w:leader="none"/>
        </w:tabs>
        <w:spacing w:line="240" w:lineRule="auto" w:before="0" w:after="0"/>
        <w:ind w:left="1425" w:right="758" w:hanging="360"/>
        <w:jc w:val="left"/>
        <w:rPr>
          <w:sz w:val="22"/>
        </w:rPr>
      </w:pPr>
      <w:r>
        <w:rPr>
          <w:sz w:val="22"/>
        </w:rPr>
        <w:t>Gifted and Talented education has been improved through the introduction of class clusters. Teachers involved in Gifted Education PL by completing a mini Certificate of Gifted</w:t>
      </w:r>
      <w:r>
        <w:rPr>
          <w:spacing w:val="-16"/>
          <w:sz w:val="22"/>
        </w:rPr>
        <w:t> </w:t>
      </w:r>
      <w:r>
        <w:rPr>
          <w:sz w:val="22"/>
        </w:rPr>
        <w:t>Education.</w:t>
      </w:r>
    </w:p>
    <w:p>
      <w:pPr>
        <w:pStyle w:val="ListParagraph"/>
        <w:numPr>
          <w:ilvl w:val="1"/>
          <w:numId w:val="5"/>
        </w:numPr>
        <w:tabs>
          <w:tab w:pos="1425" w:val="left" w:leader="none"/>
          <w:tab w:pos="1426" w:val="left" w:leader="none"/>
        </w:tabs>
        <w:spacing w:line="240" w:lineRule="auto" w:before="0" w:after="0"/>
        <w:ind w:left="1425" w:right="711" w:hanging="360"/>
        <w:jc w:val="left"/>
        <w:rPr>
          <w:sz w:val="22"/>
        </w:rPr>
      </w:pPr>
      <w:r>
        <w:rPr>
          <w:sz w:val="22"/>
        </w:rPr>
        <w:t>Testing processes have been streamlined across the school improving identification so all G&amp;T students have the opportunity for inclusion in the Apollo</w:t>
      </w:r>
      <w:r>
        <w:rPr>
          <w:spacing w:val="-12"/>
          <w:sz w:val="22"/>
        </w:rPr>
        <w:t> </w:t>
      </w:r>
      <w:r>
        <w:rPr>
          <w:sz w:val="22"/>
        </w:rPr>
        <w:t>program.</w:t>
      </w:r>
    </w:p>
    <w:p>
      <w:pPr>
        <w:pStyle w:val="ListParagraph"/>
        <w:numPr>
          <w:ilvl w:val="1"/>
          <w:numId w:val="5"/>
        </w:numPr>
        <w:tabs>
          <w:tab w:pos="1425" w:val="left" w:leader="none"/>
          <w:tab w:pos="1426" w:val="left" w:leader="none"/>
        </w:tabs>
        <w:spacing w:line="240" w:lineRule="auto" w:before="1" w:after="0"/>
        <w:ind w:left="1425" w:right="899" w:hanging="360"/>
        <w:jc w:val="left"/>
        <w:rPr>
          <w:sz w:val="22"/>
        </w:rPr>
      </w:pPr>
      <w:r>
        <w:rPr>
          <w:sz w:val="22"/>
        </w:rPr>
        <w:t>Secondary Apollo students were surveyed and gave feedback on assessment, reporting, and pedagogy which has been considered in the future planning of the Apollo</w:t>
      </w:r>
      <w:r>
        <w:rPr>
          <w:spacing w:val="-13"/>
          <w:sz w:val="22"/>
        </w:rPr>
        <w:t> </w:t>
      </w:r>
      <w:r>
        <w:rPr>
          <w:sz w:val="22"/>
        </w:rPr>
        <w:t>program.</w:t>
      </w:r>
    </w:p>
    <w:p>
      <w:pPr>
        <w:pStyle w:val="BodyText"/>
        <w:spacing w:before="10"/>
        <w:rPr>
          <w:sz w:val="21"/>
        </w:rPr>
      </w:pPr>
    </w:p>
    <w:p>
      <w:pPr>
        <w:pStyle w:val="BodyText"/>
        <w:ind w:left="705"/>
      </w:pPr>
      <w:r>
        <w:rPr/>
        <w:t>Response to Intervention targeted students supported to achieve at expected levels</w:t>
      </w:r>
    </w:p>
    <w:p>
      <w:pPr>
        <w:pStyle w:val="ListParagraph"/>
        <w:numPr>
          <w:ilvl w:val="1"/>
          <w:numId w:val="5"/>
        </w:numPr>
        <w:tabs>
          <w:tab w:pos="1425" w:val="left" w:leader="none"/>
          <w:tab w:pos="1426" w:val="left" w:leader="none"/>
        </w:tabs>
        <w:spacing w:line="240" w:lineRule="auto" w:before="1" w:after="0"/>
        <w:ind w:left="1425" w:right="929" w:hanging="360"/>
        <w:jc w:val="left"/>
        <w:rPr>
          <w:sz w:val="22"/>
        </w:rPr>
      </w:pPr>
      <w:r>
        <w:rPr>
          <w:sz w:val="22"/>
        </w:rPr>
        <w:t>The Student Focus process in Primary has been updated to better identify students who are then referred for specialist support, intervention programs and to external</w:t>
      </w:r>
      <w:r>
        <w:rPr>
          <w:spacing w:val="-18"/>
          <w:sz w:val="22"/>
        </w:rPr>
        <w:t> </w:t>
      </w:r>
      <w:r>
        <w:rPr>
          <w:sz w:val="22"/>
        </w:rPr>
        <w:t>professionals.</w:t>
      </w:r>
    </w:p>
    <w:p>
      <w:pPr>
        <w:pStyle w:val="ListParagraph"/>
        <w:numPr>
          <w:ilvl w:val="1"/>
          <w:numId w:val="5"/>
        </w:numPr>
        <w:tabs>
          <w:tab w:pos="1425" w:val="left" w:leader="none"/>
          <w:tab w:pos="1426" w:val="left" w:leader="none"/>
        </w:tabs>
        <w:spacing w:line="240" w:lineRule="auto" w:before="1" w:after="0"/>
        <w:ind w:left="1425" w:right="881" w:hanging="360"/>
        <w:jc w:val="left"/>
        <w:rPr>
          <w:sz w:val="22"/>
        </w:rPr>
      </w:pPr>
      <w:r>
        <w:rPr>
          <w:sz w:val="22"/>
        </w:rPr>
        <w:t>Primary SLCs have engaged in collaborative coaching sessions with classroom teachers using the Essential Literacy</w:t>
      </w:r>
      <w:r>
        <w:rPr>
          <w:spacing w:val="-5"/>
          <w:sz w:val="22"/>
        </w:rPr>
        <w:t> </w:t>
      </w:r>
      <w:r>
        <w:rPr>
          <w:sz w:val="22"/>
        </w:rPr>
        <w:t>Practices.</w:t>
      </w:r>
    </w:p>
    <w:p>
      <w:pPr>
        <w:pStyle w:val="ListParagraph"/>
        <w:numPr>
          <w:ilvl w:val="1"/>
          <w:numId w:val="5"/>
        </w:numPr>
        <w:tabs>
          <w:tab w:pos="1425" w:val="left" w:leader="none"/>
          <w:tab w:pos="1426" w:val="left" w:leader="none"/>
        </w:tabs>
        <w:spacing w:line="240" w:lineRule="auto" w:before="1" w:after="0"/>
        <w:ind w:left="1425" w:right="869" w:hanging="360"/>
        <w:jc w:val="left"/>
        <w:rPr>
          <w:sz w:val="22"/>
        </w:rPr>
      </w:pPr>
      <w:r>
        <w:rPr>
          <w:sz w:val="22"/>
        </w:rPr>
        <w:t>In Secondary new diagnostic assessments are used to identify students needing support in literacy and numeracy. Intensive intervention provided for identified students in years 7 and 8.</w:t>
      </w:r>
    </w:p>
    <w:p>
      <w:pPr>
        <w:pStyle w:val="ListParagraph"/>
        <w:numPr>
          <w:ilvl w:val="1"/>
          <w:numId w:val="5"/>
        </w:numPr>
        <w:tabs>
          <w:tab w:pos="1425" w:val="left" w:leader="none"/>
          <w:tab w:pos="1426" w:val="left" w:leader="none"/>
        </w:tabs>
        <w:spacing w:line="240" w:lineRule="auto" w:before="0" w:after="0"/>
        <w:ind w:left="1425" w:right="718" w:hanging="360"/>
        <w:jc w:val="left"/>
        <w:rPr>
          <w:sz w:val="22"/>
        </w:rPr>
      </w:pPr>
      <w:r>
        <w:rPr>
          <w:sz w:val="22"/>
        </w:rPr>
        <w:t>The response to intervention model in secondary was significantly reshaped by the COVID experience. This included having all Amcares teachers implementing a differentiated model of support based on individual student/family needs. This included: ICT support for</w:t>
      </w:r>
      <w:r>
        <w:rPr>
          <w:spacing w:val="-20"/>
          <w:sz w:val="22"/>
        </w:rPr>
        <w:t> </w:t>
      </w:r>
      <w:r>
        <w:rPr>
          <w:sz w:val="22"/>
        </w:rPr>
        <w:t>families,</w:t>
      </w:r>
    </w:p>
    <w:p>
      <w:pPr>
        <w:spacing w:after="0" w:line="240" w:lineRule="auto"/>
        <w:jc w:val="left"/>
        <w:rPr>
          <w:sz w:val="22"/>
        </w:rPr>
        <w:sectPr>
          <w:pgSz w:w="11910" w:h="16840"/>
          <w:pgMar w:header="0" w:footer="1126" w:top="1340" w:bottom="1320" w:left="680" w:right="680"/>
        </w:sectPr>
      </w:pPr>
    </w:p>
    <w:p>
      <w:pPr>
        <w:pStyle w:val="BodyText"/>
        <w:spacing w:before="123"/>
        <w:ind w:left="1425" w:right="1209"/>
        <w:jc w:val="both"/>
      </w:pPr>
      <w:r>
        <w:rPr/>
        <w:pict>
          <v:shape style="position:absolute;margin-left:63.600002pt;margin-top:.063582pt;width:468.1pt;height:420.45pt;mso-position-horizontal-relative:page;mso-position-vertical-relative:paragraph;z-index:-16173056" coordorigin="1272,1" coordsize="9362,8409" path="m10634,1l10624,1,10624,11,10624,124,10624,8400,1282,8400,1282,124,1282,11,10624,11,10624,1,1282,1,1272,1,1272,11,1272,124,1272,8400,1272,8410,1282,8410,10624,8410,10634,8410,10634,8400,10634,124,10634,11,10634,1xe" filled="true" fillcolor="#000000" stroked="false">
            <v:path arrowok="t"/>
            <v:fill type="solid"/>
            <w10:wrap type="none"/>
          </v:shape>
        </w:pict>
      </w:r>
      <w:r>
        <w:rPr/>
        <w:t>literacy support provided via individual Google Meets, social &amp; emotional check in's with members of the Wellbeing Hub.</w:t>
      </w:r>
    </w:p>
    <w:p>
      <w:pPr>
        <w:pStyle w:val="ListParagraph"/>
        <w:numPr>
          <w:ilvl w:val="1"/>
          <w:numId w:val="5"/>
        </w:numPr>
        <w:tabs>
          <w:tab w:pos="1426" w:val="left" w:leader="none"/>
        </w:tabs>
        <w:spacing w:line="240" w:lineRule="auto" w:before="1" w:after="0"/>
        <w:ind w:left="1425" w:right="1021" w:hanging="360"/>
        <w:jc w:val="both"/>
        <w:rPr>
          <w:sz w:val="22"/>
        </w:rPr>
      </w:pPr>
      <w:r>
        <w:rPr>
          <w:sz w:val="22"/>
        </w:rPr>
        <w:t>Wellbeing Hub established to provide a one stop support for secondary students and their families with strategic placement of wellbeing staff such as the School Psychologist, School Health Nurse, Youth Worker, Indigenous Education Officer and Year</w:t>
      </w:r>
      <w:r>
        <w:rPr>
          <w:spacing w:val="-11"/>
          <w:sz w:val="22"/>
        </w:rPr>
        <w:t> </w:t>
      </w:r>
      <w:r>
        <w:rPr>
          <w:sz w:val="22"/>
        </w:rPr>
        <w:t>Coordinators.</w:t>
      </w:r>
    </w:p>
    <w:p>
      <w:pPr>
        <w:pStyle w:val="ListParagraph"/>
        <w:numPr>
          <w:ilvl w:val="1"/>
          <w:numId w:val="5"/>
        </w:numPr>
        <w:tabs>
          <w:tab w:pos="1426" w:val="left" w:leader="none"/>
        </w:tabs>
        <w:spacing w:line="240" w:lineRule="auto" w:before="0" w:after="0"/>
        <w:ind w:left="1425" w:right="1181" w:hanging="360"/>
        <w:jc w:val="both"/>
        <w:rPr>
          <w:sz w:val="22"/>
        </w:rPr>
      </w:pPr>
      <w:r>
        <w:rPr>
          <w:sz w:val="22"/>
        </w:rPr>
        <w:t>Secondary student wellbeing website developed and launched during remote learning to meet the wellbeing needs of students and families giving immediate access to resources, emergency contacts, information and connection to school</w:t>
      </w:r>
      <w:r>
        <w:rPr>
          <w:spacing w:val="-7"/>
          <w:sz w:val="22"/>
        </w:rPr>
        <w:t> </w:t>
      </w:r>
      <w:r>
        <w:rPr>
          <w:sz w:val="22"/>
        </w:rPr>
        <w:t>staff.</w:t>
      </w:r>
    </w:p>
    <w:p>
      <w:pPr>
        <w:pStyle w:val="ListParagraph"/>
        <w:numPr>
          <w:ilvl w:val="1"/>
          <w:numId w:val="5"/>
        </w:numPr>
        <w:tabs>
          <w:tab w:pos="1425" w:val="left" w:leader="none"/>
          <w:tab w:pos="1426" w:val="left" w:leader="none"/>
        </w:tabs>
        <w:spacing w:line="240" w:lineRule="auto" w:before="0" w:after="0"/>
        <w:ind w:left="1425" w:right="992" w:hanging="360"/>
        <w:jc w:val="left"/>
        <w:rPr>
          <w:sz w:val="22"/>
        </w:rPr>
      </w:pPr>
      <w:r>
        <w:rPr>
          <w:sz w:val="22"/>
        </w:rPr>
        <w:t>Development and ongoing use of the data tool enabling all staff to access student data and grades.</w:t>
      </w:r>
    </w:p>
    <w:p>
      <w:pPr>
        <w:pStyle w:val="ListParagraph"/>
        <w:numPr>
          <w:ilvl w:val="1"/>
          <w:numId w:val="5"/>
        </w:numPr>
        <w:tabs>
          <w:tab w:pos="1425" w:val="left" w:leader="none"/>
          <w:tab w:pos="1426" w:val="left" w:leader="none"/>
        </w:tabs>
        <w:spacing w:line="240" w:lineRule="auto" w:before="1" w:after="0"/>
        <w:ind w:left="1425" w:right="875" w:hanging="360"/>
        <w:jc w:val="left"/>
        <w:rPr>
          <w:sz w:val="22"/>
        </w:rPr>
      </w:pPr>
      <w:r>
        <w:rPr>
          <w:sz w:val="22"/>
        </w:rPr>
        <w:t>Secondary student self-reflection and evaluation surveys conducted prior to each reporting period to give staff deeper insight of student wellbeing and individual need and success. Students were also surveyed as to their preparedness for remote learning so that targeted support could be provided as required. Eg. Internet access, lessons on using email, accessing Google Classroom</w:t>
      </w:r>
      <w:r>
        <w:rPr>
          <w:spacing w:val="2"/>
          <w:sz w:val="22"/>
        </w:rPr>
        <w:t> </w:t>
      </w:r>
      <w:r>
        <w:rPr>
          <w:sz w:val="22"/>
        </w:rPr>
        <w:t>etc.</w:t>
      </w:r>
    </w:p>
    <w:p>
      <w:pPr>
        <w:pStyle w:val="ListParagraph"/>
        <w:numPr>
          <w:ilvl w:val="1"/>
          <w:numId w:val="5"/>
        </w:numPr>
        <w:tabs>
          <w:tab w:pos="1425" w:val="left" w:leader="none"/>
          <w:tab w:pos="1426" w:val="left" w:leader="none"/>
        </w:tabs>
        <w:spacing w:line="240" w:lineRule="auto" w:before="0" w:after="0"/>
        <w:ind w:left="1425" w:right="768" w:hanging="360"/>
        <w:jc w:val="left"/>
        <w:rPr>
          <w:sz w:val="22"/>
        </w:rPr>
      </w:pPr>
      <w:r>
        <w:rPr>
          <w:sz w:val="22"/>
        </w:rPr>
        <w:t>Increased, targeted future pathways for secondary students such as - work experience, ASBA, VLO, work ready certificates, road ready training, financial literacy</w:t>
      </w:r>
      <w:r>
        <w:rPr>
          <w:spacing w:val="-7"/>
          <w:sz w:val="22"/>
        </w:rPr>
        <w:t> </w:t>
      </w:r>
      <w:r>
        <w:rPr>
          <w:sz w:val="22"/>
        </w:rPr>
        <w:t>etc.</w:t>
      </w:r>
    </w:p>
    <w:p>
      <w:pPr>
        <w:pStyle w:val="BodyText"/>
      </w:pPr>
    </w:p>
    <w:p>
      <w:pPr>
        <w:pStyle w:val="BodyText"/>
        <w:spacing w:line="268" w:lineRule="exact"/>
        <w:ind w:left="705"/>
      </w:pPr>
      <w:r>
        <w:rPr/>
        <w:t>Improved Inclusion Support Program student transitions</w:t>
      </w:r>
    </w:p>
    <w:p>
      <w:pPr>
        <w:pStyle w:val="ListParagraph"/>
        <w:numPr>
          <w:ilvl w:val="1"/>
          <w:numId w:val="5"/>
        </w:numPr>
        <w:tabs>
          <w:tab w:pos="1425" w:val="left" w:leader="none"/>
          <w:tab w:pos="1426" w:val="left" w:leader="none"/>
        </w:tabs>
        <w:spacing w:line="240" w:lineRule="auto" w:before="0" w:after="0"/>
        <w:ind w:left="1425" w:right="1392" w:hanging="360"/>
        <w:jc w:val="left"/>
        <w:rPr>
          <w:sz w:val="22"/>
        </w:rPr>
      </w:pPr>
      <w:r>
        <w:rPr>
          <w:sz w:val="22"/>
        </w:rPr>
        <w:t>Learning Support Programs expanded this year with students fluidly transitioning from mainstream to units and back</w:t>
      </w:r>
      <w:r>
        <w:rPr>
          <w:spacing w:val="-2"/>
          <w:sz w:val="22"/>
        </w:rPr>
        <w:t> </w:t>
      </w:r>
      <w:r>
        <w:rPr>
          <w:sz w:val="22"/>
        </w:rPr>
        <w:t>again.</w:t>
      </w:r>
    </w:p>
    <w:p>
      <w:pPr>
        <w:pStyle w:val="ListParagraph"/>
        <w:numPr>
          <w:ilvl w:val="1"/>
          <w:numId w:val="5"/>
        </w:numPr>
        <w:tabs>
          <w:tab w:pos="1425" w:val="left" w:leader="none"/>
          <w:tab w:pos="1426" w:val="left" w:leader="none"/>
        </w:tabs>
        <w:spacing w:line="240" w:lineRule="auto" w:before="0" w:after="0"/>
        <w:ind w:left="1425" w:right="780" w:hanging="360"/>
        <w:jc w:val="left"/>
        <w:rPr>
          <w:sz w:val="22"/>
        </w:rPr>
      </w:pPr>
      <w:r>
        <w:rPr>
          <w:sz w:val="22"/>
        </w:rPr>
        <w:t>ISP practices continue to improve to ensure that all students have an inclusive and integrated timetable that suits their needs. There is a highly structured induction program for every student in the Diamond program allowing the secondary school to build trusting and reciprocal working relationships that are focused on individual learning plans with a focus on both therapeutic and educative</w:t>
      </w:r>
      <w:r>
        <w:rPr>
          <w:spacing w:val="-5"/>
          <w:sz w:val="22"/>
        </w:rPr>
        <w:t> </w:t>
      </w:r>
      <w:r>
        <w:rPr>
          <w:sz w:val="22"/>
        </w:rPr>
        <w:t>goals.</w:t>
      </w:r>
    </w:p>
    <w:p>
      <w:pPr>
        <w:pStyle w:val="BodyText"/>
        <w:spacing w:before="1"/>
      </w:pPr>
    </w:p>
    <w:p>
      <w:pPr>
        <w:pStyle w:val="BodyText"/>
        <w:spacing w:line="268" w:lineRule="exact"/>
        <w:ind w:left="705"/>
      </w:pPr>
      <w:r>
        <w:rPr/>
        <w:t>Improved levels of student agency within preschool programs and groupings</w:t>
      </w:r>
    </w:p>
    <w:p>
      <w:pPr>
        <w:pStyle w:val="ListParagraph"/>
        <w:numPr>
          <w:ilvl w:val="1"/>
          <w:numId w:val="5"/>
        </w:numPr>
        <w:tabs>
          <w:tab w:pos="1425" w:val="left" w:leader="none"/>
          <w:tab w:pos="1426" w:val="left" w:leader="none"/>
        </w:tabs>
        <w:spacing w:line="279" w:lineRule="exact" w:before="0" w:after="0"/>
        <w:ind w:left="1425" w:right="0" w:hanging="361"/>
        <w:jc w:val="left"/>
        <w:rPr>
          <w:sz w:val="22"/>
        </w:rPr>
      </w:pPr>
      <w:r>
        <w:rPr>
          <w:sz w:val="22"/>
        </w:rPr>
        <w:t>Development of preschool learner asset grid to observe and analyse student</w:t>
      </w:r>
      <w:r>
        <w:rPr>
          <w:spacing w:val="-11"/>
          <w:sz w:val="22"/>
        </w:rPr>
        <w:t> </w:t>
      </w:r>
      <w:r>
        <w:rPr>
          <w:sz w:val="22"/>
        </w:rPr>
        <w:t>learning.</w:t>
      </w:r>
    </w:p>
    <w:p>
      <w:pPr>
        <w:pStyle w:val="ListParagraph"/>
        <w:numPr>
          <w:ilvl w:val="1"/>
          <w:numId w:val="5"/>
        </w:numPr>
        <w:tabs>
          <w:tab w:pos="1425" w:val="left" w:leader="none"/>
          <w:tab w:pos="1426" w:val="left" w:leader="none"/>
        </w:tabs>
        <w:spacing w:line="240" w:lineRule="auto" w:before="1" w:after="0"/>
        <w:ind w:left="1425" w:right="0" w:hanging="361"/>
        <w:jc w:val="left"/>
        <w:rPr>
          <w:sz w:val="22"/>
        </w:rPr>
      </w:pPr>
      <w:r>
        <w:rPr>
          <w:sz w:val="22"/>
        </w:rPr>
        <w:t>A weekly critical reflection embedded to inform changes to routines/practices in</w:t>
      </w:r>
      <w:r>
        <w:rPr>
          <w:spacing w:val="-14"/>
          <w:sz w:val="22"/>
        </w:rPr>
        <w:t> </w:t>
      </w:r>
      <w:r>
        <w:rPr>
          <w:sz w:val="22"/>
        </w:rPr>
        <w:t>Preschool.</w:t>
      </w:r>
    </w:p>
    <w:p>
      <w:pPr>
        <w:pStyle w:val="BodyText"/>
        <w:rPr>
          <w:sz w:val="20"/>
        </w:rPr>
      </w:pPr>
    </w:p>
    <w:p>
      <w:pPr>
        <w:pStyle w:val="BodyText"/>
        <w:spacing w:before="1"/>
        <w:rPr>
          <w:sz w:val="18"/>
        </w:rPr>
      </w:pPr>
    </w:p>
    <w:p>
      <w:pPr>
        <w:pStyle w:val="BodyText"/>
        <w:spacing w:before="93"/>
        <w:ind w:left="760"/>
        <w:rPr>
          <w:rFonts w:ascii="Arial"/>
        </w:rPr>
      </w:pPr>
      <w:r>
        <w:rPr>
          <w:rFonts w:ascii="Arial"/>
          <w:color w:val="1F4D78"/>
        </w:rPr>
        <w:t>Challenges we will address in our next Action Plan</w:t>
      </w:r>
    </w:p>
    <w:p>
      <w:pPr>
        <w:pStyle w:val="BodyText"/>
        <w:spacing w:before="2"/>
        <w:rPr>
          <w:rFonts w:ascii="Arial"/>
          <w:sz w:val="12"/>
        </w:rPr>
      </w:pPr>
      <w:r>
        <w:rPr/>
        <w:pict>
          <v:shape style="position:absolute;margin-left:72.024002pt;margin-top:9.216436pt;width:451.4pt;height:159.65pt;mso-position-horizontal-relative:page;mso-position-vertical-relative:paragraph;z-index:-15724544;mso-wrap-distance-left:0;mso-wrap-distance-right:0" type="#_x0000_t202" filled="false" stroked="true" strokeweight=".47998pt" strokecolor="#000000">
            <v:textbox inset="0,0,0,0">
              <w:txbxContent>
                <w:p>
                  <w:pPr>
                    <w:spacing w:before="112"/>
                    <w:ind w:left="103" w:right="0" w:firstLine="0"/>
                    <w:jc w:val="left"/>
                    <w:rPr>
                      <w:b/>
                      <w:sz w:val="22"/>
                    </w:rPr>
                  </w:pPr>
                  <w:r>
                    <w:rPr>
                      <w:b/>
                      <w:sz w:val="22"/>
                    </w:rPr>
                    <w:t>Embed Future Focused Personalised Learning practices across the school</w:t>
                  </w:r>
                </w:p>
                <w:p>
                  <w:pPr>
                    <w:pStyle w:val="BodyText"/>
                    <w:rPr>
                      <w:b/>
                    </w:rPr>
                  </w:pPr>
                </w:p>
                <w:p>
                  <w:pPr>
                    <w:pStyle w:val="BodyText"/>
                    <w:numPr>
                      <w:ilvl w:val="0"/>
                      <w:numId w:val="7"/>
                    </w:numPr>
                    <w:tabs>
                      <w:tab w:pos="463" w:val="left" w:leader="none"/>
                      <w:tab w:pos="464" w:val="left" w:leader="none"/>
                    </w:tabs>
                    <w:spacing w:line="240" w:lineRule="auto" w:before="0" w:after="0"/>
                    <w:ind w:left="463" w:right="0" w:hanging="361"/>
                    <w:jc w:val="left"/>
                  </w:pPr>
                  <w:r>
                    <w:rPr/>
                    <w:t>Improvement of differentiated instruction in literacy across</w:t>
                  </w:r>
                  <w:r>
                    <w:rPr>
                      <w:spacing w:val="-11"/>
                    </w:rPr>
                    <w:t> </w:t>
                  </w:r>
                  <w:r>
                    <w:rPr/>
                    <w:t>P-6.</w:t>
                  </w:r>
                </w:p>
                <w:p>
                  <w:pPr>
                    <w:pStyle w:val="BodyText"/>
                    <w:spacing w:before="1"/>
                    <w:ind w:left="463" w:right="383" w:hanging="360"/>
                  </w:pPr>
                  <w:r>
                    <w:rPr/>
                    <w:t>FF Learning improve teacher knowledge in engineering and STEM in enhancing primary enquiry units.</w:t>
                  </w:r>
                </w:p>
                <w:p>
                  <w:pPr>
                    <w:pStyle w:val="BodyText"/>
                    <w:numPr>
                      <w:ilvl w:val="0"/>
                      <w:numId w:val="7"/>
                    </w:numPr>
                    <w:tabs>
                      <w:tab w:pos="463" w:val="left" w:leader="none"/>
                      <w:tab w:pos="464" w:val="left" w:leader="none"/>
                    </w:tabs>
                    <w:spacing w:line="240" w:lineRule="auto" w:before="0" w:after="0"/>
                    <w:ind w:left="463" w:right="235" w:hanging="360"/>
                    <w:jc w:val="left"/>
                  </w:pPr>
                  <w:r>
                    <w:rPr/>
                    <w:t>The P-6 and 7-10 (currently under development) Pedagogical Frameworks need to be aligned and clearly articulated to support the seamless transition from Primary to Secondary with consideration to the needs of approximately 1/3 of the year 7 cohort which enrol from other schools.</w:t>
                  </w:r>
                </w:p>
                <w:p>
                  <w:pPr>
                    <w:pStyle w:val="BodyText"/>
                    <w:numPr>
                      <w:ilvl w:val="0"/>
                      <w:numId w:val="7"/>
                    </w:numPr>
                    <w:tabs>
                      <w:tab w:pos="463" w:val="left" w:leader="none"/>
                      <w:tab w:pos="464" w:val="left" w:leader="none"/>
                    </w:tabs>
                    <w:spacing w:line="240" w:lineRule="auto" w:before="0" w:after="0"/>
                    <w:ind w:left="463" w:right="108" w:hanging="360"/>
                    <w:jc w:val="left"/>
                  </w:pPr>
                  <w:r>
                    <w:rPr/>
                    <w:t>The alignment of Secondary curriculum is embedded and would benefit from addressing the interconnected nature of different learning areas eg: Science with Maths or English with</w:t>
                  </w:r>
                  <w:r>
                    <w:rPr>
                      <w:spacing w:val="-16"/>
                    </w:rPr>
                    <w:t> </w:t>
                  </w:r>
                  <w:r>
                    <w:rPr/>
                    <w:t>HASS.</w:t>
                  </w:r>
                </w:p>
              </w:txbxContent>
            </v:textbox>
            <v:stroke dashstyle="solid"/>
            <w10:wrap type="topAndBottom"/>
          </v:shape>
        </w:pict>
      </w:r>
    </w:p>
    <w:p>
      <w:pPr>
        <w:pStyle w:val="BodyText"/>
        <w:spacing w:before="1"/>
        <w:rPr>
          <w:rFonts w:ascii="Arial"/>
          <w:sz w:val="29"/>
        </w:rPr>
      </w:pPr>
    </w:p>
    <w:p>
      <w:pPr>
        <w:pStyle w:val="Heading1"/>
        <w:spacing w:before="93"/>
      </w:pPr>
      <w:r>
        <w:rPr>
          <w:color w:val="1F4E79"/>
        </w:rPr>
        <w:t>Reporting on preschool improvement</w:t>
      </w:r>
    </w:p>
    <w:p>
      <w:pPr>
        <w:spacing w:after="0"/>
        <w:sectPr>
          <w:pgSz w:w="11910" w:h="16840"/>
          <w:pgMar w:header="0" w:footer="1126" w:top="1420" w:bottom="1320" w:left="680" w:right="680"/>
        </w:sectPr>
      </w:pPr>
    </w:p>
    <w:p>
      <w:pPr>
        <w:pStyle w:val="BodyText"/>
        <w:rPr>
          <w:rFonts w:ascii="Arial"/>
          <w:sz w:val="20"/>
        </w:rPr>
      </w:pPr>
    </w:p>
    <w:p>
      <w:pPr>
        <w:pStyle w:val="BodyText"/>
        <w:spacing w:before="10"/>
        <w:rPr>
          <w:rFonts w:ascii="Arial"/>
          <w:sz w:val="25"/>
        </w:rPr>
      </w:pPr>
    </w:p>
    <w:p>
      <w:pPr>
        <w:spacing w:before="92"/>
        <w:ind w:left="760" w:right="0" w:firstLine="0"/>
        <w:jc w:val="left"/>
        <w:rPr>
          <w:rFonts w:ascii="Arial"/>
          <w:sz w:val="22"/>
        </w:rPr>
      </w:pPr>
      <w:r>
        <w:rPr>
          <w:rFonts w:ascii="Arial"/>
          <w:color w:val="1F4E79"/>
          <w:sz w:val="24"/>
        </w:rPr>
        <w:t>Achievement against the National Quality Standard</w:t>
      </w:r>
      <w:r>
        <w:rPr>
          <w:rFonts w:ascii="Arial"/>
          <w:color w:val="006FC0"/>
          <w:sz w:val="22"/>
        </w:rPr>
        <w:t>s</w:t>
      </w:r>
    </w:p>
    <w:p>
      <w:pPr>
        <w:pStyle w:val="BodyText"/>
        <w:spacing w:before="4"/>
        <w:rPr>
          <w:rFonts w:ascii="Arial"/>
          <w:sz w:val="21"/>
        </w:rPr>
      </w:pPr>
      <w:r>
        <w:rPr/>
        <w:drawing>
          <wp:anchor distT="0" distB="0" distL="0" distR="0" allowOverlap="1" layoutInCell="1" locked="0" behindDoc="0" simplePos="0" relativeHeight="10">
            <wp:simplePos x="0" y="0"/>
            <wp:positionH relativeFrom="page">
              <wp:posOffset>1009650</wp:posOffset>
            </wp:positionH>
            <wp:positionV relativeFrom="paragraph">
              <wp:posOffset>180814</wp:posOffset>
            </wp:positionV>
            <wp:extent cx="4848819" cy="2838450"/>
            <wp:effectExtent l="0" t="0" r="0" b="0"/>
            <wp:wrapTopAndBottom/>
            <wp:docPr id="1" name="image1.png" descr="https://lh4.googleusercontent.com/bJApE0Nx3-FNvhbf1qf2t_Jko5V0n-wO8JtDcEyb8QA9ar1lOo8ng7HdWY8gLgHG8lH3wiL9NuJFS0OeCF0noVH2jEBbHguTcmmDC0wQzv2GNEO6elOgyJ1BNY1v58o_0SypUdsq"/>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848819" cy="2838450"/>
                    </a:xfrm>
                    <a:prstGeom prst="rect">
                      <a:avLst/>
                    </a:prstGeom>
                  </pic:spPr>
                </pic:pic>
              </a:graphicData>
            </a:graphic>
          </wp:anchor>
        </w:drawing>
      </w:r>
    </w:p>
    <w:p>
      <w:pPr>
        <w:pStyle w:val="BodyText"/>
        <w:rPr>
          <w:rFonts w:ascii="Arial"/>
          <w:sz w:val="30"/>
        </w:rPr>
      </w:pPr>
    </w:p>
    <w:p>
      <w:pPr>
        <w:pStyle w:val="BodyText"/>
        <w:ind w:left="760"/>
      </w:pPr>
      <w:r>
        <w:rPr/>
        <w:t>The above graph represents achievement against the 7 Quality Areas.</w:t>
      </w:r>
    </w:p>
    <w:p>
      <w:pPr>
        <w:pStyle w:val="ListParagraph"/>
        <w:numPr>
          <w:ilvl w:val="1"/>
          <w:numId w:val="5"/>
        </w:numPr>
        <w:tabs>
          <w:tab w:pos="1480" w:val="left" w:leader="none"/>
          <w:tab w:pos="1481" w:val="left" w:leader="none"/>
        </w:tabs>
        <w:spacing w:line="240" w:lineRule="auto" w:before="120" w:after="0"/>
        <w:ind w:left="1480" w:right="0" w:hanging="361"/>
        <w:jc w:val="left"/>
        <w:rPr>
          <w:sz w:val="22"/>
        </w:rPr>
      </w:pPr>
      <w:r>
        <w:rPr>
          <w:sz w:val="22"/>
        </w:rPr>
        <w:t>Quality Area 1 Educational program and</w:t>
      </w:r>
      <w:r>
        <w:rPr>
          <w:spacing w:val="15"/>
          <w:sz w:val="22"/>
        </w:rPr>
        <w:t> </w:t>
      </w:r>
      <w:r>
        <w:rPr>
          <w:sz w:val="22"/>
        </w:rPr>
        <w:t>practice</w:t>
      </w:r>
    </w:p>
    <w:p>
      <w:pPr>
        <w:pStyle w:val="ListParagraph"/>
        <w:numPr>
          <w:ilvl w:val="1"/>
          <w:numId w:val="5"/>
        </w:numPr>
        <w:tabs>
          <w:tab w:pos="1480" w:val="left" w:leader="none"/>
          <w:tab w:pos="1481" w:val="left" w:leader="none"/>
        </w:tabs>
        <w:spacing w:line="240" w:lineRule="auto" w:before="121" w:after="0"/>
        <w:ind w:left="1480" w:right="0" w:hanging="361"/>
        <w:jc w:val="left"/>
        <w:rPr>
          <w:sz w:val="22"/>
        </w:rPr>
      </w:pPr>
      <w:r>
        <w:rPr>
          <w:sz w:val="22"/>
        </w:rPr>
        <w:t>Quality Area 2 Children’s health and</w:t>
      </w:r>
      <w:r>
        <w:rPr>
          <w:spacing w:val="14"/>
          <w:sz w:val="22"/>
        </w:rPr>
        <w:t> </w:t>
      </w:r>
      <w:r>
        <w:rPr>
          <w:sz w:val="22"/>
        </w:rPr>
        <w:t>safety</w:t>
      </w:r>
    </w:p>
    <w:p>
      <w:pPr>
        <w:pStyle w:val="ListParagraph"/>
        <w:numPr>
          <w:ilvl w:val="1"/>
          <w:numId w:val="5"/>
        </w:numPr>
        <w:tabs>
          <w:tab w:pos="1480" w:val="left" w:leader="none"/>
          <w:tab w:pos="1481" w:val="left" w:leader="none"/>
        </w:tabs>
        <w:spacing w:line="240" w:lineRule="auto" w:before="120" w:after="0"/>
        <w:ind w:left="1480" w:right="0" w:hanging="361"/>
        <w:jc w:val="left"/>
        <w:rPr>
          <w:sz w:val="22"/>
        </w:rPr>
      </w:pPr>
      <w:r>
        <w:rPr>
          <w:sz w:val="22"/>
        </w:rPr>
        <w:t>Quality Area 3 Physical</w:t>
      </w:r>
      <w:r>
        <w:rPr>
          <w:spacing w:val="12"/>
          <w:sz w:val="22"/>
        </w:rPr>
        <w:t> </w:t>
      </w:r>
      <w:r>
        <w:rPr>
          <w:sz w:val="22"/>
        </w:rPr>
        <w:t>environment</w:t>
      </w:r>
    </w:p>
    <w:p>
      <w:pPr>
        <w:pStyle w:val="ListParagraph"/>
        <w:numPr>
          <w:ilvl w:val="1"/>
          <w:numId w:val="5"/>
        </w:numPr>
        <w:tabs>
          <w:tab w:pos="1480" w:val="left" w:leader="none"/>
          <w:tab w:pos="1481" w:val="left" w:leader="none"/>
        </w:tabs>
        <w:spacing w:line="240" w:lineRule="auto" w:before="121" w:after="0"/>
        <w:ind w:left="1480" w:right="0" w:hanging="361"/>
        <w:jc w:val="left"/>
        <w:rPr>
          <w:sz w:val="22"/>
        </w:rPr>
      </w:pPr>
      <w:r>
        <w:rPr>
          <w:sz w:val="22"/>
        </w:rPr>
        <w:t>Quality Area 4 Staffing</w:t>
      </w:r>
      <w:r>
        <w:rPr>
          <w:spacing w:val="14"/>
          <w:sz w:val="22"/>
        </w:rPr>
        <w:t> </w:t>
      </w:r>
      <w:r>
        <w:rPr>
          <w:sz w:val="22"/>
        </w:rPr>
        <w:t>arrangements</w:t>
      </w:r>
    </w:p>
    <w:p>
      <w:pPr>
        <w:pStyle w:val="ListParagraph"/>
        <w:numPr>
          <w:ilvl w:val="1"/>
          <w:numId w:val="5"/>
        </w:numPr>
        <w:tabs>
          <w:tab w:pos="1480" w:val="left" w:leader="none"/>
          <w:tab w:pos="1481" w:val="left" w:leader="none"/>
        </w:tabs>
        <w:spacing w:line="240" w:lineRule="auto" w:before="119" w:after="0"/>
        <w:ind w:left="1480" w:right="0" w:hanging="361"/>
        <w:jc w:val="left"/>
        <w:rPr>
          <w:sz w:val="22"/>
        </w:rPr>
      </w:pPr>
      <w:r>
        <w:rPr>
          <w:sz w:val="22"/>
        </w:rPr>
        <w:t>Quality Area 5 Relationships with</w:t>
      </w:r>
      <w:r>
        <w:rPr>
          <w:spacing w:val="12"/>
          <w:sz w:val="22"/>
        </w:rPr>
        <w:t> </w:t>
      </w:r>
      <w:r>
        <w:rPr>
          <w:sz w:val="22"/>
        </w:rPr>
        <w:t>children</w:t>
      </w:r>
    </w:p>
    <w:p>
      <w:pPr>
        <w:pStyle w:val="ListParagraph"/>
        <w:numPr>
          <w:ilvl w:val="1"/>
          <w:numId w:val="5"/>
        </w:numPr>
        <w:tabs>
          <w:tab w:pos="1480" w:val="left" w:leader="none"/>
          <w:tab w:pos="1481" w:val="left" w:leader="none"/>
        </w:tabs>
        <w:spacing w:line="240" w:lineRule="auto" w:before="120" w:after="0"/>
        <w:ind w:left="1480" w:right="0" w:hanging="361"/>
        <w:jc w:val="left"/>
        <w:rPr>
          <w:sz w:val="22"/>
        </w:rPr>
      </w:pPr>
      <w:r>
        <w:rPr>
          <w:sz w:val="22"/>
        </w:rPr>
        <w:t>Quality Area 6 Collaborative partnerships with families and</w:t>
      </w:r>
      <w:r>
        <w:rPr>
          <w:spacing w:val="9"/>
          <w:sz w:val="22"/>
        </w:rPr>
        <w:t> </w:t>
      </w:r>
      <w:r>
        <w:rPr>
          <w:sz w:val="22"/>
        </w:rPr>
        <w:t>communities</w:t>
      </w:r>
    </w:p>
    <w:p>
      <w:pPr>
        <w:pStyle w:val="ListParagraph"/>
        <w:numPr>
          <w:ilvl w:val="1"/>
          <w:numId w:val="5"/>
        </w:numPr>
        <w:tabs>
          <w:tab w:pos="1480" w:val="left" w:leader="none"/>
          <w:tab w:pos="1481" w:val="left" w:leader="none"/>
        </w:tabs>
        <w:spacing w:line="240" w:lineRule="auto" w:before="121" w:after="0"/>
        <w:ind w:left="1480" w:right="0" w:hanging="361"/>
        <w:jc w:val="left"/>
        <w:rPr>
          <w:sz w:val="22"/>
        </w:rPr>
      </w:pPr>
      <w:r>
        <w:rPr>
          <w:sz w:val="22"/>
        </w:rPr>
        <w:t>Quality Area 7 Governance and</w:t>
      </w:r>
      <w:r>
        <w:rPr>
          <w:spacing w:val="13"/>
          <w:sz w:val="22"/>
        </w:rPr>
        <w:t> </w:t>
      </w:r>
      <w:r>
        <w:rPr>
          <w:sz w:val="22"/>
        </w:rPr>
        <w:t>leadership</w:t>
      </w:r>
    </w:p>
    <w:p>
      <w:pPr>
        <w:pStyle w:val="BodyText"/>
        <w:rPr>
          <w:sz w:val="20"/>
        </w:rPr>
      </w:pPr>
    </w:p>
    <w:p>
      <w:pPr>
        <w:pStyle w:val="BodyText"/>
        <w:spacing w:before="6"/>
        <w:rPr>
          <w:sz w:val="18"/>
        </w:rPr>
      </w:pPr>
      <w:r>
        <w:rPr/>
        <w:pict>
          <v:shape style="position:absolute;margin-left:72.024002pt;margin-top:13.515436pt;width:451.4pt;height:199.85pt;mso-position-horizontal-relative:page;mso-position-vertical-relative:paragraph;z-index:-15723008;mso-wrap-distance-left:0;mso-wrap-distance-right:0" type="#_x0000_t202" filled="false" stroked="true" strokeweight=".47998pt" strokecolor="#000000">
            <v:textbox inset="0,0,0,0">
              <w:txbxContent>
                <w:p>
                  <w:pPr>
                    <w:pStyle w:val="BodyText"/>
                    <w:numPr>
                      <w:ilvl w:val="0"/>
                      <w:numId w:val="8"/>
                    </w:numPr>
                    <w:tabs>
                      <w:tab w:pos="823" w:val="left" w:leader="none"/>
                      <w:tab w:pos="824" w:val="left" w:leader="none"/>
                    </w:tabs>
                    <w:spacing w:line="240" w:lineRule="auto" w:before="112" w:after="0"/>
                    <w:ind w:left="823" w:right="157" w:hanging="360"/>
                    <w:jc w:val="left"/>
                  </w:pPr>
                  <w:r>
                    <w:rPr/>
                    <w:t>100% of goals in Quality Area 6 </w:t>
                  </w:r>
                  <w:r>
                    <w:rPr>
                      <w:i/>
                    </w:rPr>
                    <w:t>Collaborative partnerships with families and communities </w:t>
                  </w:r>
                  <w:r>
                    <w:rPr/>
                    <w:t>were achieved. The two goals in this area focused on increasing parental engagement and consistent placement of parent information. The team achieved this by sourcing a parent communication board and displaying important information at the front of the preschool. We also created a central location to display important information and external service provider information. All teachers and parents have access to the parent library resources and have information sheets located within classrooms. Teachers also increased parental engagement by presenting a range of engaging information nights. The preschool was rated as Exceeding in Quality Area 6 for building respectful relationships with</w:t>
                  </w:r>
                  <w:r>
                    <w:rPr>
                      <w:spacing w:val="-16"/>
                    </w:rPr>
                    <w:t> </w:t>
                  </w:r>
                  <w:r>
                    <w:rPr/>
                    <w:t>parents.</w:t>
                  </w:r>
                </w:p>
                <w:p>
                  <w:pPr>
                    <w:pStyle w:val="BodyText"/>
                  </w:pPr>
                </w:p>
                <w:p>
                  <w:pPr>
                    <w:pStyle w:val="BodyText"/>
                    <w:numPr>
                      <w:ilvl w:val="0"/>
                      <w:numId w:val="8"/>
                    </w:numPr>
                    <w:tabs>
                      <w:tab w:pos="823" w:val="left" w:leader="none"/>
                      <w:tab w:pos="824" w:val="left" w:leader="none"/>
                    </w:tabs>
                    <w:spacing w:line="240" w:lineRule="auto" w:before="0" w:after="0"/>
                    <w:ind w:left="823" w:right="322" w:hanging="360"/>
                    <w:jc w:val="left"/>
                  </w:pPr>
                  <w:r>
                    <w:rPr/>
                    <w:t>75% of goals in Quality Area 7 </w:t>
                  </w:r>
                  <w:r>
                    <w:rPr>
                      <w:i/>
                    </w:rPr>
                    <w:t>Governance and leadership </w:t>
                  </w:r>
                  <w:r>
                    <w:rPr/>
                    <w:t>were achieved. The four goals focused on including community voices in the renewal of our Preschool Philosophy, developing consistent pack-up procedures and creating clear and consistent roles and responsibilities within the Preschool Team. As a result of a strong Professional</w:t>
                  </w:r>
                  <w:r>
                    <w:rPr>
                      <w:spacing w:val="-20"/>
                    </w:rPr>
                    <w:t> </w:t>
                  </w:r>
                  <w:r>
                    <w:rPr/>
                    <w:t>Learning</w:t>
                  </w:r>
                </w:p>
              </w:txbxContent>
            </v:textbox>
            <v:stroke dashstyle="solid"/>
            <w10:wrap type="topAndBottom"/>
          </v:shape>
        </w:pict>
      </w:r>
    </w:p>
    <w:p>
      <w:pPr>
        <w:spacing w:after="0"/>
        <w:rPr>
          <w:sz w:val="18"/>
        </w:rPr>
        <w:sectPr>
          <w:pgSz w:w="11910" w:h="16840"/>
          <w:pgMar w:header="0" w:footer="1126" w:top="1580" w:bottom="1320" w:left="680" w:right="680"/>
        </w:sectPr>
      </w:pPr>
    </w:p>
    <w:p>
      <w:pPr>
        <w:pStyle w:val="BodyText"/>
        <w:spacing w:before="123"/>
        <w:ind w:left="1588" w:right="875"/>
      </w:pPr>
      <w:r>
        <w:rPr/>
        <w:pict>
          <v:shape style="position:absolute;margin-left:71.784004pt;margin-top:71.999947pt;width:451.9pt;height:657pt;mso-position-horizontal-relative:page;mso-position-vertical-relative:page;z-index:-16171520" coordorigin="1436,1440" coordsize="9038,13140" path="m10463,14570l1445,14570,1436,14570,1436,14580,1445,14580,10463,14580,10463,14570xm10463,1440l1445,1440,1436,1440,1436,1450,1436,1562,1436,14570,1445,14570,1445,1562,1445,1450,10463,1450,10463,1440xm10473,14570l10464,14570,10464,14580,10473,14580,10473,14570xm10473,1440l10464,1440,10464,1450,10464,1562,10464,14570,10473,14570,10473,1562,10473,1450,10473,1440xe" filled="true" fillcolor="#000000" stroked="false">
            <v:path arrowok="t"/>
            <v:fill type="solid"/>
            <w10:wrap type="none"/>
          </v:shape>
        </w:pict>
      </w:r>
      <w:r>
        <w:rPr/>
        <w:t>Community our team implemented key strategies to encourage families to be a part of the QIP and Philosophy Development. As a result of a Google Survey our team received valuable responses from parents and children. Our team also collaboratively made a visual evidence for display to allow parents to see the Philosophy in Practice. Pack-up procedures are tracking well, and staff are constantly reviewing and making changes. The classes are getting better at knowing what to do during this time and the consistency is making it easier for the children. The team are continuing to review the procedures across the year in order to allow more consistency in supervision. All staff are clear on their roles and responsibilities and how the team will hold each other accountable to them on a day to day basis. All new staff were provided with the self-assessment document and referred to this throughout the year. The Professional Learning Team meetings were changed to accommodate more teaching and learning discussion. The Preschool Team have also been a part of hosting and joining a networking opportunity with other Gungahlin preschools to build collective knowledge and share best</w:t>
      </w:r>
      <w:r>
        <w:rPr>
          <w:spacing w:val="-11"/>
        </w:rPr>
        <w:t> </w:t>
      </w:r>
      <w:r>
        <w:rPr/>
        <w:t>practice.</w:t>
      </w:r>
    </w:p>
    <w:p>
      <w:pPr>
        <w:pStyle w:val="BodyText"/>
        <w:spacing w:before="2"/>
      </w:pPr>
    </w:p>
    <w:p>
      <w:pPr>
        <w:pStyle w:val="ListParagraph"/>
        <w:numPr>
          <w:ilvl w:val="2"/>
          <w:numId w:val="5"/>
        </w:numPr>
        <w:tabs>
          <w:tab w:pos="1588" w:val="left" w:leader="none"/>
          <w:tab w:pos="1589" w:val="left" w:leader="none"/>
        </w:tabs>
        <w:spacing w:line="240" w:lineRule="auto" w:before="0" w:after="0"/>
        <w:ind w:left="1588" w:right="960" w:hanging="360"/>
        <w:jc w:val="left"/>
        <w:rPr>
          <w:sz w:val="22"/>
        </w:rPr>
      </w:pPr>
      <w:r>
        <w:rPr>
          <w:sz w:val="22"/>
        </w:rPr>
        <w:t>A new critical reflection template has been updated and added to the preschool fortnight programs.</w:t>
      </w:r>
    </w:p>
    <w:p>
      <w:pPr>
        <w:pStyle w:val="BodyText"/>
        <w:spacing w:before="11"/>
        <w:rPr>
          <w:sz w:val="21"/>
        </w:rPr>
      </w:pPr>
    </w:p>
    <w:p>
      <w:pPr>
        <w:pStyle w:val="ListParagraph"/>
        <w:numPr>
          <w:ilvl w:val="2"/>
          <w:numId w:val="5"/>
        </w:numPr>
        <w:tabs>
          <w:tab w:pos="1588" w:val="left" w:leader="none"/>
          <w:tab w:pos="1589" w:val="left" w:leader="none"/>
        </w:tabs>
        <w:spacing w:line="240" w:lineRule="auto" w:before="0" w:after="0"/>
        <w:ind w:left="1588" w:right="864" w:hanging="360"/>
        <w:jc w:val="left"/>
        <w:rPr>
          <w:sz w:val="22"/>
        </w:rPr>
      </w:pPr>
      <w:r>
        <w:rPr>
          <w:sz w:val="22"/>
        </w:rPr>
        <w:t>75% of goals in Quality Area 5 </w:t>
      </w:r>
      <w:r>
        <w:rPr>
          <w:i/>
          <w:sz w:val="22"/>
        </w:rPr>
        <w:t>Relationships with children </w:t>
      </w:r>
      <w:r>
        <w:rPr>
          <w:sz w:val="22"/>
        </w:rPr>
        <w:t>were achieved. Our first goal focused on restorative conversations focusing on consistent PBL language. The NQS Report determined that the preschool educators had introduced the philosophy that reflects restorative practices and the educators were observed using strategies and PBL language that aligned with this procedure. For example, educators were observed discussing room expectations with children through the day. This supported children to become independent with conflict resolution and learn strategies consistent with the school environment. Following the NQS Rating and Assessment, our preschool was rated Exceeding with educators consistently using positive language to give recognition to children supporting and engaging with their peers during play. Each staff member uses the PBL language - “Was that a safe/respectful/responsible choice?”. The team has also created PBL Preschool visual posters with consistent PBL expectations for the indoor and outdoor environments. The team also ensures Learner Assets and PBL language are a focus during group time with a focus on</w:t>
      </w:r>
      <w:r>
        <w:rPr>
          <w:spacing w:val="-8"/>
          <w:sz w:val="22"/>
        </w:rPr>
        <w:t> </w:t>
      </w:r>
      <w:r>
        <w:rPr>
          <w:sz w:val="22"/>
        </w:rPr>
        <w:t>self-regulation.</w:t>
      </w:r>
    </w:p>
    <w:p>
      <w:pPr>
        <w:pStyle w:val="BodyText"/>
        <w:spacing w:before="1"/>
      </w:pPr>
    </w:p>
    <w:p>
      <w:pPr>
        <w:pStyle w:val="ListParagraph"/>
        <w:numPr>
          <w:ilvl w:val="2"/>
          <w:numId w:val="5"/>
        </w:numPr>
        <w:tabs>
          <w:tab w:pos="1588" w:val="left" w:leader="none"/>
          <w:tab w:pos="1589" w:val="left" w:leader="none"/>
        </w:tabs>
        <w:spacing w:line="240" w:lineRule="auto" w:before="1" w:after="0"/>
        <w:ind w:left="1588" w:right="904" w:hanging="360"/>
        <w:jc w:val="left"/>
        <w:rPr>
          <w:sz w:val="22"/>
        </w:rPr>
      </w:pPr>
      <w:r>
        <w:rPr>
          <w:sz w:val="22"/>
        </w:rPr>
        <w:t>75% of goals were achieved in Quality Area 4 </w:t>
      </w:r>
      <w:r>
        <w:rPr>
          <w:i/>
          <w:sz w:val="22"/>
        </w:rPr>
        <w:t>Staffing arrangements </w:t>
      </w:r>
      <w:r>
        <w:rPr>
          <w:sz w:val="22"/>
        </w:rPr>
        <w:t>were achieved. Our first goal focused on ensuring relief staff were appropriate to be teaching in the preschool setting. This was achieved through communicating with the staffing officer regarding the suitability of staff in the preschool setting. Our second goal focused on ensuring for 2020 that our release planning allows for teachers to not miss out on a whole day of seeing their preschool class. The Principal is working with Deputy Principal to organise a better preschool timetable for 2020. The team has also achieved the goal of sharing resources and developing networks with other preschools in the Gungahlin area. Discussion between Gungahlin Preschool Executive Teachers has led to the organisation of afternoon networking sessions. Our preschool has hosted and attended networking sessions with Palmerston, Margaret Hendry and Ngunnawal Preschool staff. The preschool has also started partnerships with the Nido Early Childhood Centre and Good Shepherd Primary School to develop communication channels for transitioning students starting preschool and Kindergarten in</w:t>
      </w:r>
      <w:r>
        <w:rPr>
          <w:spacing w:val="-4"/>
          <w:sz w:val="22"/>
        </w:rPr>
        <w:t> </w:t>
      </w:r>
      <w:r>
        <w:rPr>
          <w:sz w:val="22"/>
        </w:rPr>
        <w:t>2020.</w:t>
      </w:r>
    </w:p>
    <w:p>
      <w:pPr>
        <w:pStyle w:val="BodyText"/>
        <w:spacing w:before="6"/>
        <w:rPr>
          <w:sz w:val="27"/>
        </w:rPr>
      </w:pPr>
    </w:p>
    <w:p>
      <w:pPr>
        <w:spacing w:before="57"/>
        <w:ind w:left="760" w:right="0" w:firstLine="0"/>
        <w:jc w:val="left"/>
        <w:rPr>
          <w:i/>
          <w:sz w:val="22"/>
        </w:rPr>
      </w:pPr>
      <w:r>
        <w:rPr>
          <w:i/>
          <w:sz w:val="22"/>
        </w:rPr>
        <w:t>*A copy of the QIP is available for viewing at the school.</w:t>
      </w:r>
    </w:p>
    <w:sectPr>
      <w:pgSz w:w="11910" w:h="16840"/>
      <w:pgMar w:header="0" w:footer="1126" w:top="1420" w:bottom="1320" w:left="68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Wingdings">
    <w:altName w:val="Wingdings"/>
    <w:charset w:val="2"/>
    <w:family w:val="auto"/>
    <w:pitch w:val="variable"/>
  </w:font>
  <w:font w:name="Symbol">
    <w:altName w:val="Symbol"/>
    <w:charset w:val="2"/>
    <w:family w:val="roman"/>
    <w:pitch w:val="variable"/>
  </w:font>
  <w:font w:name="Calibri Light">
    <w:altName w:val="Calibri Ligh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51.300003pt;margin-top:774.639465pt;width:181.95pt;height:13.15pt;mso-position-horizontal-relative:page;mso-position-vertical-relative:page;z-index:-16177664" type="#_x0000_t202" filled="false" stroked="false">
          <v:textbox inset="0,0,0,0">
            <w:txbxContent>
              <w:p>
                <w:pPr>
                  <w:spacing w:before="12"/>
                  <w:ind w:left="20" w:right="0" w:firstLine="0"/>
                  <w:jc w:val="left"/>
                  <w:rPr>
                    <w:rFonts w:ascii="Arial"/>
                    <w:sz w:val="20"/>
                  </w:rPr>
                </w:pPr>
                <w:r>
                  <w:rPr>
                    <w:rFonts w:ascii="Arial"/>
                    <w:color w:val="808080"/>
                    <w:sz w:val="20"/>
                  </w:rPr>
                  <w:t>Last saved: Monday, 14 December 2020</w:t>
                </w:r>
              </w:p>
            </w:txbxContent>
          </v:textbox>
          <w10:wrap type="none"/>
        </v:shape>
      </w:pict>
    </w:r>
    <w:r>
      <w:rPr/>
      <w:pict>
        <v:shape style="position:absolute;margin-left:399.51001pt;margin-top:774.639465pt;width:46.5pt;height:13.15pt;mso-position-horizontal-relative:page;mso-position-vertical-relative:page;z-index:-16177152" type="#_x0000_t202" filled="false" stroked="false">
          <v:textbox inset="0,0,0,0">
            <w:txbxContent>
              <w:p>
                <w:pPr>
                  <w:spacing w:before="12"/>
                  <w:ind w:left="20" w:right="0" w:firstLine="0"/>
                  <w:jc w:val="left"/>
                  <w:rPr>
                    <w:rFonts w:ascii="Arial"/>
                    <w:sz w:val="20"/>
                  </w:rPr>
                </w:pPr>
                <w:r>
                  <w:rPr>
                    <w:rFonts w:ascii="Arial"/>
                    <w:color w:val="808080"/>
                    <w:sz w:val="20"/>
                  </w:rPr>
                  <w:t>Page | </w:t>
                </w:r>
                <w:r>
                  <w:rPr/>
                  <w:fldChar w:fldCharType="begin"/>
                </w:r>
                <w:r>
                  <w:rPr>
                    <w:rFonts w:ascii="Arial"/>
                    <w:color w:val="808080"/>
                    <w:sz w:val="20"/>
                  </w:rPr>
                  <w:instrText> PAGE </w:instrText>
                </w:r>
                <w:r>
                  <w:rPr/>
                  <w:fldChar w:fldCharType="separate"/>
                </w:r>
                <w:r>
                  <w:rPr/>
                  <w:t>10</w:t>
                </w:r>
                <w:r>
                  <w:rPr/>
                  <w:fldChar w:fldCharType="end"/>
                </w:r>
              </w:p>
            </w:txbxContent>
          </v:textbox>
          <w10:wrap type="none"/>
        </v:shape>
      </w:pict>
    </w:r>
    <w:r>
      <w:rPr/>
      <w:pict>
        <v:shape style="position:absolute;margin-left:152.139999pt;margin-top:792.232727pt;width:293.650pt;height:15.45pt;mso-position-horizontal-relative:page;mso-position-vertical-relative:page;z-index:-16176640" type="#_x0000_t202" filled="false" stroked="false">
          <v:textbox inset="0,0,0,0">
            <w:txbxContent>
              <w:p>
                <w:pPr>
                  <w:spacing w:before="12"/>
                  <w:ind w:left="20" w:right="-10" w:firstLine="0"/>
                  <w:jc w:val="left"/>
                  <w:rPr>
                    <w:b/>
                    <w:sz w:val="16"/>
                  </w:rPr>
                </w:pPr>
                <w:r>
                  <w:rPr>
                    <w:rFonts w:ascii="Arial" w:hAnsi="Arial"/>
                    <w:b/>
                    <w:w w:val="110"/>
                    <w:sz w:val="18"/>
                  </w:rPr>
                  <w:t>Analysis</w:t>
                </w:r>
                <w:r>
                  <w:rPr>
                    <w:rFonts w:ascii="Arial" w:hAnsi="Arial"/>
                    <w:b/>
                    <w:spacing w:val="-30"/>
                    <w:w w:val="110"/>
                    <w:sz w:val="18"/>
                  </w:rPr>
                  <w:t> </w:t>
                </w:r>
                <w:r>
                  <w:rPr>
                    <w:rFonts w:ascii="Wingdings" w:hAnsi="Wingdings"/>
                    <w:color w:val="A6A6A6"/>
                    <w:w w:val="170"/>
                    <w:sz w:val="18"/>
                  </w:rPr>
                  <w:t>→</w:t>
                </w:r>
                <w:r>
                  <w:rPr>
                    <w:rFonts w:ascii="Times New Roman" w:hAnsi="Times New Roman"/>
                    <w:color w:val="A6A6A6"/>
                    <w:spacing w:val="-49"/>
                    <w:w w:val="170"/>
                    <w:sz w:val="18"/>
                  </w:rPr>
                  <w:t> </w:t>
                </w:r>
                <w:r>
                  <w:rPr>
                    <w:rFonts w:ascii="Arial" w:hAnsi="Arial"/>
                    <w:b/>
                    <w:w w:val="110"/>
                    <w:sz w:val="18"/>
                  </w:rPr>
                  <w:t>Priorities</w:t>
                </w:r>
                <w:r>
                  <w:rPr>
                    <w:rFonts w:ascii="Arial" w:hAnsi="Arial"/>
                    <w:b/>
                    <w:spacing w:val="-22"/>
                    <w:w w:val="110"/>
                    <w:sz w:val="18"/>
                  </w:rPr>
                  <w:t> </w:t>
                </w:r>
                <w:r>
                  <w:rPr>
                    <w:rFonts w:ascii="Wingdings" w:hAnsi="Wingdings"/>
                    <w:color w:val="A6A6A6"/>
                    <w:w w:val="170"/>
                    <w:sz w:val="18"/>
                  </w:rPr>
                  <w:t>→</w:t>
                </w:r>
                <w:r>
                  <w:rPr>
                    <w:rFonts w:ascii="Times New Roman" w:hAnsi="Times New Roman"/>
                    <w:color w:val="A6A6A6"/>
                    <w:spacing w:val="-49"/>
                    <w:w w:val="170"/>
                    <w:sz w:val="18"/>
                  </w:rPr>
                  <w:t> </w:t>
                </w:r>
                <w:r>
                  <w:rPr>
                    <w:rFonts w:ascii="Arial" w:hAnsi="Arial"/>
                    <w:b/>
                    <w:w w:val="110"/>
                    <w:sz w:val="18"/>
                  </w:rPr>
                  <w:t>Strategies</w:t>
                </w:r>
                <w:r>
                  <w:rPr>
                    <w:rFonts w:ascii="Arial" w:hAnsi="Arial"/>
                    <w:b/>
                    <w:spacing w:val="-29"/>
                    <w:w w:val="110"/>
                    <w:sz w:val="18"/>
                  </w:rPr>
                  <w:t> </w:t>
                </w:r>
                <w:r>
                  <w:rPr>
                    <w:rFonts w:ascii="Wingdings" w:hAnsi="Wingdings"/>
                    <w:color w:val="A6A6A6"/>
                    <w:w w:val="170"/>
                    <w:sz w:val="18"/>
                  </w:rPr>
                  <w:t>→</w:t>
                </w:r>
                <w:r>
                  <w:rPr>
                    <w:rFonts w:ascii="Times New Roman" w:hAnsi="Times New Roman"/>
                    <w:color w:val="A6A6A6"/>
                    <w:spacing w:val="-49"/>
                    <w:w w:val="170"/>
                    <w:sz w:val="18"/>
                  </w:rPr>
                  <w:t> </w:t>
                </w:r>
                <w:r>
                  <w:rPr>
                    <w:rFonts w:ascii="Arial" w:hAnsi="Arial"/>
                    <w:b/>
                    <w:w w:val="110"/>
                    <w:sz w:val="18"/>
                  </w:rPr>
                  <w:t>Actions</w:t>
                </w:r>
                <w:r>
                  <w:rPr>
                    <w:rFonts w:ascii="Arial" w:hAnsi="Arial"/>
                    <w:b/>
                    <w:spacing w:val="-29"/>
                    <w:w w:val="110"/>
                    <w:sz w:val="18"/>
                  </w:rPr>
                  <w:t> </w:t>
                </w:r>
                <w:r>
                  <w:rPr>
                    <w:rFonts w:ascii="Wingdings" w:hAnsi="Wingdings"/>
                    <w:color w:val="A6A6A6"/>
                    <w:w w:val="170"/>
                    <w:sz w:val="18"/>
                  </w:rPr>
                  <w:t>→</w:t>
                </w:r>
                <w:r>
                  <w:rPr>
                    <w:rFonts w:ascii="Times New Roman" w:hAnsi="Times New Roman"/>
                    <w:color w:val="A6A6A6"/>
                    <w:spacing w:val="-50"/>
                    <w:w w:val="170"/>
                    <w:sz w:val="18"/>
                  </w:rPr>
                  <w:t> </w:t>
                </w:r>
                <w:r>
                  <w:rPr>
                    <w:rFonts w:ascii="Arial" w:hAnsi="Arial"/>
                    <w:b/>
                    <w:color w:val="FF0000"/>
                    <w:w w:val="110"/>
                    <w:sz w:val="24"/>
                  </w:rPr>
                  <w:t>Impact</w:t>
                </w:r>
                <w:r>
                  <w:rPr>
                    <w:rFonts w:ascii="Arial" w:hAnsi="Arial"/>
                    <w:b/>
                    <w:color w:val="FF0000"/>
                    <w:spacing w:val="-53"/>
                    <w:w w:val="110"/>
                    <w:sz w:val="24"/>
                  </w:rPr>
                  <w:t> </w:t>
                </w:r>
                <w:r>
                  <w:rPr>
                    <w:b/>
                    <w:color w:val="FF0000"/>
                    <w:spacing w:val="-24"/>
                    <w:w w:val="110"/>
                    <w:sz w:val="16"/>
                  </w:rPr>
                  <w:t>(for </w:t>
                </w:r>
                <w:r>
                  <w:rPr>
                    <w:b/>
                    <w:color w:val="FF0000"/>
                    <w:spacing w:val="-62"/>
                    <w:w w:val="110"/>
                    <w:sz w:val="16"/>
                  </w:rPr>
                  <w:t>student)</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823" w:hanging="360"/>
      </w:pPr>
      <w:rPr>
        <w:rFonts w:hint="default" w:ascii="Symbol" w:hAnsi="Symbol" w:eastAsia="Symbol" w:cs="Symbol"/>
        <w:w w:val="99"/>
        <w:sz w:val="20"/>
        <w:szCs w:val="20"/>
        <w:lang w:val="en-au" w:eastAsia="en-US" w:bidi="ar-SA"/>
      </w:rPr>
    </w:lvl>
    <w:lvl w:ilvl="1">
      <w:start w:val="0"/>
      <w:numFmt w:val="bullet"/>
      <w:lvlText w:val="•"/>
      <w:lvlJc w:val="left"/>
      <w:pPr>
        <w:ind w:left="1639" w:hanging="360"/>
      </w:pPr>
      <w:rPr>
        <w:rFonts w:hint="default"/>
        <w:lang w:val="en-au" w:eastAsia="en-US" w:bidi="ar-SA"/>
      </w:rPr>
    </w:lvl>
    <w:lvl w:ilvl="2">
      <w:start w:val="0"/>
      <w:numFmt w:val="bullet"/>
      <w:lvlText w:val="•"/>
      <w:lvlJc w:val="left"/>
      <w:pPr>
        <w:ind w:left="2459" w:hanging="360"/>
      </w:pPr>
      <w:rPr>
        <w:rFonts w:hint="default"/>
        <w:lang w:val="en-au" w:eastAsia="en-US" w:bidi="ar-SA"/>
      </w:rPr>
    </w:lvl>
    <w:lvl w:ilvl="3">
      <w:start w:val="0"/>
      <w:numFmt w:val="bullet"/>
      <w:lvlText w:val="•"/>
      <w:lvlJc w:val="left"/>
      <w:pPr>
        <w:ind w:left="3279" w:hanging="360"/>
      </w:pPr>
      <w:rPr>
        <w:rFonts w:hint="default"/>
        <w:lang w:val="en-au" w:eastAsia="en-US" w:bidi="ar-SA"/>
      </w:rPr>
    </w:lvl>
    <w:lvl w:ilvl="4">
      <w:start w:val="0"/>
      <w:numFmt w:val="bullet"/>
      <w:lvlText w:val="•"/>
      <w:lvlJc w:val="left"/>
      <w:pPr>
        <w:ind w:left="4099" w:hanging="360"/>
      </w:pPr>
      <w:rPr>
        <w:rFonts w:hint="default"/>
        <w:lang w:val="en-au" w:eastAsia="en-US" w:bidi="ar-SA"/>
      </w:rPr>
    </w:lvl>
    <w:lvl w:ilvl="5">
      <w:start w:val="0"/>
      <w:numFmt w:val="bullet"/>
      <w:lvlText w:val="•"/>
      <w:lvlJc w:val="left"/>
      <w:pPr>
        <w:ind w:left="4919" w:hanging="360"/>
      </w:pPr>
      <w:rPr>
        <w:rFonts w:hint="default"/>
        <w:lang w:val="en-au" w:eastAsia="en-US" w:bidi="ar-SA"/>
      </w:rPr>
    </w:lvl>
    <w:lvl w:ilvl="6">
      <w:start w:val="0"/>
      <w:numFmt w:val="bullet"/>
      <w:lvlText w:val="•"/>
      <w:lvlJc w:val="left"/>
      <w:pPr>
        <w:ind w:left="5739" w:hanging="360"/>
      </w:pPr>
      <w:rPr>
        <w:rFonts w:hint="default"/>
        <w:lang w:val="en-au" w:eastAsia="en-US" w:bidi="ar-SA"/>
      </w:rPr>
    </w:lvl>
    <w:lvl w:ilvl="7">
      <w:start w:val="0"/>
      <w:numFmt w:val="bullet"/>
      <w:lvlText w:val="•"/>
      <w:lvlJc w:val="left"/>
      <w:pPr>
        <w:ind w:left="6558" w:hanging="360"/>
      </w:pPr>
      <w:rPr>
        <w:rFonts w:hint="default"/>
        <w:lang w:val="en-au" w:eastAsia="en-US" w:bidi="ar-SA"/>
      </w:rPr>
    </w:lvl>
    <w:lvl w:ilvl="8">
      <w:start w:val="0"/>
      <w:numFmt w:val="bullet"/>
      <w:lvlText w:val="•"/>
      <w:lvlJc w:val="left"/>
      <w:pPr>
        <w:ind w:left="7378" w:hanging="360"/>
      </w:pPr>
      <w:rPr>
        <w:rFonts w:hint="default"/>
        <w:lang w:val="en-au" w:eastAsia="en-US" w:bidi="ar-SA"/>
      </w:rPr>
    </w:lvl>
  </w:abstractNum>
  <w:abstractNum w:abstractNumId="6">
    <w:multiLevelType w:val="hybridMultilevel"/>
    <w:lvl w:ilvl="0">
      <w:start w:val="0"/>
      <w:numFmt w:val="bullet"/>
      <w:lvlText w:val=""/>
      <w:lvlJc w:val="left"/>
      <w:pPr>
        <w:ind w:left="463" w:hanging="360"/>
      </w:pPr>
      <w:rPr>
        <w:rFonts w:hint="default" w:ascii="Wingdings" w:hAnsi="Wingdings" w:eastAsia="Wingdings" w:cs="Wingdings"/>
        <w:w w:val="100"/>
        <w:sz w:val="22"/>
        <w:szCs w:val="22"/>
        <w:lang w:val="en-au" w:eastAsia="en-US" w:bidi="ar-SA"/>
      </w:rPr>
    </w:lvl>
    <w:lvl w:ilvl="1">
      <w:start w:val="0"/>
      <w:numFmt w:val="bullet"/>
      <w:lvlText w:val="•"/>
      <w:lvlJc w:val="left"/>
      <w:pPr>
        <w:ind w:left="1315" w:hanging="360"/>
      </w:pPr>
      <w:rPr>
        <w:rFonts w:hint="default"/>
        <w:lang w:val="en-au" w:eastAsia="en-US" w:bidi="ar-SA"/>
      </w:rPr>
    </w:lvl>
    <w:lvl w:ilvl="2">
      <w:start w:val="0"/>
      <w:numFmt w:val="bullet"/>
      <w:lvlText w:val="•"/>
      <w:lvlJc w:val="left"/>
      <w:pPr>
        <w:ind w:left="2171" w:hanging="360"/>
      </w:pPr>
      <w:rPr>
        <w:rFonts w:hint="default"/>
        <w:lang w:val="en-au" w:eastAsia="en-US" w:bidi="ar-SA"/>
      </w:rPr>
    </w:lvl>
    <w:lvl w:ilvl="3">
      <w:start w:val="0"/>
      <w:numFmt w:val="bullet"/>
      <w:lvlText w:val="•"/>
      <w:lvlJc w:val="left"/>
      <w:pPr>
        <w:ind w:left="3027" w:hanging="360"/>
      </w:pPr>
      <w:rPr>
        <w:rFonts w:hint="default"/>
        <w:lang w:val="en-au" w:eastAsia="en-US" w:bidi="ar-SA"/>
      </w:rPr>
    </w:lvl>
    <w:lvl w:ilvl="4">
      <w:start w:val="0"/>
      <w:numFmt w:val="bullet"/>
      <w:lvlText w:val="•"/>
      <w:lvlJc w:val="left"/>
      <w:pPr>
        <w:ind w:left="3883" w:hanging="360"/>
      </w:pPr>
      <w:rPr>
        <w:rFonts w:hint="default"/>
        <w:lang w:val="en-au" w:eastAsia="en-US" w:bidi="ar-SA"/>
      </w:rPr>
    </w:lvl>
    <w:lvl w:ilvl="5">
      <w:start w:val="0"/>
      <w:numFmt w:val="bullet"/>
      <w:lvlText w:val="•"/>
      <w:lvlJc w:val="left"/>
      <w:pPr>
        <w:ind w:left="4739" w:hanging="360"/>
      </w:pPr>
      <w:rPr>
        <w:rFonts w:hint="default"/>
        <w:lang w:val="en-au" w:eastAsia="en-US" w:bidi="ar-SA"/>
      </w:rPr>
    </w:lvl>
    <w:lvl w:ilvl="6">
      <w:start w:val="0"/>
      <w:numFmt w:val="bullet"/>
      <w:lvlText w:val="•"/>
      <w:lvlJc w:val="left"/>
      <w:pPr>
        <w:ind w:left="5595" w:hanging="360"/>
      </w:pPr>
      <w:rPr>
        <w:rFonts w:hint="default"/>
        <w:lang w:val="en-au" w:eastAsia="en-US" w:bidi="ar-SA"/>
      </w:rPr>
    </w:lvl>
    <w:lvl w:ilvl="7">
      <w:start w:val="0"/>
      <w:numFmt w:val="bullet"/>
      <w:lvlText w:val="•"/>
      <w:lvlJc w:val="left"/>
      <w:pPr>
        <w:ind w:left="6450" w:hanging="360"/>
      </w:pPr>
      <w:rPr>
        <w:rFonts w:hint="default"/>
        <w:lang w:val="en-au" w:eastAsia="en-US" w:bidi="ar-SA"/>
      </w:rPr>
    </w:lvl>
    <w:lvl w:ilvl="8">
      <w:start w:val="0"/>
      <w:numFmt w:val="bullet"/>
      <w:lvlText w:val="•"/>
      <w:lvlJc w:val="left"/>
      <w:pPr>
        <w:ind w:left="7306" w:hanging="360"/>
      </w:pPr>
      <w:rPr>
        <w:rFonts w:hint="default"/>
        <w:lang w:val="en-au" w:eastAsia="en-US" w:bidi="ar-SA"/>
      </w:rPr>
    </w:lvl>
  </w:abstractNum>
  <w:abstractNum w:abstractNumId="5">
    <w:multiLevelType w:val="hybridMultilevel"/>
    <w:lvl w:ilvl="0">
      <w:start w:val="0"/>
      <w:numFmt w:val="bullet"/>
      <w:lvlText w:val=""/>
      <w:lvlJc w:val="left"/>
      <w:pPr>
        <w:ind w:left="530" w:hanging="428"/>
      </w:pPr>
      <w:rPr>
        <w:rFonts w:hint="default" w:ascii="Wingdings" w:hAnsi="Wingdings" w:eastAsia="Wingdings" w:cs="Wingdings"/>
        <w:w w:val="100"/>
        <w:sz w:val="22"/>
        <w:szCs w:val="22"/>
        <w:lang w:val="en-au" w:eastAsia="en-US" w:bidi="ar-SA"/>
      </w:rPr>
    </w:lvl>
    <w:lvl w:ilvl="1">
      <w:start w:val="0"/>
      <w:numFmt w:val="bullet"/>
      <w:lvlText w:val="•"/>
      <w:lvlJc w:val="left"/>
      <w:pPr>
        <w:ind w:left="1420" w:hanging="428"/>
      </w:pPr>
      <w:rPr>
        <w:rFonts w:hint="default"/>
        <w:lang w:val="en-au" w:eastAsia="en-US" w:bidi="ar-SA"/>
      </w:rPr>
    </w:lvl>
    <w:lvl w:ilvl="2">
      <w:start w:val="0"/>
      <w:numFmt w:val="bullet"/>
      <w:lvlText w:val="•"/>
      <w:lvlJc w:val="left"/>
      <w:pPr>
        <w:ind w:left="2301" w:hanging="428"/>
      </w:pPr>
      <w:rPr>
        <w:rFonts w:hint="default"/>
        <w:lang w:val="en-au" w:eastAsia="en-US" w:bidi="ar-SA"/>
      </w:rPr>
    </w:lvl>
    <w:lvl w:ilvl="3">
      <w:start w:val="0"/>
      <w:numFmt w:val="bullet"/>
      <w:lvlText w:val="•"/>
      <w:lvlJc w:val="left"/>
      <w:pPr>
        <w:ind w:left="3182" w:hanging="428"/>
      </w:pPr>
      <w:rPr>
        <w:rFonts w:hint="default"/>
        <w:lang w:val="en-au" w:eastAsia="en-US" w:bidi="ar-SA"/>
      </w:rPr>
    </w:lvl>
    <w:lvl w:ilvl="4">
      <w:start w:val="0"/>
      <w:numFmt w:val="bullet"/>
      <w:lvlText w:val="•"/>
      <w:lvlJc w:val="left"/>
      <w:pPr>
        <w:ind w:left="4063" w:hanging="428"/>
      </w:pPr>
      <w:rPr>
        <w:rFonts w:hint="default"/>
        <w:lang w:val="en-au" w:eastAsia="en-US" w:bidi="ar-SA"/>
      </w:rPr>
    </w:lvl>
    <w:lvl w:ilvl="5">
      <w:start w:val="0"/>
      <w:numFmt w:val="bullet"/>
      <w:lvlText w:val="•"/>
      <w:lvlJc w:val="left"/>
      <w:pPr>
        <w:ind w:left="4943" w:hanging="428"/>
      </w:pPr>
      <w:rPr>
        <w:rFonts w:hint="default"/>
        <w:lang w:val="en-au" w:eastAsia="en-US" w:bidi="ar-SA"/>
      </w:rPr>
    </w:lvl>
    <w:lvl w:ilvl="6">
      <w:start w:val="0"/>
      <w:numFmt w:val="bullet"/>
      <w:lvlText w:val="•"/>
      <w:lvlJc w:val="left"/>
      <w:pPr>
        <w:ind w:left="5824" w:hanging="428"/>
      </w:pPr>
      <w:rPr>
        <w:rFonts w:hint="default"/>
        <w:lang w:val="en-au" w:eastAsia="en-US" w:bidi="ar-SA"/>
      </w:rPr>
    </w:lvl>
    <w:lvl w:ilvl="7">
      <w:start w:val="0"/>
      <w:numFmt w:val="bullet"/>
      <w:lvlText w:val="•"/>
      <w:lvlJc w:val="left"/>
      <w:pPr>
        <w:ind w:left="6705" w:hanging="428"/>
      </w:pPr>
      <w:rPr>
        <w:rFonts w:hint="default"/>
        <w:lang w:val="en-au" w:eastAsia="en-US" w:bidi="ar-SA"/>
      </w:rPr>
    </w:lvl>
    <w:lvl w:ilvl="8">
      <w:start w:val="0"/>
      <w:numFmt w:val="bullet"/>
      <w:lvlText w:val="•"/>
      <w:lvlJc w:val="left"/>
      <w:pPr>
        <w:ind w:left="7586" w:hanging="428"/>
      </w:pPr>
      <w:rPr>
        <w:rFonts w:hint="default"/>
        <w:lang w:val="en-au" w:eastAsia="en-US" w:bidi="ar-SA"/>
      </w:rPr>
    </w:lvl>
  </w:abstractNum>
  <w:abstractNum w:abstractNumId="4">
    <w:multiLevelType w:val="hybridMultilevel"/>
    <w:lvl w:ilvl="0">
      <w:start w:val="0"/>
      <w:numFmt w:val="bullet"/>
      <w:lvlText w:val=""/>
      <w:lvlJc w:val="left"/>
      <w:pPr>
        <w:ind w:left="1010" w:hanging="361"/>
      </w:pPr>
      <w:rPr>
        <w:rFonts w:hint="default" w:ascii="Symbol" w:hAnsi="Symbol" w:eastAsia="Symbol" w:cs="Symbol"/>
        <w:w w:val="100"/>
        <w:sz w:val="22"/>
        <w:szCs w:val="22"/>
        <w:lang w:val="en-au" w:eastAsia="en-US" w:bidi="ar-SA"/>
      </w:rPr>
    </w:lvl>
    <w:lvl w:ilvl="1">
      <w:start w:val="0"/>
      <w:numFmt w:val="bullet"/>
      <w:lvlText w:val=""/>
      <w:lvlJc w:val="left"/>
      <w:pPr>
        <w:ind w:left="1480" w:hanging="360"/>
      </w:pPr>
      <w:rPr>
        <w:rFonts w:hint="default" w:ascii="Symbol" w:hAnsi="Symbol" w:eastAsia="Symbol" w:cs="Symbol"/>
        <w:w w:val="100"/>
        <w:sz w:val="22"/>
        <w:szCs w:val="22"/>
        <w:lang w:val="en-au" w:eastAsia="en-US" w:bidi="ar-SA"/>
      </w:rPr>
    </w:lvl>
    <w:lvl w:ilvl="2">
      <w:start w:val="0"/>
      <w:numFmt w:val="bullet"/>
      <w:lvlText w:val=""/>
      <w:lvlJc w:val="left"/>
      <w:pPr>
        <w:ind w:left="1588" w:hanging="360"/>
      </w:pPr>
      <w:rPr>
        <w:rFonts w:hint="default" w:ascii="Symbol" w:hAnsi="Symbol" w:eastAsia="Symbol" w:cs="Symbol"/>
        <w:w w:val="99"/>
        <w:sz w:val="20"/>
        <w:szCs w:val="20"/>
        <w:lang w:val="en-au" w:eastAsia="en-US" w:bidi="ar-SA"/>
      </w:rPr>
    </w:lvl>
    <w:lvl w:ilvl="3">
      <w:start w:val="0"/>
      <w:numFmt w:val="bullet"/>
      <w:lvlText w:val="•"/>
      <w:lvlJc w:val="left"/>
      <w:pPr>
        <w:ind w:left="2700" w:hanging="360"/>
      </w:pPr>
      <w:rPr>
        <w:rFonts w:hint="default"/>
        <w:lang w:val="en-au" w:eastAsia="en-US" w:bidi="ar-SA"/>
      </w:rPr>
    </w:lvl>
    <w:lvl w:ilvl="4">
      <w:start w:val="0"/>
      <w:numFmt w:val="bullet"/>
      <w:lvlText w:val="•"/>
      <w:lvlJc w:val="left"/>
      <w:pPr>
        <w:ind w:left="3821" w:hanging="360"/>
      </w:pPr>
      <w:rPr>
        <w:rFonts w:hint="default"/>
        <w:lang w:val="en-au" w:eastAsia="en-US" w:bidi="ar-SA"/>
      </w:rPr>
    </w:lvl>
    <w:lvl w:ilvl="5">
      <w:start w:val="0"/>
      <w:numFmt w:val="bullet"/>
      <w:lvlText w:val="•"/>
      <w:lvlJc w:val="left"/>
      <w:pPr>
        <w:ind w:left="4942" w:hanging="360"/>
      </w:pPr>
      <w:rPr>
        <w:rFonts w:hint="default"/>
        <w:lang w:val="en-au" w:eastAsia="en-US" w:bidi="ar-SA"/>
      </w:rPr>
    </w:lvl>
    <w:lvl w:ilvl="6">
      <w:start w:val="0"/>
      <w:numFmt w:val="bullet"/>
      <w:lvlText w:val="•"/>
      <w:lvlJc w:val="left"/>
      <w:pPr>
        <w:ind w:left="6063" w:hanging="360"/>
      </w:pPr>
      <w:rPr>
        <w:rFonts w:hint="default"/>
        <w:lang w:val="en-au" w:eastAsia="en-US" w:bidi="ar-SA"/>
      </w:rPr>
    </w:lvl>
    <w:lvl w:ilvl="7">
      <w:start w:val="0"/>
      <w:numFmt w:val="bullet"/>
      <w:lvlText w:val="•"/>
      <w:lvlJc w:val="left"/>
      <w:pPr>
        <w:ind w:left="7184" w:hanging="360"/>
      </w:pPr>
      <w:rPr>
        <w:rFonts w:hint="default"/>
        <w:lang w:val="en-au" w:eastAsia="en-US" w:bidi="ar-SA"/>
      </w:rPr>
    </w:lvl>
    <w:lvl w:ilvl="8">
      <w:start w:val="0"/>
      <w:numFmt w:val="bullet"/>
      <w:lvlText w:val="•"/>
      <w:lvlJc w:val="left"/>
      <w:pPr>
        <w:ind w:left="8304" w:hanging="360"/>
      </w:pPr>
      <w:rPr>
        <w:rFonts w:hint="default"/>
        <w:lang w:val="en-au" w:eastAsia="en-US" w:bidi="ar-SA"/>
      </w:rPr>
    </w:lvl>
  </w:abstractNum>
  <w:abstractNum w:abstractNumId="3">
    <w:multiLevelType w:val="hybridMultilevel"/>
    <w:lvl w:ilvl="0">
      <w:start w:val="0"/>
      <w:numFmt w:val="bullet"/>
      <w:lvlText w:val=""/>
      <w:lvlJc w:val="left"/>
      <w:pPr>
        <w:ind w:left="823" w:hanging="361"/>
      </w:pPr>
      <w:rPr>
        <w:rFonts w:hint="default" w:ascii="Symbol" w:hAnsi="Symbol" w:eastAsia="Symbol" w:cs="Symbol"/>
        <w:w w:val="100"/>
        <w:sz w:val="22"/>
        <w:szCs w:val="22"/>
        <w:lang w:val="en-au" w:eastAsia="en-US" w:bidi="ar-SA"/>
      </w:rPr>
    </w:lvl>
    <w:lvl w:ilvl="1">
      <w:start w:val="0"/>
      <w:numFmt w:val="bullet"/>
      <w:lvlText w:val="•"/>
      <w:lvlJc w:val="left"/>
      <w:pPr>
        <w:ind w:left="1755" w:hanging="361"/>
      </w:pPr>
      <w:rPr>
        <w:rFonts w:hint="default"/>
        <w:lang w:val="en-au" w:eastAsia="en-US" w:bidi="ar-SA"/>
      </w:rPr>
    </w:lvl>
    <w:lvl w:ilvl="2">
      <w:start w:val="0"/>
      <w:numFmt w:val="bullet"/>
      <w:lvlText w:val="•"/>
      <w:lvlJc w:val="left"/>
      <w:pPr>
        <w:ind w:left="2691" w:hanging="361"/>
      </w:pPr>
      <w:rPr>
        <w:rFonts w:hint="default"/>
        <w:lang w:val="en-au" w:eastAsia="en-US" w:bidi="ar-SA"/>
      </w:rPr>
    </w:lvl>
    <w:lvl w:ilvl="3">
      <w:start w:val="0"/>
      <w:numFmt w:val="bullet"/>
      <w:lvlText w:val="•"/>
      <w:lvlJc w:val="left"/>
      <w:pPr>
        <w:ind w:left="3626" w:hanging="361"/>
      </w:pPr>
      <w:rPr>
        <w:rFonts w:hint="default"/>
        <w:lang w:val="en-au" w:eastAsia="en-US" w:bidi="ar-SA"/>
      </w:rPr>
    </w:lvl>
    <w:lvl w:ilvl="4">
      <w:start w:val="0"/>
      <w:numFmt w:val="bullet"/>
      <w:lvlText w:val="•"/>
      <w:lvlJc w:val="left"/>
      <w:pPr>
        <w:ind w:left="4562" w:hanging="361"/>
      </w:pPr>
      <w:rPr>
        <w:rFonts w:hint="default"/>
        <w:lang w:val="en-au" w:eastAsia="en-US" w:bidi="ar-SA"/>
      </w:rPr>
    </w:lvl>
    <w:lvl w:ilvl="5">
      <w:start w:val="0"/>
      <w:numFmt w:val="bullet"/>
      <w:lvlText w:val="•"/>
      <w:lvlJc w:val="left"/>
      <w:pPr>
        <w:ind w:left="5497" w:hanging="361"/>
      </w:pPr>
      <w:rPr>
        <w:rFonts w:hint="default"/>
        <w:lang w:val="en-au" w:eastAsia="en-US" w:bidi="ar-SA"/>
      </w:rPr>
    </w:lvl>
    <w:lvl w:ilvl="6">
      <w:start w:val="0"/>
      <w:numFmt w:val="bullet"/>
      <w:lvlText w:val="•"/>
      <w:lvlJc w:val="left"/>
      <w:pPr>
        <w:ind w:left="6433" w:hanging="361"/>
      </w:pPr>
      <w:rPr>
        <w:rFonts w:hint="default"/>
        <w:lang w:val="en-au" w:eastAsia="en-US" w:bidi="ar-SA"/>
      </w:rPr>
    </w:lvl>
    <w:lvl w:ilvl="7">
      <w:start w:val="0"/>
      <w:numFmt w:val="bullet"/>
      <w:lvlText w:val="•"/>
      <w:lvlJc w:val="left"/>
      <w:pPr>
        <w:ind w:left="7368" w:hanging="361"/>
      </w:pPr>
      <w:rPr>
        <w:rFonts w:hint="default"/>
        <w:lang w:val="en-au" w:eastAsia="en-US" w:bidi="ar-SA"/>
      </w:rPr>
    </w:lvl>
    <w:lvl w:ilvl="8">
      <w:start w:val="0"/>
      <w:numFmt w:val="bullet"/>
      <w:lvlText w:val="•"/>
      <w:lvlJc w:val="left"/>
      <w:pPr>
        <w:ind w:left="8304" w:hanging="361"/>
      </w:pPr>
      <w:rPr>
        <w:rFonts w:hint="default"/>
        <w:lang w:val="en-au" w:eastAsia="en-US" w:bidi="ar-SA"/>
      </w:rPr>
    </w:lvl>
  </w:abstractNum>
  <w:abstractNum w:abstractNumId="2">
    <w:multiLevelType w:val="hybridMultilevel"/>
    <w:lvl w:ilvl="0">
      <w:start w:val="0"/>
      <w:numFmt w:val="bullet"/>
      <w:lvlText w:val=""/>
      <w:lvlJc w:val="left"/>
      <w:pPr>
        <w:ind w:left="823" w:hanging="361"/>
      </w:pPr>
      <w:rPr>
        <w:rFonts w:hint="default"/>
        <w:w w:val="100"/>
        <w:lang w:val="en-au" w:eastAsia="en-US" w:bidi="ar-SA"/>
      </w:rPr>
    </w:lvl>
    <w:lvl w:ilvl="1">
      <w:start w:val="0"/>
      <w:numFmt w:val="bullet"/>
      <w:lvlText w:val="•"/>
      <w:lvlJc w:val="left"/>
      <w:pPr>
        <w:ind w:left="1755" w:hanging="361"/>
      </w:pPr>
      <w:rPr>
        <w:rFonts w:hint="default"/>
        <w:lang w:val="en-au" w:eastAsia="en-US" w:bidi="ar-SA"/>
      </w:rPr>
    </w:lvl>
    <w:lvl w:ilvl="2">
      <w:start w:val="0"/>
      <w:numFmt w:val="bullet"/>
      <w:lvlText w:val="•"/>
      <w:lvlJc w:val="left"/>
      <w:pPr>
        <w:ind w:left="2690" w:hanging="361"/>
      </w:pPr>
      <w:rPr>
        <w:rFonts w:hint="default"/>
        <w:lang w:val="en-au" w:eastAsia="en-US" w:bidi="ar-SA"/>
      </w:rPr>
    </w:lvl>
    <w:lvl w:ilvl="3">
      <w:start w:val="0"/>
      <w:numFmt w:val="bullet"/>
      <w:lvlText w:val="•"/>
      <w:lvlJc w:val="left"/>
      <w:pPr>
        <w:ind w:left="3625" w:hanging="361"/>
      </w:pPr>
      <w:rPr>
        <w:rFonts w:hint="default"/>
        <w:lang w:val="en-au" w:eastAsia="en-US" w:bidi="ar-SA"/>
      </w:rPr>
    </w:lvl>
    <w:lvl w:ilvl="4">
      <w:start w:val="0"/>
      <w:numFmt w:val="bullet"/>
      <w:lvlText w:val="•"/>
      <w:lvlJc w:val="left"/>
      <w:pPr>
        <w:ind w:left="4561" w:hanging="361"/>
      </w:pPr>
      <w:rPr>
        <w:rFonts w:hint="default"/>
        <w:lang w:val="en-au" w:eastAsia="en-US" w:bidi="ar-SA"/>
      </w:rPr>
    </w:lvl>
    <w:lvl w:ilvl="5">
      <w:start w:val="0"/>
      <w:numFmt w:val="bullet"/>
      <w:lvlText w:val="•"/>
      <w:lvlJc w:val="left"/>
      <w:pPr>
        <w:ind w:left="5496" w:hanging="361"/>
      </w:pPr>
      <w:rPr>
        <w:rFonts w:hint="default"/>
        <w:lang w:val="en-au" w:eastAsia="en-US" w:bidi="ar-SA"/>
      </w:rPr>
    </w:lvl>
    <w:lvl w:ilvl="6">
      <w:start w:val="0"/>
      <w:numFmt w:val="bullet"/>
      <w:lvlText w:val="•"/>
      <w:lvlJc w:val="left"/>
      <w:pPr>
        <w:ind w:left="6431" w:hanging="361"/>
      </w:pPr>
      <w:rPr>
        <w:rFonts w:hint="default"/>
        <w:lang w:val="en-au" w:eastAsia="en-US" w:bidi="ar-SA"/>
      </w:rPr>
    </w:lvl>
    <w:lvl w:ilvl="7">
      <w:start w:val="0"/>
      <w:numFmt w:val="bullet"/>
      <w:lvlText w:val="•"/>
      <w:lvlJc w:val="left"/>
      <w:pPr>
        <w:ind w:left="7367" w:hanging="361"/>
      </w:pPr>
      <w:rPr>
        <w:rFonts w:hint="default"/>
        <w:lang w:val="en-au" w:eastAsia="en-US" w:bidi="ar-SA"/>
      </w:rPr>
    </w:lvl>
    <w:lvl w:ilvl="8">
      <w:start w:val="0"/>
      <w:numFmt w:val="bullet"/>
      <w:lvlText w:val="•"/>
      <w:lvlJc w:val="left"/>
      <w:pPr>
        <w:ind w:left="8302" w:hanging="361"/>
      </w:pPr>
      <w:rPr>
        <w:rFonts w:hint="default"/>
        <w:lang w:val="en-au" w:eastAsia="en-US" w:bidi="ar-SA"/>
      </w:rPr>
    </w:lvl>
  </w:abstractNum>
  <w:abstractNum w:abstractNumId="1">
    <w:multiLevelType w:val="hybridMultilevel"/>
    <w:lvl w:ilvl="0">
      <w:start w:val="1"/>
      <w:numFmt w:val="decimal"/>
      <w:lvlText w:val="%1."/>
      <w:lvlJc w:val="left"/>
      <w:pPr>
        <w:ind w:left="1480" w:hanging="360"/>
        <w:jc w:val="left"/>
      </w:pPr>
      <w:rPr>
        <w:rFonts w:hint="default"/>
        <w:w w:val="100"/>
        <w:lang w:val="en-au" w:eastAsia="en-US" w:bidi="ar-SA"/>
      </w:rPr>
    </w:lvl>
    <w:lvl w:ilvl="1">
      <w:start w:val="0"/>
      <w:numFmt w:val="bullet"/>
      <w:lvlText w:val="•"/>
      <w:lvlJc w:val="left"/>
      <w:pPr>
        <w:ind w:left="2386" w:hanging="360"/>
      </w:pPr>
      <w:rPr>
        <w:rFonts w:hint="default"/>
        <w:lang w:val="en-au" w:eastAsia="en-US" w:bidi="ar-SA"/>
      </w:rPr>
    </w:lvl>
    <w:lvl w:ilvl="2">
      <w:start w:val="0"/>
      <w:numFmt w:val="bullet"/>
      <w:lvlText w:val="•"/>
      <w:lvlJc w:val="left"/>
      <w:pPr>
        <w:ind w:left="3293" w:hanging="360"/>
      </w:pPr>
      <w:rPr>
        <w:rFonts w:hint="default"/>
        <w:lang w:val="en-au" w:eastAsia="en-US" w:bidi="ar-SA"/>
      </w:rPr>
    </w:lvl>
    <w:lvl w:ilvl="3">
      <w:start w:val="0"/>
      <w:numFmt w:val="bullet"/>
      <w:lvlText w:val="•"/>
      <w:lvlJc w:val="left"/>
      <w:pPr>
        <w:ind w:left="4199" w:hanging="360"/>
      </w:pPr>
      <w:rPr>
        <w:rFonts w:hint="default"/>
        <w:lang w:val="en-au" w:eastAsia="en-US" w:bidi="ar-SA"/>
      </w:rPr>
    </w:lvl>
    <w:lvl w:ilvl="4">
      <w:start w:val="0"/>
      <w:numFmt w:val="bullet"/>
      <w:lvlText w:val="•"/>
      <w:lvlJc w:val="left"/>
      <w:pPr>
        <w:ind w:left="5106" w:hanging="360"/>
      </w:pPr>
      <w:rPr>
        <w:rFonts w:hint="default"/>
        <w:lang w:val="en-au" w:eastAsia="en-US" w:bidi="ar-SA"/>
      </w:rPr>
    </w:lvl>
    <w:lvl w:ilvl="5">
      <w:start w:val="0"/>
      <w:numFmt w:val="bullet"/>
      <w:lvlText w:val="•"/>
      <w:lvlJc w:val="left"/>
      <w:pPr>
        <w:ind w:left="6013" w:hanging="360"/>
      </w:pPr>
      <w:rPr>
        <w:rFonts w:hint="default"/>
        <w:lang w:val="en-au" w:eastAsia="en-US" w:bidi="ar-SA"/>
      </w:rPr>
    </w:lvl>
    <w:lvl w:ilvl="6">
      <w:start w:val="0"/>
      <w:numFmt w:val="bullet"/>
      <w:lvlText w:val="•"/>
      <w:lvlJc w:val="left"/>
      <w:pPr>
        <w:ind w:left="6919" w:hanging="360"/>
      </w:pPr>
      <w:rPr>
        <w:rFonts w:hint="default"/>
        <w:lang w:val="en-au" w:eastAsia="en-US" w:bidi="ar-SA"/>
      </w:rPr>
    </w:lvl>
    <w:lvl w:ilvl="7">
      <w:start w:val="0"/>
      <w:numFmt w:val="bullet"/>
      <w:lvlText w:val="•"/>
      <w:lvlJc w:val="left"/>
      <w:pPr>
        <w:ind w:left="7826" w:hanging="360"/>
      </w:pPr>
      <w:rPr>
        <w:rFonts w:hint="default"/>
        <w:lang w:val="en-au" w:eastAsia="en-US" w:bidi="ar-SA"/>
      </w:rPr>
    </w:lvl>
    <w:lvl w:ilvl="8">
      <w:start w:val="0"/>
      <w:numFmt w:val="bullet"/>
      <w:lvlText w:val="•"/>
      <w:lvlJc w:val="left"/>
      <w:pPr>
        <w:ind w:left="8733" w:hanging="360"/>
      </w:pPr>
      <w:rPr>
        <w:rFonts w:hint="default"/>
        <w:lang w:val="en-au" w:eastAsia="en-US" w:bidi="ar-SA"/>
      </w:rPr>
    </w:lvl>
  </w:abstractNum>
  <w:abstractNum w:abstractNumId="0">
    <w:multiLevelType w:val="hybridMultilevel"/>
    <w:lvl w:ilvl="0">
      <w:start w:val="0"/>
      <w:numFmt w:val="bullet"/>
      <w:lvlText w:val=""/>
      <w:lvlJc w:val="left"/>
      <w:pPr>
        <w:ind w:left="1120" w:hanging="360"/>
      </w:pPr>
      <w:rPr>
        <w:rFonts w:hint="default" w:ascii="Wingdings" w:hAnsi="Wingdings" w:eastAsia="Wingdings" w:cs="Wingdings"/>
        <w:w w:val="100"/>
        <w:sz w:val="22"/>
        <w:szCs w:val="22"/>
        <w:lang w:val="en-au" w:eastAsia="en-US" w:bidi="ar-SA"/>
      </w:rPr>
    </w:lvl>
    <w:lvl w:ilvl="1">
      <w:start w:val="0"/>
      <w:numFmt w:val="bullet"/>
      <w:lvlText w:val=""/>
      <w:lvlJc w:val="left"/>
      <w:pPr>
        <w:ind w:left="1480" w:hanging="360"/>
      </w:pPr>
      <w:rPr>
        <w:rFonts w:hint="default" w:ascii="Symbol" w:hAnsi="Symbol" w:eastAsia="Symbol" w:cs="Symbol"/>
        <w:w w:val="100"/>
        <w:sz w:val="22"/>
        <w:szCs w:val="22"/>
        <w:lang w:val="en-au" w:eastAsia="en-US" w:bidi="ar-SA"/>
      </w:rPr>
    </w:lvl>
    <w:lvl w:ilvl="2">
      <w:start w:val="0"/>
      <w:numFmt w:val="bullet"/>
      <w:lvlText w:val="•"/>
      <w:lvlJc w:val="left"/>
      <w:pPr>
        <w:ind w:left="2487" w:hanging="360"/>
      </w:pPr>
      <w:rPr>
        <w:rFonts w:hint="default"/>
        <w:lang w:val="en-au" w:eastAsia="en-US" w:bidi="ar-SA"/>
      </w:rPr>
    </w:lvl>
    <w:lvl w:ilvl="3">
      <w:start w:val="0"/>
      <w:numFmt w:val="bullet"/>
      <w:lvlText w:val="•"/>
      <w:lvlJc w:val="left"/>
      <w:pPr>
        <w:ind w:left="3494" w:hanging="360"/>
      </w:pPr>
      <w:rPr>
        <w:rFonts w:hint="default"/>
        <w:lang w:val="en-au" w:eastAsia="en-US" w:bidi="ar-SA"/>
      </w:rPr>
    </w:lvl>
    <w:lvl w:ilvl="4">
      <w:start w:val="0"/>
      <w:numFmt w:val="bullet"/>
      <w:lvlText w:val="•"/>
      <w:lvlJc w:val="left"/>
      <w:pPr>
        <w:ind w:left="4502" w:hanging="360"/>
      </w:pPr>
      <w:rPr>
        <w:rFonts w:hint="default"/>
        <w:lang w:val="en-au" w:eastAsia="en-US" w:bidi="ar-SA"/>
      </w:rPr>
    </w:lvl>
    <w:lvl w:ilvl="5">
      <w:start w:val="0"/>
      <w:numFmt w:val="bullet"/>
      <w:lvlText w:val="•"/>
      <w:lvlJc w:val="left"/>
      <w:pPr>
        <w:ind w:left="5509" w:hanging="360"/>
      </w:pPr>
      <w:rPr>
        <w:rFonts w:hint="default"/>
        <w:lang w:val="en-au" w:eastAsia="en-US" w:bidi="ar-SA"/>
      </w:rPr>
    </w:lvl>
    <w:lvl w:ilvl="6">
      <w:start w:val="0"/>
      <w:numFmt w:val="bullet"/>
      <w:lvlText w:val="•"/>
      <w:lvlJc w:val="left"/>
      <w:pPr>
        <w:ind w:left="6516" w:hanging="360"/>
      </w:pPr>
      <w:rPr>
        <w:rFonts w:hint="default"/>
        <w:lang w:val="en-au" w:eastAsia="en-US" w:bidi="ar-SA"/>
      </w:rPr>
    </w:lvl>
    <w:lvl w:ilvl="7">
      <w:start w:val="0"/>
      <w:numFmt w:val="bullet"/>
      <w:lvlText w:val="•"/>
      <w:lvlJc w:val="left"/>
      <w:pPr>
        <w:ind w:left="7524" w:hanging="360"/>
      </w:pPr>
      <w:rPr>
        <w:rFonts w:hint="default"/>
        <w:lang w:val="en-au" w:eastAsia="en-US" w:bidi="ar-SA"/>
      </w:rPr>
    </w:lvl>
    <w:lvl w:ilvl="8">
      <w:start w:val="0"/>
      <w:numFmt w:val="bullet"/>
      <w:lvlText w:val="•"/>
      <w:lvlJc w:val="left"/>
      <w:pPr>
        <w:ind w:left="8531" w:hanging="360"/>
      </w:pPr>
      <w:rPr>
        <w:rFonts w:hint="default"/>
        <w:lang w:val="en-au"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au" w:eastAsia="en-US" w:bidi="ar-SA"/>
    </w:rPr>
  </w:style>
  <w:style w:styleId="BodyText" w:type="paragraph">
    <w:name w:val="Body Text"/>
    <w:basedOn w:val="Normal"/>
    <w:uiPriority w:val="1"/>
    <w:qFormat/>
    <w:pPr/>
    <w:rPr>
      <w:rFonts w:ascii="Calibri" w:hAnsi="Calibri" w:eastAsia="Calibri" w:cs="Calibri"/>
      <w:sz w:val="22"/>
      <w:szCs w:val="22"/>
      <w:lang w:val="en-au" w:eastAsia="en-US" w:bidi="ar-SA"/>
    </w:rPr>
  </w:style>
  <w:style w:styleId="Heading1" w:type="paragraph">
    <w:name w:val="Heading 1"/>
    <w:basedOn w:val="Normal"/>
    <w:uiPriority w:val="1"/>
    <w:qFormat/>
    <w:pPr>
      <w:spacing w:before="89"/>
      <w:ind w:left="760"/>
      <w:outlineLvl w:val="1"/>
    </w:pPr>
    <w:rPr>
      <w:rFonts w:ascii="Arial" w:hAnsi="Arial" w:eastAsia="Arial" w:cs="Arial"/>
      <w:sz w:val="24"/>
      <w:szCs w:val="24"/>
      <w:lang w:val="en-au" w:eastAsia="en-US" w:bidi="ar-SA"/>
    </w:rPr>
  </w:style>
  <w:style w:styleId="Heading2" w:type="paragraph">
    <w:name w:val="Heading 2"/>
    <w:basedOn w:val="Normal"/>
    <w:uiPriority w:val="1"/>
    <w:qFormat/>
    <w:pPr>
      <w:ind w:left="103"/>
      <w:outlineLvl w:val="2"/>
    </w:pPr>
    <w:rPr>
      <w:rFonts w:ascii="Calibri" w:hAnsi="Calibri" w:eastAsia="Calibri" w:cs="Calibri"/>
      <w:b/>
      <w:bCs/>
      <w:sz w:val="22"/>
      <w:szCs w:val="22"/>
      <w:lang w:val="en-au" w:eastAsia="en-US" w:bidi="ar-SA"/>
    </w:rPr>
  </w:style>
  <w:style w:styleId="Title" w:type="paragraph">
    <w:name w:val="Title"/>
    <w:basedOn w:val="Normal"/>
    <w:uiPriority w:val="1"/>
    <w:qFormat/>
    <w:pPr>
      <w:spacing w:before="63"/>
      <w:ind w:left="760"/>
    </w:pPr>
    <w:rPr>
      <w:rFonts w:ascii="Arial" w:hAnsi="Arial" w:eastAsia="Arial" w:cs="Arial"/>
      <w:sz w:val="48"/>
      <w:szCs w:val="48"/>
      <w:lang w:val="en-au" w:eastAsia="en-US" w:bidi="ar-SA"/>
    </w:rPr>
  </w:style>
  <w:style w:styleId="ListParagraph" w:type="paragraph">
    <w:name w:val="List Paragraph"/>
    <w:basedOn w:val="Normal"/>
    <w:uiPriority w:val="1"/>
    <w:qFormat/>
    <w:pPr>
      <w:ind w:left="1480" w:hanging="361"/>
    </w:pPr>
    <w:rPr>
      <w:rFonts w:ascii="Calibri" w:hAnsi="Calibri" w:eastAsia="Calibri" w:cs="Calibri"/>
      <w:lang w:val="en-au" w:eastAsia="en-US" w:bidi="ar-SA"/>
    </w:rPr>
  </w:style>
  <w:style w:styleId="TableParagraph" w:type="paragraph">
    <w:name w:val="Table Paragraph"/>
    <w:basedOn w:val="Normal"/>
    <w:uiPriority w:val="1"/>
    <w:qFormat/>
    <w:pPr>
      <w:spacing w:before="56"/>
      <w:ind w:left="57"/>
    </w:pPr>
    <w:rPr>
      <w:rFonts w:ascii="Calibri" w:hAnsi="Calibri" w:eastAsia="Calibri" w:cs="Calibri"/>
      <w:lang w:val="en-a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2020-12-14T20:59:05Z</dcterms:created>
  <dcterms:modified xsi:type="dcterms:W3CDTF">2020-12-14T20:59:05Z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2020-12-14T00:00:00Z</vt:filetime>
  </property>
  <property fmtid="{D5CDD505-2E9C-101B-9397-08002B2CF9AE}" pid="3" name="Creator">
    <vt:lpwstr>Microsoft® Word for Microsoft 365</vt:lpwstr>
  </property>
  <property fmtid="{D5CDD505-2E9C-101B-9397-08002B2CF9AE}" pid="4" name="LastSaved">
    <vt:filetime>2020-12-14T00:00:00Z</vt:filetime>
  </property>
</Properties>
</file>