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6F" w:rsidRDefault="00545ADC" w:rsidP="001619BA">
      <w:pPr>
        <w:rPr>
          <w:rStyle w:val="TitleChar"/>
        </w:rPr>
      </w:pPr>
      <w:bookmarkStart w:id="0" w:name="_GoBack"/>
      <w:bookmarkEnd w:id="0"/>
      <w:r>
        <w:rPr>
          <w:rStyle w:val="TitleChar"/>
        </w:rPr>
        <w:t>Gordon Primary School</w:t>
      </w:r>
    </w:p>
    <w:p w:rsidR="00662881" w:rsidRPr="00820E01" w:rsidRDefault="002636B7" w:rsidP="00545ADC">
      <w:pPr>
        <w:pStyle w:val="Title"/>
      </w:pPr>
      <w:r w:rsidRPr="00C35789">
        <w:rPr>
          <w:rStyle w:val="TitleChar"/>
        </w:rPr>
        <w:t xml:space="preserve">Annual </w:t>
      </w:r>
      <w:r w:rsidR="000443D7" w:rsidRPr="00C35789">
        <w:rPr>
          <w:rStyle w:val="TitleChar"/>
        </w:rPr>
        <w:t>Action Plan Report</w:t>
      </w:r>
      <w:r w:rsidR="001205F6">
        <w:rPr>
          <w:rStyle w:val="TitleChar"/>
        </w:rPr>
        <w:t xml:space="preserve"> </w:t>
      </w:r>
      <w:r w:rsidR="00545ADC">
        <w:rPr>
          <w:rStyle w:val="TitleChar"/>
        </w:rPr>
        <w:t>2017</w:t>
      </w:r>
    </w:p>
    <w:p w:rsidR="000443D7" w:rsidRPr="00741F6B" w:rsidRDefault="000443D7" w:rsidP="00A20F6F">
      <w:pPr>
        <w:pStyle w:val="Heading1"/>
        <w:rPr>
          <w:lang w:val="en-AU"/>
        </w:rPr>
      </w:pPr>
      <w:r w:rsidRPr="00741F6B">
        <w:t>Contex</w:t>
      </w:r>
      <w:r w:rsidR="003E22DD" w:rsidRPr="00741F6B">
        <w:t>t</w:t>
      </w:r>
      <w:r w:rsidR="00545ADC" w:rsidRPr="00741F6B">
        <w:rPr>
          <w:lang w:val="en-AU"/>
        </w:rPr>
        <w:t xml:space="preserve"> </w:t>
      </w:r>
    </w:p>
    <w:p w:rsidR="00545ADC" w:rsidRPr="00741F6B" w:rsidRDefault="00545ADC" w:rsidP="00545ADC">
      <w:pPr>
        <w:spacing w:line="240" w:lineRule="auto"/>
        <w:rPr>
          <w:rFonts w:ascii="Arial" w:hAnsi="Arial" w:cs="Arial"/>
          <w:sz w:val="24"/>
          <w:szCs w:val="24"/>
        </w:rPr>
      </w:pPr>
      <w:r w:rsidRPr="00741F6B">
        <w:rPr>
          <w:rFonts w:ascii="Arial" w:hAnsi="Arial" w:cs="Arial"/>
          <w:sz w:val="24"/>
          <w:szCs w:val="24"/>
        </w:rPr>
        <w:t xml:space="preserve">Gordon Primary School is situated in the Southern region of the Australian Capital Territory. It caters for students from Preschool through to year six. </w:t>
      </w:r>
    </w:p>
    <w:p w:rsidR="00545ADC" w:rsidRPr="00741F6B" w:rsidRDefault="00545ADC" w:rsidP="00545ADC">
      <w:pPr>
        <w:spacing w:line="240" w:lineRule="auto"/>
        <w:rPr>
          <w:rFonts w:ascii="Arial" w:hAnsi="Arial" w:cs="Arial"/>
          <w:sz w:val="24"/>
          <w:szCs w:val="24"/>
        </w:rPr>
      </w:pPr>
    </w:p>
    <w:p w:rsidR="00545ADC" w:rsidRPr="00741F6B" w:rsidRDefault="00545ADC" w:rsidP="00545ADC">
      <w:p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Gordon Primary School strives to enable students to be confident, respectful and tolerant individuals who are joyful about their learning.</w:t>
      </w:r>
    </w:p>
    <w:p w:rsidR="00545ADC" w:rsidRPr="00741F6B" w:rsidRDefault="00545ADC" w:rsidP="00545ADC">
      <w:pPr>
        <w:spacing w:line="240" w:lineRule="auto"/>
        <w:rPr>
          <w:rFonts w:ascii="Arial" w:eastAsia="Times New Roman" w:hAnsi="Arial" w:cs="Arial"/>
          <w:sz w:val="24"/>
          <w:szCs w:val="24"/>
          <w:lang w:eastAsia="en-AU"/>
        </w:rPr>
      </w:pPr>
    </w:p>
    <w:p w:rsidR="00545ADC" w:rsidRPr="00741F6B" w:rsidRDefault="00545ADC" w:rsidP="00545ADC">
      <w:p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As a member of the Lanyon Cluster of Schools Gordon Primary School pursues the Cluster Vision of learning that;</w:t>
      </w:r>
    </w:p>
    <w:p w:rsidR="00545ADC" w:rsidRPr="00741F6B" w:rsidRDefault="00545ADC" w:rsidP="00545ADC">
      <w:pPr>
        <w:pStyle w:val="ListParagraph"/>
        <w:numPr>
          <w:ilvl w:val="0"/>
          <w:numId w:val="14"/>
        </w:num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Engages, motivates and values students as individuals,</w:t>
      </w:r>
    </w:p>
    <w:p w:rsidR="00545ADC" w:rsidRPr="00741F6B" w:rsidRDefault="00545ADC" w:rsidP="00545ADC">
      <w:pPr>
        <w:pStyle w:val="ListParagraph"/>
        <w:numPr>
          <w:ilvl w:val="0"/>
          <w:numId w:val="14"/>
        </w:num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Provides programs of high intellectual quality designed to challenge and support students</w:t>
      </w:r>
    </w:p>
    <w:p w:rsidR="00545ADC" w:rsidRPr="00741F6B" w:rsidRDefault="00545ADC" w:rsidP="00545ADC">
      <w:pPr>
        <w:pStyle w:val="ListParagraph"/>
        <w:numPr>
          <w:ilvl w:val="0"/>
          <w:numId w:val="14"/>
        </w:num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Is connected to real world issues and C21st skills which are relevant to students’ lives</w:t>
      </w:r>
    </w:p>
    <w:p w:rsidR="00545ADC" w:rsidRPr="00741F6B" w:rsidRDefault="00545ADC" w:rsidP="00545ADC">
      <w:pPr>
        <w:spacing w:line="240" w:lineRule="auto"/>
        <w:ind w:left="360" w:hanging="360"/>
        <w:rPr>
          <w:rFonts w:ascii="Arial" w:eastAsia="Times New Roman" w:hAnsi="Arial" w:cs="Arial"/>
          <w:sz w:val="24"/>
          <w:szCs w:val="24"/>
          <w:lang w:eastAsia="en-AU"/>
        </w:rPr>
      </w:pPr>
    </w:p>
    <w:p w:rsidR="00545ADC" w:rsidRPr="00741F6B" w:rsidRDefault="00545ADC" w:rsidP="00545ADC">
      <w:p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Four key values are emphasised at Gordon Primary School, responsibility, honesty, tolerance and respect. Additional values of importance include, striving for personal best, integrity, understanding, care, compassion and inclusion. Also Gordon Primary School accords high priority to promoting warm, courteous relationships in which the rights and needs of all are respected and resilience is developed.</w:t>
      </w:r>
    </w:p>
    <w:p w:rsidR="001205F6" w:rsidRPr="00741F6B" w:rsidRDefault="001205F6" w:rsidP="00820E01">
      <w:pPr>
        <w:pStyle w:val="BodyText"/>
        <w:rPr>
          <w:rFonts w:ascii="Arial" w:hAnsi="Arial" w:cs="Arial"/>
        </w:rPr>
      </w:pPr>
    </w:p>
    <w:p w:rsidR="000443D7" w:rsidRPr="00741F6B" w:rsidRDefault="003E22DD" w:rsidP="00A20F6F">
      <w:pPr>
        <w:pStyle w:val="Heading1"/>
        <w:rPr>
          <w:lang w:val="en-AU"/>
        </w:rPr>
      </w:pPr>
      <w:r w:rsidRPr="00741F6B">
        <w:t>Methodology</w:t>
      </w:r>
      <w:r w:rsidR="00545ADC" w:rsidRPr="00741F6B">
        <w:rPr>
          <w:lang w:val="en-AU"/>
        </w:rPr>
        <w:t xml:space="preserve"> </w:t>
      </w:r>
    </w:p>
    <w:p w:rsidR="00545ADC" w:rsidRPr="00741F6B" w:rsidRDefault="00545ADC" w:rsidP="00545ADC">
      <w:p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An important element of the improvement process at Gordon Primary School is the application of the Plan-Do-Study-Act (PDSA) cycle.  This process involves staff collaboratively developing and adopting the annual improvement plan, undertaking actions in accordance with the strategic priorities of that plan, studying the outcome of the actions and acting on the findings of their study. Teachers undertake formal Action Research (also known as Action Learning) projects as part of this process.</w:t>
      </w:r>
    </w:p>
    <w:p w:rsidR="00545ADC" w:rsidRPr="00741F6B" w:rsidRDefault="00545ADC" w:rsidP="00545ADC">
      <w:pPr>
        <w:spacing w:line="240" w:lineRule="auto"/>
        <w:rPr>
          <w:rFonts w:ascii="Arial" w:eastAsia="Times New Roman" w:hAnsi="Arial" w:cs="Arial"/>
          <w:sz w:val="24"/>
          <w:szCs w:val="24"/>
          <w:lang w:eastAsia="en-AU"/>
        </w:rPr>
      </w:pPr>
    </w:p>
    <w:p w:rsidR="00545ADC" w:rsidRPr="00741F6B" w:rsidRDefault="00545ADC" w:rsidP="00545ADC">
      <w:p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 xml:space="preserve">To obtain an overall understanding of the success of continuous improvement efforts, the Executive Team, in consultation with staff, formally reviews whole school performance each semester noting achievements against the priorities of the Annual Action Plan. The Gordon Primary </w:t>
      </w:r>
      <w:r w:rsidR="00746131">
        <w:rPr>
          <w:rFonts w:ascii="Arial" w:eastAsia="Times New Roman" w:hAnsi="Arial" w:cs="Arial"/>
          <w:sz w:val="24"/>
          <w:szCs w:val="24"/>
          <w:lang w:eastAsia="en-AU"/>
        </w:rPr>
        <w:t xml:space="preserve">School </w:t>
      </w:r>
      <w:r w:rsidRPr="00741F6B">
        <w:rPr>
          <w:rFonts w:ascii="Arial" w:eastAsia="Times New Roman" w:hAnsi="Arial" w:cs="Arial"/>
          <w:sz w:val="24"/>
          <w:szCs w:val="24"/>
          <w:lang w:eastAsia="en-AU"/>
        </w:rPr>
        <w:t xml:space="preserve">Data and Assessment Plan guides the gathering and analysis of student learning </w:t>
      </w:r>
      <w:r w:rsidRPr="00741F6B">
        <w:rPr>
          <w:rFonts w:ascii="Arial" w:eastAsia="Times New Roman" w:hAnsi="Arial" w:cs="Arial"/>
          <w:sz w:val="24"/>
          <w:szCs w:val="24"/>
          <w:lang w:eastAsia="en-AU"/>
        </w:rPr>
        <w:lastRenderedPageBreak/>
        <w:t>and wellbeing data.  Each year the Executive Team conducts a comprehensive review of performance in Term 4. Data analysed in this end-of-year comprehensive review is utilised to develop the subsequent Annual Action Plan.   The School Board approves annual Action Plans.</w:t>
      </w:r>
    </w:p>
    <w:p w:rsidR="00545ADC" w:rsidRPr="00741F6B" w:rsidRDefault="00545ADC" w:rsidP="00545ADC">
      <w:pPr>
        <w:spacing w:line="240" w:lineRule="auto"/>
        <w:rPr>
          <w:rFonts w:ascii="Arial" w:eastAsia="Times New Roman" w:hAnsi="Arial" w:cs="Arial"/>
          <w:sz w:val="24"/>
          <w:szCs w:val="24"/>
          <w:lang w:eastAsia="en-AU"/>
        </w:rPr>
      </w:pPr>
    </w:p>
    <w:p w:rsidR="00545ADC" w:rsidRPr="00741F6B" w:rsidRDefault="00746131" w:rsidP="00545ADC">
      <w:pPr>
        <w:spacing w:line="240" w:lineRule="auto"/>
        <w:rPr>
          <w:rFonts w:ascii="Arial" w:eastAsia="Times New Roman" w:hAnsi="Arial" w:cs="Arial"/>
          <w:sz w:val="24"/>
          <w:szCs w:val="24"/>
          <w:lang w:eastAsia="en-AU"/>
        </w:rPr>
      </w:pPr>
      <w:r>
        <w:rPr>
          <w:rFonts w:ascii="Arial" w:hAnsi="Arial" w:cs="Arial"/>
          <w:sz w:val="24"/>
          <w:szCs w:val="24"/>
        </w:rPr>
        <w:t>In 2017 t</w:t>
      </w:r>
      <w:r w:rsidR="00545ADC" w:rsidRPr="00741F6B">
        <w:rPr>
          <w:rFonts w:ascii="Arial" w:hAnsi="Arial" w:cs="Arial"/>
          <w:sz w:val="24"/>
          <w:szCs w:val="24"/>
        </w:rPr>
        <w:t xml:space="preserve">he school </w:t>
      </w:r>
      <w:r>
        <w:rPr>
          <w:rFonts w:ascii="Arial" w:hAnsi="Arial" w:cs="Arial"/>
          <w:sz w:val="24"/>
          <w:szCs w:val="24"/>
        </w:rPr>
        <w:t>was</w:t>
      </w:r>
      <w:r w:rsidR="00545ADC" w:rsidRPr="00741F6B">
        <w:rPr>
          <w:rFonts w:ascii="Arial" w:hAnsi="Arial" w:cs="Arial"/>
          <w:sz w:val="24"/>
          <w:szCs w:val="24"/>
        </w:rPr>
        <w:t xml:space="preserve"> in the first year of the school improvement cycle.</w:t>
      </w:r>
      <w:r w:rsidR="00545ADC" w:rsidRPr="00741F6B">
        <w:rPr>
          <w:rFonts w:ascii="Arial" w:hAnsi="Arial" w:cs="Arial"/>
          <w:i/>
          <w:sz w:val="24"/>
          <w:szCs w:val="24"/>
        </w:rPr>
        <w:t xml:space="preserve">  </w:t>
      </w:r>
      <w:r w:rsidR="00545ADC" w:rsidRPr="00741F6B">
        <w:rPr>
          <w:rFonts w:ascii="Arial" w:hAnsi="Arial" w:cs="Arial"/>
          <w:sz w:val="24"/>
          <w:szCs w:val="24"/>
        </w:rPr>
        <w:t xml:space="preserve">The school’s strategic plan is focused on improving outcomes for students in literacy and </w:t>
      </w:r>
      <w:r w:rsidR="00966D77">
        <w:rPr>
          <w:rFonts w:ascii="Arial" w:hAnsi="Arial" w:cs="Arial"/>
          <w:sz w:val="24"/>
          <w:szCs w:val="24"/>
        </w:rPr>
        <w:t>numeracy and to enhance student</w:t>
      </w:r>
      <w:r w:rsidR="00545ADC" w:rsidRPr="00741F6B">
        <w:rPr>
          <w:rFonts w:ascii="Arial" w:hAnsi="Arial" w:cs="Arial"/>
          <w:sz w:val="24"/>
          <w:szCs w:val="24"/>
        </w:rPr>
        <w:t>s</w:t>
      </w:r>
      <w:r w:rsidR="00966D77">
        <w:rPr>
          <w:rFonts w:ascii="Arial" w:hAnsi="Arial" w:cs="Arial"/>
          <w:sz w:val="24"/>
          <w:szCs w:val="24"/>
        </w:rPr>
        <w:t>’</w:t>
      </w:r>
      <w:r w:rsidR="00545ADC" w:rsidRPr="00741F6B">
        <w:rPr>
          <w:rFonts w:ascii="Arial" w:hAnsi="Arial" w:cs="Arial"/>
          <w:sz w:val="24"/>
          <w:szCs w:val="24"/>
        </w:rPr>
        <w:t xml:space="preserve"> sense of satisfaction, enjoyment of learning and wellbeing.</w:t>
      </w:r>
    </w:p>
    <w:p w:rsidR="00545ADC" w:rsidRPr="00741F6B" w:rsidRDefault="00545ADC" w:rsidP="00545ADC">
      <w:pPr>
        <w:spacing w:line="240" w:lineRule="auto"/>
        <w:rPr>
          <w:rFonts w:ascii="Arial" w:eastAsia="Times New Roman" w:hAnsi="Arial" w:cs="Arial"/>
          <w:sz w:val="24"/>
          <w:szCs w:val="24"/>
          <w:lang w:eastAsia="en-AU"/>
        </w:rPr>
      </w:pPr>
    </w:p>
    <w:p w:rsidR="00545ADC" w:rsidRPr="00741F6B" w:rsidRDefault="00545ADC" w:rsidP="00545ADC">
      <w:pPr>
        <w:spacing w:line="240" w:lineRule="auto"/>
        <w:rPr>
          <w:rFonts w:ascii="Arial" w:eastAsia="Times New Roman" w:hAnsi="Arial" w:cs="Arial"/>
          <w:sz w:val="24"/>
          <w:szCs w:val="24"/>
          <w:lang w:eastAsia="en-AU"/>
        </w:rPr>
      </w:pPr>
      <w:r w:rsidRPr="00741F6B">
        <w:rPr>
          <w:rFonts w:ascii="Arial" w:eastAsia="Times New Roman" w:hAnsi="Arial" w:cs="Arial"/>
          <w:sz w:val="24"/>
          <w:szCs w:val="24"/>
          <w:lang w:eastAsia="en-AU"/>
        </w:rPr>
        <w:t xml:space="preserve">The school’s self-assessment and the Report of the External Review </w:t>
      </w:r>
      <w:r w:rsidR="00966D77">
        <w:rPr>
          <w:rFonts w:ascii="Arial" w:eastAsia="Times New Roman" w:hAnsi="Arial" w:cs="Arial"/>
          <w:sz w:val="24"/>
          <w:szCs w:val="24"/>
          <w:lang w:eastAsia="en-AU"/>
        </w:rPr>
        <w:t xml:space="preserve">Panel </w:t>
      </w:r>
      <w:r w:rsidRPr="00741F6B">
        <w:rPr>
          <w:rFonts w:ascii="Arial" w:eastAsia="Times New Roman" w:hAnsi="Arial" w:cs="Arial"/>
          <w:sz w:val="24"/>
          <w:szCs w:val="24"/>
          <w:lang w:eastAsia="en-AU"/>
        </w:rPr>
        <w:t>were used to determine the priorities, strategies, actions and targets that comprise the 2017 -2021 Strategic Plan and the 2017 Annual Action Plan.</w:t>
      </w:r>
    </w:p>
    <w:p w:rsidR="00CD5632" w:rsidRPr="00820E01" w:rsidRDefault="00CD5632" w:rsidP="00820E01">
      <w:pPr>
        <w:pStyle w:val="BodyText"/>
        <w:sectPr w:rsidR="00CD5632" w:rsidRPr="00820E01" w:rsidSect="00A003A0">
          <w:footerReference w:type="default" r:id="rId7"/>
          <w:pgSz w:w="11906" w:h="16838"/>
          <w:pgMar w:top="1440" w:right="1440" w:bottom="1440" w:left="1440" w:header="709" w:footer="709" w:gutter="0"/>
          <w:cols w:space="708"/>
          <w:docGrid w:linePitch="360"/>
        </w:sectPr>
      </w:pPr>
    </w:p>
    <w:p w:rsidR="000443D7" w:rsidRPr="00545ADC" w:rsidRDefault="000443D7" w:rsidP="00A20F6F">
      <w:pPr>
        <w:pStyle w:val="Heading1"/>
        <w:rPr>
          <w:lang w:val="en-AU"/>
        </w:rPr>
      </w:pPr>
      <w:r w:rsidRPr="00545ADC">
        <w:lastRenderedPageBreak/>
        <w:t>Evaluation of Performance</w:t>
      </w:r>
      <w:r w:rsidR="00545ADC" w:rsidRPr="00545ADC">
        <w:rPr>
          <w:lang w:val="en-AU"/>
        </w:rPr>
        <w:t xml:space="preserve"> </w:t>
      </w:r>
    </w:p>
    <w:p w:rsidR="000443D7" w:rsidRPr="00545ADC" w:rsidRDefault="00EA5C81" w:rsidP="00545ADC">
      <w:pPr>
        <w:pStyle w:val="Heading2"/>
        <w:spacing w:before="0" w:after="0"/>
        <w:contextualSpacing/>
      </w:pPr>
      <w:r w:rsidRPr="00545ADC">
        <w:t>Priority</w:t>
      </w:r>
      <w:r w:rsidR="00545ADC" w:rsidRPr="00545ADC">
        <w:t xml:space="preserve"> 1</w:t>
      </w:r>
    </w:p>
    <w:p w:rsidR="00545ADC" w:rsidRPr="00545ADC" w:rsidRDefault="00545ADC" w:rsidP="00545ADC">
      <w:pPr>
        <w:pStyle w:val="Heading2"/>
        <w:spacing w:before="0" w:after="0"/>
        <w:contextualSpacing/>
        <w:rPr>
          <w:rStyle w:val="Strong"/>
          <w:b w:val="0"/>
          <w:i w:val="0"/>
          <w:color w:val="auto"/>
        </w:rPr>
      </w:pPr>
      <w:r w:rsidRPr="00545ADC">
        <w:rPr>
          <w:rStyle w:val="Strong"/>
          <w:b w:val="0"/>
          <w:i w:val="0"/>
        </w:rPr>
        <w:t>Improve Learning Outcomes in Literacy and Numeracy</w:t>
      </w:r>
    </w:p>
    <w:p w:rsidR="00545ADC" w:rsidRPr="00545ADC" w:rsidRDefault="00545ADC" w:rsidP="00545ADC">
      <w:pPr>
        <w:pStyle w:val="BodyText"/>
        <w:spacing w:after="0"/>
        <w:contextualSpacing/>
        <w:rPr>
          <w:rFonts w:ascii="Arial" w:hAnsi="Arial" w:cs="Arial"/>
        </w:rPr>
      </w:pPr>
    </w:p>
    <w:p w:rsidR="000443D7" w:rsidRPr="00545ADC" w:rsidRDefault="000443D7" w:rsidP="00545ADC">
      <w:pPr>
        <w:pStyle w:val="Heading3"/>
        <w:spacing w:before="0" w:after="0"/>
      </w:pPr>
      <w:r w:rsidRPr="00545ADC">
        <w:t>Target</w:t>
      </w:r>
      <w:r w:rsidR="006F45C9" w:rsidRPr="00545ADC">
        <w:t>s</w:t>
      </w:r>
    </w:p>
    <w:p w:rsidR="00545ADC" w:rsidRPr="00545ADC" w:rsidRDefault="00545ADC" w:rsidP="00545ADC">
      <w:pPr>
        <w:numPr>
          <w:ilvl w:val="0"/>
          <w:numId w:val="1"/>
        </w:numPr>
        <w:spacing w:line="240" w:lineRule="auto"/>
        <w:ind w:left="360"/>
        <w:textAlignment w:val="baseline"/>
        <w:rPr>
          <w:rFonts w:ascii="Arial" w:eastAsia="Times New Roman" w:hAnsi="Arial" w:cs="Arial"/>
          <w:sz w:val="24"/>
          <w:szCs w:val="24"/>
          <w:lang w:eastAsia="en-AU"/>
        </w:rPr>
      </w:pPr>
      <w:r w:rsidRPr="00545ADC">
        <w:rPr>
          <w:rFonts w:ascii="Arial" w:eastAsia="Times New Roman" w:hAnsi="Arial" w:cs="Arial"/>
          <w:sz w:val="24"/>
          <w:szCs w:val="24"/>
          <w:lang w:eastAsia="en-AU"/>
        </w:rPr>
        <w:t>60</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of within school matched students demonstrate expected growth, or better, in Year 3 to Year 5 NAPLAN Numeracy (improved from 55</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in 2016)</w:t>
      </w:r>
    </w:p>
    <w:p w:rsidR="00545ADC" w:rsidRPr="00545ADC" w:rsidRDefault="00545ADC" w:rsidP="00545ADC">
      <w:pPr>
        <w:numPr>
          <w:ilvl w:val="0"/>
          <w:numId w:val="1"/>
        </w:numPr>
        <w:spacing w:line="240" w:lineRule="auto"/>
        <w:ind w:left="360"/>
        <w:textAlignment w:val="baseline"/>
        <w:rPr>
          <w:rFonts w:ascii="Arial" w:eastAsia="Times New Roman" w:hAnsi="Arial" w:cs="Arial"/>
          <w:sz w:val="24"/>
          <w:szCs w:val="24"/>
          <w:lang w:eastAsia="en-AU"/>
        </w:rPr>
      </w:pPr>
      <w:r w:rsidRPr="00545ADC">
        <w:rPr>
          <w:rFonts w:ascii="Arial" w:eastAsia="Times New Roman" w:hAnsi="Arial" w:cs="Arial"/>
          <w:sz w:val="24"/>
          <w:szCs w:val="24"/>
          <w:lang w:eastAsia="en-AU"/>
        </w:rPr>
        <w:t>Of all within school matched students, 70</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achieve 60</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of expected growth or better in NAPLAN Numeracy</w:t>
      </w:r>
    </w:p>
    <w:p w:rsidR="00545ADC" w:rsidRPr="00FF7B0C" w:rsidRDefault="00545ADC" w:rsidP="00545ADC">
      <w:pPr>
        <w:numPr>
          <w:ilvl w:val="0"/>
          <w:numId w:val="1"/>
        </w:numPr>
        <w:spacing w:line="240" w:lineRule="auto"/>
        <w:ind w:left="360"/>
        <w:textAlignment w:val="baseline"/>
        <w:rPr>
          <w:rFonts w:ascii="Arial" w:eastAsia="Times New Roman" w:hAnsi="Arial" w:cs="Arial"/>
          <w:sz w:val="24"/>
          <w:szCs w:val="24"/>
          <w:lang w:eastAsia="en-AU"/>
        </w:rPr>
      </w:pPr>
      <w:r w:rsidRPr="00FF7B0C">
        <w:rPr>
          <w:rFonts w:ascii="Arial" w:eastAsia="Times New Roman" w:hAnsi="Arial" w:cs="Arial"/>
          <w:sz w:val="24"/>
          <w:szCs w:val="24"/>
          <w:lang w:eastAsia="en-AU"/>
        </w:rPr>
        <w:t>85 percent of Kindergarten students achieve expected growth or better in PIPS Numeracy (improved from 82 percent mean 2013-16)</w:t>
      </w:r>
    </w:p>
    <w:p w:rsidR="00545ADC" w:rsidRPr="00FF7B0C" w:rsidRDefault="00545ADC" w:rsidP="00545ADC">
      <w:pPr>
        <w:numPr>
          <w:ilvl w:val="0"/>
          <w:numId w:val="1"/>
        </w:numPr>
        <w:spacing w:line="240" w:lineRule="auto"/>
        <w:ind w:left="360"/>
        <w:textAlignment w:val="baseline"/>
        <w:rPr>
          <w:rFonts w:ascii="Arial" w:eastAsia="Times New Roman" w:hAnsi="Arial" w:cs="Arial"/>
          <w:sz w:val="24"/>
          <w:szCs w:val="24"/>
          <w:lang w:eastAsia="en-AU"/>
        </w:rPr>
      </w:pPr>
      <w:r w:rsidRPr="00FF7B0C">
        <w:rPr>
          <w:rFonts w:ascii="Arial" w:eastAsia="Times New Roman" w:hAnsi="Arial" w:cs="Arial"/>
          <w:sz w:val="24"/>
          <w:szCs w:val="24"/>
          <w:lang w:eastAsia="en-AU"/>
        </w:rPr>
        <w:t>75 percent of Kindergarten students achieve expected growth or better in PIPS Reading (improved from 70 percent mean 2013-16)</w:t>
      </w:r>
    </w:p>
    <w:p w:rsidR="00545ADC" w:rsidRPr="00741F6B" w:rsidRDefault="00545ADC" w:rsidP="00545ADC">
      <w:pPr>
        <w:numPr>
          <w:ilvl w:val="0"/>
          <w:numId w:val="1"/>
        </w:numPr>
        <w:spacing w:line="240" w:lineRule="auto"/>
        <w:ind w:left="360"/>
        <w:textAlignment w:val="baseline"/>
        <w:rPr>
          <w:rFonts w:ascii="Arial" w:eastAsia="Times New Roman" w:hAnsi="Arial" w:cs="Arial"/>
          <w:sz w:val="24"/>
          <w:szCs w:val="24"/>
          <w:lang w:eastAsia="en-AU"/>
        </w:rPr>
      </w:pPr>
      <w:r w:rsidRPr="00741F6B">
        <w:rPr>
          <w:rFonts w:ascii="Arial" w:eastAsia="Times New Roman" w:hAnsi="Arial" w:cs="Arial"/>
          <w:sz w:val="24"/>
          <w:szCs w:val="24"/>
          <w:lang w:eastAsia="en-AU"/>
        </w:rPr>
        <w:t>65 percent of students demonstrate expected growth in Writing in the Gordon Primary School Writing Assessment (K-Y6)</w:t>
      </w:r>
    </w:p>
    <w:p w:rsidR="00545ADC" w:rsidRPr="00741F6B" w:rsidRDefault="00545ADC" w:rsidP="00545ADC">
      <w:pPr>
        <w:numPr>
          <w:ilvl w:val="0"/>
          <w:numId w:val="1"/>
        </w:numPr>
        <w:spacing w:line="240" w:lineRule="auto"/>
        <w:ind w:left="360"/>
        <w:textAlignment w:val="baseline"/>
        <w:rPr>
          <w:rFonts w:ascii="Arial" w:eastAsia="Times New Roman" w:hAnsi="Arial" w:cs="Arial"/>
          <w:sz w:val="24"/>
          <w:szCs w:val="24"/>
          <w:lang w:eastAsia="en-AU"/>
        </w:rPr>
      </w:pPr>
      <w:r w:rsidRPr="00741F6B">
        <w:rPr>
          <w:rFonts w:ascii="Arial" w:eastAsia="Times New Roman" w:hAnsi="Arial" w:cs="Arial"/>
          <w:sz w:val="24"/>
          <w:szCs w:val="24"/>
          <w:lang w:eastAsia="en-AU"/>
        </w:rPr>
        <w:t xml:space="preserve"> 80 percent of student achieve at least 60 percent of the expected growth in the Gordon Primary School Writing Assessment (K-Y6) </w:t>
      </w:r>
    </w:p>
    <w:p w:rsidR="00E14542" w:rsidRPr="00545ADC" w:rsidRDefault="00E14542" w:rsidP="00E14542">
      <w:pPr>
        <w:pStyle w:val="Heading4"/>
        <w:rPr>
          <w:sz w:val="28"/>
        </w:rPr>
      </w:pPr>
      <w:r w:rsidRPr="00545ADC">
        <w:rPr>
          <w:sz w:val="28"/>
        </w:rPr>
        <w:t>Progress</w:t>
      </w:r>
    </w:p>
    <w:p w:rsidR="00545ADC" w:rsidRPr="00545ADC" w:rsidRDefault="00545ADC" w:rsidP="00545ADC">
      <w:pPr>
        <w:pStyle w:val="Heading4"/>
        <w:spacing w:after="0"/>
        <w:contextualSpacing/>
        <w:rPr>
          <w:color w:val="auto"/>
        </w:rPr>
      </w:pPr>
      <w:r w:rsidRPr="00545ADC">
        <w:rPr>
          <w:color w:val="auto"/>
        </w:rPr>
        <w:t xml:space="preserve">The schools first key improvement strategy was to </w:t>
      </w:r>
      <w:r w:rsidRPr="00545ADC">
        <w:rPr>
          <w:b/>
          <w:color w:val="auto"/>
          <w:lang w:eastAsia="en-US"/>
        </w:rPr>
        <w:t>refine and expand the Response to Instruction (RTI) approach to include Tier 2 and Tier 3 Instructional strategies  for Numeracy</w:t>
      </w:r>
      <w:r w:rsidRPr="00545ADC">
        <w:rPr>
          <w:color w:val="auto"/>
        </w:rPr>
        <w:t xml:space="preserve">.  </w:t>
      </w:r>
      <w:r w:rsidRPr="00545ADC">
        <w:t xml:space="preserve">The first action outlined in </w:t>
      </w:r>
      <w:r w:rsidR="00966D77">
        <w:rPr>
          <w:lang w:val="en-AU"/>
        </w:rPr>
        <w:t xml:space="preserve">the Annual action Plan </w:t>
      </w:r>
      <w:r w:rsidRPr="00545ADC">
        <w:t xml:space="preserve"> </w:t>
      </w:r>
      <w:r w:rsidR="00966D77">
        <w:rPr>
          <w:lang w:val="en-AU"/>
        </w:rPr>
        <w:t>(</w:t>
      </w:r>
      <w:r w:rsidRPr="00545ADC">
        <w:t>AAP</w:t>
      </w:r>
      <w:r w:rsidR="00966D77">
        <w:rPr>
          <w:lang w:val="en-AU"/>
        </w:rPr>
        <w:t>)</w:t>
      </w:r>
      <w:r w:rsidRPr="00545ADC">
        <w:t xml:space="preserve"> was to streamline school wide systems to identify students who require Tier 2 and Tier 3 support. This action was supplemented by the actions of defining a system of Tier 2 and 3 support that integrates with the school’s targeted support and learning programs and a review and refining the Tier 1,2 and 3 numeracy program. </w:t>
      </w:r>
      <w:r>
        <w:t xml:space="preserve"> </w:t>
      </w:r>
      <w:r w:rsidRPr="00545ADC">
        <w:t xml:space="preserve">A key performance indicator was that </w:t>
      </w:r>
      <w:r w:rsidR="00D23DF8">
        <w:rPr>
          <w:rFonts w:eastAsiaTheme="minorEastAsia"/>
        </w:rPr>
        <w:t xml:space="preserve">Gordon’s Assessment and Data </w:t>
      </w:r>
      <w:r w:rsidR="00D23DF8">
        <w:rPr>
          <w:rFonts w:eastAsiaTheme="minorEastAsia"/>
          <w:lang w:val="en-AU"/>
        </w:rPr>
        <w:t>P</w:t>
      </w:r>
      <w:r w:rsidRPr="00545ADC">
        <w:rPr>
          <w:rFonts w:eastAsiaTheme="minorEastAsia"/>
        </w:rPr>
        <w:t xml:space="preserve">lan clearly outlines the mechanism for identifying students who are not achieving expected growth in Numeracy </w:t>
      </w:r>
      <w:r w:rsidR="00D23DF8">
        <w:rPr>
          <w:rFonts w:eastAsiaTheme="minorEastAsia"/>
          <w:lang w:val="en-AU"/>
        </w:rPr>
        <w:t xml:space="preserve">and are therefore </w:t>
      </w:r>
      <w:r w:rsidRPr="00545ADC">
        <w:rPr>
          <w:rFonts w:eastAsiaTheme="minorEastAsia"/>
        </w:rPr>
        <w:t xml:space="preserve">potentially requiring Tier 2 or 3 interventions.  The regular use of the Evidence for Learning App and the Gordon Data Tracker is evidence of the success in this strategy. </w:t>
      </w:r>
    </w:p>
    <w:p w:rsidR="00545ADC" w:rsidRPr="00545ADC" w:rsidRDefault="00545ADC" w:rsidP="00545ADC">
      <w:pPr>
        <w:spacing w:line="240" w:lineRule="auto"/>
        <w:contextualSpacing/>
        <w:rPr>
          <w:rFonts w:ascii="Arial" w:eastAsiaTheme="minorEastAsia" w:hAnsi="Arial" w:cs="Arial"/>
          <w:sz w:val="24"/>
          <w:szCs w:val="24"/>
        </w:rPr>
      </w:pPr>
    </w:p>
    <w:p w:rsidR="00545ADC" w:rsidRPr="00545ADC" w:rsidRDefault="00545ADC" w:rsidP="00545ADC">
      <w:pPr>
        <w:spacing w:line="240" w:lineRule="auto"/>
        <w:contextualSpacing/>
        <w:rPr>
          <w:rFonts w:ascii="Arial" w:eastAsia="Times New Roman" w:hAnsi="Arial" w:cs="Arial"/>
          <w:sz w:val="24"/>
          <w:szCs w:val="24"/>
        </w:rPr>
      </w:pPr>
      <w:r w:rsidRPr="00545ADC">
        <w:rPr>
          <w:rFonts w:ascii="Arial" w:eastAsiaTheme="minorEastAsia" w:hAnsi="Arial" w:cs="Arial"/>
          <w:sz w:val="24"/>
          <w:szCs w:val="24"/>
        </w:rPr>
        <w:t>The </w:t>
      </w:r>
      <w:r w:rsidRPr="00545ADC">
        <w:rPr>
          <w:rFonts w:ascii="Arial" w:hAnsi="Arial" w:cs="Arial"/>
          <w:sz w:val="24"/>
          <w:szCs w:val="24"/>
        </w:rPr>
        <w:t>D</w:t>
      </w:r>
      <w:r w:rsidRPr="00545ADC">
        <w:rPr>
          <w:rFonts w:ascii="Arial" w:eastAsia="Times New Roman" w:hAnsi="Arial" w:cs="Arial"/>
          <w:sz w:val="24"/>
          <w:szCs w:val="24"/>
        </w:rPr>
        <w:t>ata and Assessment team, involving executive and specialist teachers, was created in Term 1.  A Tier 2 resourcing team was created in Term 2, also with executive team leaders.  This team met to plan resourcing for numeracy support in Term 2 and define a mechanism for identification.  This team created a</w:t>
      </w:r>
      <w:r w:rsidRPr="00545ADC">
        <w:rPr>
          <w:rFonts w:ascii="Arial" w:hAnsi="Arial" w:cs="Arial"/>
          <w:sz w:val="24"/>
          <w:szCs w:val="24"/>
        </w:rPr>
        <w:t xml:space="preserve"> d</w:t>
      </w:r>
      <w:r w:rsidRPr="00545ADC">
        <w:rPr>
          <w:rFonts w:ascii="Arial" w:eastAsia="Times New Roman" w:hAnsi="Arial" w:cs="Arial"/>
          <w:sz w:val="24"/>
          <w:szCs w:val="24"/>
        </w:rPr>
        <w:t>efinition of Tier 2 and 3 students, and developed a system of identification for numeracy. This was saved in the Google Team Drive and shared with all staff.</w:t>
      </w:r>
    </w:p>
    <w:p w:rsidR="00545ADC" w:rsidRPr="00545ADC" w:rsidRDefault="00545ADC" w:rsidP="00545ADC">
      <w:pPr>
        <w:spacing w:line="240" w:lineRule="auto"/>
        <w:contextualSpacing/>
        <w:rPr>
          <w:rFonts w:ascii="Arial" w:eastAsia="Times New Roman" w:hAnsi="Arial" w:cs="Arial"/>
          <w:sz w:val="24"/>
          <w:szCs w:val="24"/>
        </w:rPr>
      </w:pPr>
    </w:p>
    <w:p w:rsidR="00545ADC" w:rsidRPr="00545ADC" w:rsidRDefault="00545ADC" w:rsidP="00545ADC">
      <w:pPr>
        <w:spacing w:line="240" w:lineRule="auto"/>
        <w:contextualSpacing/>
        <w:rPr>
          <w:rFonts w:ascii="Arial" w:eastAsia="Times New Roman" w:hAnsi="Arial" w:cs="Arial"/>
          <w:sz w:val="24"/>
          <w:szCs w:val="24"/>
        </w:rPr>
      </w:pPr>
      <w:r w:rsidRPr="00545ADC">
        <w:rPr>
          <w:rFonts w:ascii="Arial" w:eastAsia="Times New Roman" w:hAnsi="Arial" w:cs="Arial"/>
          <w:sz w:val="24"/>
          <w:szCs w:val="24"/>
        </w:rPr>
        <w:t xml:space="preserve">The Data Tracker was reviewed for numeracy criteria with new specific drop-down items added that allowed for targeted interventions and differentiation within classes.  The tool and </w:t>
      </w:r>
      <w:r w:rsidRPr="00545ADC">
        <w:rPr>
          <w:rFonts w:ascii="Arial" w:eastAsia="Times New Roman" w:hAnsi="Arial" w:cs="Arial"/>
          <w:sz w:val="24"/>
          <w:szCs w:val="24"/>
        </w:rPr>
        <w:lastRenderedPageBreak/>
        <w:t>systems around it have gone through a refinement process over time seeking the best way to implement it within the resourcing limitations.  Teachers regularly use this tool with the file history showing teachers accessing it several times a week.  That the data is up to date is further evidence of its role in day-to-day collection of data.</w:t>
      </w:r>
      <w:r w:rsidRPr="00545ADC">
        <w:rPr>
          <w:rFonts w:ascii="Arial" w:hAnsi="Arial" w:cs="Arial"/>
          <w:sz w:val="24"/>
          <w:szCs w:val="24"/>
        </w:rPr>
        <w:t xml:space="preserve">  Executive also regularly uses the Data Tracker</w:t>
      </w:r>
      <w:r w:rsidRPr="00545ADC">
        <w:rPr>
          <w:rFonts w:ascii="Arial" w:eastAsia="Times New Roman" w:hAnsi="Arial" w:cs="Arial"/>
          <w:sz w:val="24"/>
          <w:szCs w:val="24"/>
        </w:rPr>
        <w:t xml:space="preserve"> for data analysis and whole school planning, with analysis graphs informing discussions at Executive Conference and during Executive meetings.  Targeted support teachers use the Data Tracker to plan interventions and areas of need.  This is evident through informal and formal discussions and emails referencing this data.</w:t>
      </w:r>
    </w:p>
    <w:p w:rsidR="00545ADC" w:rsidRPr="00545ADC" w:rsidRDefault="00545ADC" w:rsidP="00545ADC">
      <w:pPr>
        <w:spacing w:line="240" w:lineRule="auto"/>
        <w:contextualSpacing/>
        <w:rPr>
          <w:rFonts w:ascii="Arial" w:eastAsia="Times New Roman" w:hAnsi="Arial" w:cs="Arial"/>
          <w:sz w:val="24"/>
          <w:szCs w:val="24"/>
        </w:rPr>
      </w:pPr>
    </w:p>
    <w:p w:rsidR="00545ADC" w:rsidRPr="00545ADC" w:rsidRDefault="00545ADC" w:rsidP="00545ADC">
      <w:pPr>
        <w:spacing w:line="240" w:lineRule="auto"/>
        <w:contextualSpacing/>
        <w:rPr>
          <w:rFonts w:ascii="Arial" w:eastAsia="Times New Roman" w:hAnsi="Arial" w:cs="Arial"/>
          <w:sz w:val="24"/>
          <w:szCs w:val="24"/>
        </w:rPr>
      </w:pPr>
      <w:r w:rsidRPr="00545ADC">
        <w:rPr>
          <w:rFonts w:ascii="Arial" w:eastAsia="Times New Roman" w:hAnsi="Arial" w:cs="Arial"/>
          <w:sz w:val="24"/>
          <w:szCs w:val="24"/>
        </w:rPr>
        <w:t>Seven students in Year 1/2 received a specific Tier 2 intervention for numeracy in Term 3, with progress recorded and shared with class teachers.  Students in Years 5/6 received Tier 2 extension interventions for numeracy in Terms 3 and 4.  Students in K-6 classes received Tier 2 support within class, using data analysis for differentiated teaching and small group work.</w:t>
      </w:r>
    </w:p>
    <w:p w:rsidR="00545ADC" w:rsidRPr="00545ADC" w:rsidRDefault="00545ADC" w:rsidP="00545ADC">
      <w:pPr>
        <w:spacing w:line="240" w:lineRule="auto"/>
        <w:contextualSpacing/>
        <w:rPr>
          <w:rFonts w:ascii="Arial" w:eastAsiaTheme="minorEastAsia" w:hAnsi="Arial" w:cs="Arial"/>
          <w:sz w:val="24"/>
          <w:szCs w:val="24"/>
        </w:rPr>
      </w:pPr>
      <w:r w:rsidRPr="00545ADC">
        <w:rPr>
          <w:rFonts w:ascii="Arial" w:eastAsiaTheme="minorEastAsia" w:hAnsi="Arial" w:cs="Arial"/>
          <w:sz w:val="24"/>
          <w:szCs w:val="24"/>
        </w:rPr>
        <w:t> </w:t>
      </w:r>
    </w:p>
    <w:p w:rsidR="00545ADC" w:rsidRDefault="00545ADC" w:rsidP="00545ADC">
      <w:pPr>
        <w:spacing w:line="240" w:lineRule="auto"/>
        <w:contextualSpacing/>
        <w:rPr>
          <w:rFonts w:ascii="Arial" w:eastAsiaTheme="minorEastAsia" w:hAnsi="Arial" w:cs="Arial"/>
          <w:sz w:val="24"/>
          <w:szCs w:val="24"/>
        </w:rPr>
      </w:pPr>
      <w:r w:rsidRPr="00545ADC">
        <w:rPr>
          <w:rFonts w:ascii="Arial" w:eastAsiaTheme="minorEastAsia" w:hAnsi="Arial" w:cs="Arial"/>
          <w:sz w:val="24"/>
          <w:szCs w:val="24"/>
        </w:rPr>
        <w:t xml:space="preserve">The action of reviewing and refining the Tier 1,2 and 3 Numeracy program </w:t>
      </w:r>
      <w:r w:rsidR="00436D3B">
        <w:rPr>
          <w:rFonts w:ascii="Arial" w:eastAsiaTheme="minorEastAsia" w:hAnsi="Arial" w:cs="Arial"/>
          <w:sz w:val="24"/>
          <w:szCs w:val="24"/>
        </w:rPr>
        <w:t>received consideration in Team Meetings and Case Conferences but will continue in 2018</w:t>
      </w:r>
      <w:r w:rsidRPr="00545ADC">
        <w:rPr>
          <w:rFonts w:ascii="Arial" w:eastAsiaTheme="minorEastAsia" w:hAnsi="Arial" w:cs="Arial"/>
          <w:sz w:val="24"/>
          <w:szCs w:val="24"/>
        </w:rPr>
        <w:t xml:space="preserve">.  The introduction of learning walks late in 2017 is a precursor for more work on this to take place </w:t>
      </w:r>
      <w:r w:rsidR="005E04F9">
        <w:rPr>
          <w:rFonts w:ascii="Arial" w:eastAsiaTheme="minorEastAsia" w:hAnsi="Arial" w:cs="Arial"/>
          <w:sz w:val="24"/>
          <w:szCs w:val="24"/>
        </w:rPr>
        <w:t>throughout</w:t>
      </w:r>
      <w:r w:rsidRPr="00545ADC">
        <w:rPr>
          <w:rFonts w:ascii="Arial" w:eastAsiaTheme="minorEastAsia" w:hAnsi="Arial" w:cs="Arial"/>
          <w:sz w:val="24"/>
          <w:szCs w:val="24"/>
        </w:rPr>
        <w:t xml:space="preserve"> 2018.</w:t>
      </w:r>
    </w:p>
    <w:p w:rsidR="00545ADC" w:rsidRDefault="00545ADC" w:rsidP="00545ADC">
      <w:pPr>
        <w:spacing w:line="240" w:lineRule="auto"/>
        <w:contextualSpacing/>
        <w:rPr>
          <w:rFonts w:ascii="Arial" w:eastAsiaTheme="minorEastAsia" w:hAnsi="Arial" w:cs="Arial"/>
          <w:sz w:val="24"/>
          <w:szCs w:val="24"/>
        </w:rPr>
      </w:pPr>
    </w:p>
    <w:p w:rsidR="005E04F9" w:rsidRDefault="00545ADC" w:rsidP="00545ADC">
      <w:pPr>
        <w:spacing w:line="240" w:lineRule="auto"/>
        <w:contextualSpacing/>
        <w:rPr>
          <w:rFonts w:ascii="Arial" w:hAnsi="Arial" w:cs="Arial"/>
          <w:sz w:val="24"/>
          <w:szCs w:val="24"/>
        </w:rPr>
      </w:pPr>
      <w:r>
        <w:rPr>
          <w:rFonts w:ascii="Arial" w:eastAsiaTheme="minorEastAsia" w:hAnsi="Arial" w:cs="Arial"/>
          <w:sz w:val="24"/>
          <w:szCs w:val="24"/>
        </w:rPr>
        <w:t xml:space="preserve">The second key strategy was to </w:t>
      </w:r>
      <w:r w:rsidRPr="00545ADC">
        <w:rPr>
          <w:rFonts w:ascii="Arial" w:eastAsiaTheme="minorEastAsia" w:hAnsi="Arial" w:cs="Arial"/>
          <w:b/>
          <w:sz w:val="24"/>
          <w:szCs w:val="24"/>
        </w:rPr>
        <w:t>d</w:t>
      </w:r>
      <w:r w:rsidRPr="00545ADC">
        <w:rPr>
          <w:rFonts w:ascii="Arial" w:hAnsi="Arial" w:cs="Arial"/>
          <w:b/>
          <w:sz w:val="24"/>
        </w:rPr>
        <w:t>evelop and Implement a Response to Instruction (RTI) approach for Reading</w:t>
      </w:r>
      <w:r>
        <w:rPr>
          <w:rFonts w:ascii="Arial" w:hAnsi="Arial" w:cs="Arial"/>
          <w:b/>
          <w:sz w:val="24"/>
        </w:rPr>
        <w:t xml:space="preserve">  and Writing (Tier 1, 2 and 3). </w:t>
      </w:r>
      <w:r w:rsidRPr="00545ADC">
        <w:rPr>
          <w:rFonts w:ascii="Arial" w:hAnsi="Arial" w:cs="Arial"/>
          <w:sz w:val="24"/>
          <w:szCs w:val="24"/>
        </w:rPr>
        <w:t xml:space="preserve">The </w:t>
      </w:r>
      <w:r w:rsidR="005E04F9">
        <w:rPr>
          <w:rFonts w:ascii="Arial" w:hAnsi="Arial" w:cs="Arial"/>
          <w:sz w:val="24"/>
          <w:szCs w:val="24"/>
        </w:rPr>
        <w:t xml:space="preserve">enhancement </w:t>
      </w:r>
      <w:r w:rsidRPr="00545ADC">
        <w:rPr>
          <w:rFonts w:ascii="Arial" w:hAnsi="Arial" w:cs="Arial"/>
          <w:sz w:val="24"/>
          <w:szCs w:val="24"/>
        </w:rPr>
        <w:t xml:space="preserve">of the current RTI system </w:t>
      </w:r>
      <w:r w:rsidR="005E04F9">
        <w:rPr>
          <w:rFonts w:ascii="Arial" w:hAnsi="Arial" w:cs="Arial"/>
          <w:sz w:val="24"/>
          <w:szCs w:val="24"/>
        </w:rPr>
        <w:t>to assess</w:t>
      </w:r>
      <w:r w:rsidRPr="00545ADC">
        <w:rPr>
          <w:rFonts w:ascii="Arial" w:hAnsi="Arial" w:cs="Arial"/>
          <w:sz w:val="24"/>
          <w:szCs w:val="24"/>
        </w:rPr>
        <w:t xml:space="preserve"> student need </w:t>
      </w:r>
      <w:r w:rsidR="005E04F9">
        <w:rPr>
          <w:rFonts w:ascii="Arial" w:hAnsi="Arial" w:cs="Arial"/>
          <w:sz w:val="24"/>
          <w:szCs w:val="24"/>
        </w:rPr>
        <w:t xml:space="preserve">as </w:t>
      </w:r>
      <w:r w:rsidR="005E04F9" w:rsidRPr="00545ADC">
        <w:rPr>
          <w:rFonts w:ascii="Arial" w:hAnsi="Arial" w:cs="Arial"/>
          <w:sz w:val="24"/>
          <w:szCs w:val="24"/>
        </w:rPr>
        <w:t xml:space="preserve">content descriptors and </w:t>
      </w:r>
      <w:r w:rsidR="005E04F9">
        <w:rPr>
          <w:rFonts w:ascii="Arial" w:hAnsi="Arial" w:cs="Arial"/>
          <w:sz w:val="24"/>
          <w:szCs w:val="24"/>
        </w:rPr>
        <w:t>achievement standards</w:t>
      </w:r>
      <w:r w:rsidR="005E04F9" w:rsidRPr="00545ADC">
        <w:rPr>
          <w:rFonts w:ascii="Arial" w:hAnsi="Arial" w:cs="Arial"/>
          <w:sz w:val="24"/>
          <w:szCs w:val="24"/>
        </w:rPr>
        <w:t xml:space="preserve"> in the Australian </w:t>
      </w:r>
      <w:r w:rsidR="005E04F9">
        <w:rPr>
          <w:rFonts w:ascii="Arial" w:hAnsi="Arial" w:cs="Arial"/>
          <w:sz w:val="24"/>
          <w:szCs w:val="24"/>
        </w:rPr>
        <w:t xml:space="preserve">Writing </w:t>
      </w:r>
      <w:r w:rsidR="005E04F9" w:rsidRPr="00545ADC">
        <w:rPr>
          <w:rFonts w:ascii="Arial" w:hAnsi="Arial" w:cs="Arial"/>
          <w:sz w:val="24"/>
          <w:szCs w:val="24"/>
        </w:rPr>
        <w:t xml:space="preserve">Curriculum </w:t>
      </w:r>
      <w:r w:rsidR="005E04F9">
        <w:rPr>
          <w:rFonts w:ascii="Arial" w:hAnsi="Arial" w:cs="Arial"/>
          <w:sz w:val="24"/>
          <w:szCs w:val="24"/>
        </w:rPr>
        <w:t>were addressed became</w:t>
      </w:r>
      <w:r w:rsidRPr="00545ADC">
        <w:rPr>
          <w:rFonts w:ascii="Arial" w:hAnsi="Arial" w:cs="Arial"/>
          <w:sz w:val="24"/>
          <w:szCs w:val="24"/>
        </w:rPr>
        <w:t xml:space="preserve"> the first step towards implementing this strategy.  </w:t>
      </w:r>
    </w:p>
    <w:p w:rsidR="005E04F9" w:rsidRDefault="005E04F9" w:rsidP="00545ADC">
      <w:pPr>
        <w:spacing w:line="240" w:lineRule="auto"/>
        <w:contextualSpacing/>
        <w:rPr>
          <w:rFonts w:ascii="Arial" w:hAnsi="Arial" w:cs="Arial"/>
          <w:sz w:val="24"/>
          <w:szCs w:val="24"/>
        </w:rPr>
      </w:pPr>
      <w:r>
        <w:rPr>
          <w:rFonts w:ascii="Arial" w:hAnsi="Arial" w:cs="Arial"/>
          <w:sz w:val="24"/>
          <w:szCs w:val="24"/>
        </w:rPr>
        <w:t>Progress</w:t>
      </w:r>
      <w:r w:rsidR="00545ADC" w:rsidRPr="00545ADC">
        <w:rPr>
          <w:rFonts w:ascii="Arial" w:hAnsi="Arial" w:cs="Arial"/>
          <w:sz w:val="24"/>
          <w:szCs w:val="24"/>
        </w:rPr>
        <w:t xml:space="preserve"> was </w:t>
      </w:r>
      <w:r>
        <w:rPr>
          <w:rFonts w:ascii="Arial" w:hAnsi="Arial" w:cs="Arial"/>
          <w:sz w:val="24"/>
          <w:szCs w:val="24"/>
        </w:rPr>
        <w:t>made</w:t>
      </w:r>
      <w:r w:rsidR="00545ADC" w:rsidRPr="00545ADC">
        <w:rPr>
          <w:rFonts w:ascii="Arial" w:hAnsi="Arial" w:cs="Arial"/>
          <w:sz w:val="24"/>
          <w:szCs w:val="24"/>
        </w:rPr>
        <w:t xml:space="preserve"> </w:t>
      </w:r>
      <w:r>
        <w:rPr>
          <w:rFonts w:ascii="Arial" w:hAnsi="Arial" w:cs="Arial"/>
          <w:sz w:val="24"/>
          <w:szCs w:val="24"/>
        </w:rPr>
        <w:t>through</w:t>
      </w:r>
      <w:r w:rsidR="00545ADC" w:rsidRPr="00545ADC">
        <w:rPr>
          <w:rFonts w:ascii="Arial" w:hAnsi="Arial" w:cs="Arial"/>
          <w:sz w:val="24"/>
          <w:szCs w:val="24"/>
        </w:rPr>
        <w:t xml:space="preserve"> the school supporting staff to attend </w:t>
      </w:r>
      <w:r>
        <w:rPr>
          <w:rFonts w:ascii="Arial" w:hAnsi="Arial" w:cs="Arial"/>
          <w:sz w:val="24"/>
          <w:szCs w:val="24"/>
        </w:rPr>
        <w:t xml:space="preserve">ACT Education Directorate (ACTED) </w:t>
      </w:r>
      <w:r w:rsidR="00545ADC" w:rsidRPr="00545ADC">
        <w:rPr>
          <w:rFonts w:ascii="Arial" w:hAnsi="Arial" w:cs="Arial"/>
          <w:sz w:val="24"/>
          <w:szCs w:val="24"/>
        </w:rPr>
        <w:t xml:space="preserve">workshops on the Australian Curriculum.  </w:t>
      </w:r>
    </w:p>
    <w:p w:rsidR="00545ADC" w:rsidRPr="00545ADC" w:rsidRDefault="00545ADC" w:rsidP="00545ADC">
      <w:pPr>
        <w:spacing w:line="240" w:lineRule="auto"/>
        <w:contextualSpacing/>
        <w:rPr>
          <w:rFonts w:ascii="Arial" w:eastAsiaTheme="minorEastAsia" w:hAnsi="Arial" w:cs="Arial"/>
          <w:b/>
          <w:sz w:val="24"/>
          <w:szCs w:val="24"/>
        </w:rPr>
      </w:pPr>
      <w:r w:rsidRPr="00545ADC">
        <w:rPr>
          <w:rFonts w:ascii="Arial" w:hAnsi="Arial" w:cs="Arial"/>
          <w:sz w:val="24"/>
          <w:szCs w:val="24"/>
        </w:rPr>
        <w:t xml:space="preserve">Other actions, aimed at </w:t>
      </w:r>
      <w:r w:rsidR="005E04F9">
        <w:rPr>
          <w:rFonts w:ascii="Arial" w:hAnsi="Arial" w:cs="Arial"/>
          <w:sz w:val="24"/>
          <w:szCs w:val="24"/>
        </w:rPr>
        <w:t xml:space="preserve">mapping alignment of </w:t>
      </w:r>
      <w:r w:rsidRPr="00545ADC">
        <w:rPr>
          <w:rFonts w:ascii="Arial" w:hAnsi="Arial" w:cs="Arial"/>
          <w:sz w:val="24"/>
          <w:szCs w:val="24"/>
        </w:rPr>
        <w:t xml:space="preserve"> </w:t>
      </w:r>
      <w:r w:rsidR="005E04F9">
        <w:rPr>
          <w:rFonts w:ascii="Arial" w:hAnsi="Arial" w:cs="Arial"/>
          <w:sz w:val="24"/>
          <w:szCs w:val="24"/>
        </w:rPr>
        <w:t>Achievement Standards</w:t>
      </w:r>
      <w:r w:rsidRPr="00545ADC">
        <w:rPr>
          <w:rFonts w:ascii="Arial" w:hAnsi="Arial" w:cs="Arial"/>
          <w:sz w:val="24"/>
          <w:szCs w:val="24"/>
        </w:rPr>
        <w:t xml:space="preserve"> from the Australian Curriculum with pedagogical descriptors from </w:t>
      </w:r>
      <w:r w:rsidR="005E04F9">
        <w:rPr>
          <w:rFonts w:ascii="Arial" w:hAnsi="Arial" w:cs="Arial"/>
          <w:sz w:val="24"/>
          <w:szCs w:val="24"/>
        </w:rPr>
        <w:t xml:space="preserve">the </w:t>
      </w:r>
      <w:r w:rsidRPr="00545ADC">
        <w:rPr>
          <w:rFonts w:ascii="Arial" w:hAnsi="Arial" w:cs="Arial"/>
          <w:sz w:val="24"/>
          <w:szCs w:val="24"/>
        </w:rPr>
        <w:t xml:space="preserve">First Steps </w:t>
      </w:r>
      <w:r w:rsidR="005E04F9">
        <w:rPr>
          <w:rFonts w:ascii="Arial" w:hAnsi="Arial" w:cs="Arial"/>
          <w:sz w:val="24"/>
          <w:szCs w:val="24"/>
        </w:rPr>
        <w:t xml:space="preserve">Writing Resource </w:t>
      </w:r>
      <w:r w:rsidRPr="00545ADC">
        <w:rPr>
          <w:rFonts w:ascii="Arial" w:hAnsi="Arial" w:cs="Arial"/>
          <w:sz w:val="24"/>
          <w:szCs w:val="24"/>
        </w:rPr>
        <w:t xml:space="preserve">and the development and Implementation of school wide professional learning to build teacher capacity in the use of data to inform a balanced writing program, were </w:t>
      </w:r>
      <w:r w:rsidR="005E04F9">
        <w:rPr>
          <w:rFonts w:ascii="Arial" w:hAnsi="Arial" w:cs="Arial"/>
          <w:sz w:val="24"/>
          <w:szCs w:val="24"/>
        </w:rPr>
        <w:t>commenced</w:t>
      </w:r>
      <w:r w:rsidRPr="00545ADC">
        <w:rPr>
          <w:rFonts w:ascii="Arial" w:hAnsi="Arial" w:cs="Arial"/>
          <w:sz w:val="24"/>
          <w:szCs w:val="24"/>
        </w:rPr>
        <w:t xml:space="preserve">.  A Writing Fair was held in term three and </w:t>
      </w:r>
      <w:r w:rsidR="005E04F9">
        <w:rPr>
          <w:rFonts w:ascii="Arial" w:hAnsi="Arial" w:cs="Arial"/>
          <w:sz w:val="24"/>
          <w:szCs w:val="24"/>
        </w:rPr>
        <w:t>attended by ost Gordon Teachers. Teaching T</w:t>
      </w:r>
      <w:r w:rsidRPr="00545ADC">
        <w:rPr>
          <w:rFonts w:ascii="Arial" w:hAnsi="Arial" w:cs="Arial"/>
          <w:sz w:val="24"/>
          <w:szCs w:val="24"/>
        </w:rPr>
        <w:t xml:space="preserve">eams </w:t>
      </w:r>
      <w:r w:rsidR="005E04F9">
        <w:rPr>
          <w:rFonts w:ascii="Arial" w:hAnsi="Arial" w:cs="Arial"/>
          <w:sz w:val="24"/>
          <w:szCs w:val="24"/>
        </w:rPr>
        <w:t xml:space="preserve">also undertook an audit </w:t>
      </w:r>
      <w:r w:rsidRPr="00545ADC">
        <w:rPr>
          <w:rFonts w:ascii="Arial" w:hAnsi="Arial" w:cs="Arial"/>
          <w:sz w:val="24"/>
          <w:szCs w:val="24"/>
        </w:rPr>
        <w:t>of practice</w:t>
      </w:r>
      <w:r w:rsidR="005E04F9">
        <w:rPr>
          <w:rFonts w:ascii="Arial" w:hAnsi="Arial" w:cs="Arial"/>
          <w:sz w:val="24"/>
          <w:szCs w:val="24"/>
        </w:rPr>
        <w:t xml:space="preserve"> with regard to teaching Writing</w:t>
      </w:r>
      <w:r w:rsidRPr="00545ADC">
        <w:rPr>
          <w:rFonts w:ascii="Arial" w:hAnsi="Arial" w:cs="Arial"/>
          <w:sz w:val="24"/>
          <w:szCs w:val="24"/>
        </w:rPr>
        <w:t xml:space="preserve">, both in terms of time </w:t>
      </w:r>
      <w:r w:rsidR="005E04F9">
        <w:rPr>
          <w:rFonts w:ascii="Arial" w:hAnsi="Arial" w:cs="Arial"/>
          <w:sz w:val="24"/>
          <w:szCs w:val="24"/>
        </w:rPr>
        <w:t xml:space="preserve">devoted </w:t>
      </w:r>
      <w:r w:rsidRPr="00545ADC">
        <w:rPr>
          <w:rFonts w:ascii="Arial" w:hAnsi="Arial" w:cs="Arial"/>
          <w:sz w:val="24"/>
          <w:szCs w:val="24"/>
        </w:rPr>
        <w:t xml:space="preserve">and quality of pedagogy.  </w:t>
      </w:r>
      <w:r w:rsidR="00557449">
        <w:rPr>
          <w:rFonts w:ascii="Arial" w:hAnsi="Arial" w:cs="Arial"/>
          <w:sz w:val="24"/>
          <w:szCs w:val="24"/>
        </w:rPr>
        <w:t xml:space="preserve">Further </w:t>
      </w:r>
      <w:r w:rsidRPr="00545ADC">
        <w:rPr>
          <w:rFonts w:ascii="Arial" w:hAnsi="Arial" w:cs="Arial"/>
          <w:sz w:val="24"/>
          <w:szCs w:val="24"/>
        </w:rPr>
        <w:t xml:space="preserve">work on these actions was deferred </w:t>
      </w:r>
      <w:r w:rsidR="00557449">
        <w:rPr>
          <w:rFonts w:ascii="Arial" w:hAnsi="Arial" w:cs="Arial"/>
          <w:sz w:val="24"/>
          <w:szCs w:val="24"/>
        </w:rPr>
        <w:t>pending</w:t>
      </w:r>
      <w:r w:rsidRPr="00545ADC">
        <w:rPr>
          <w:rFonts w:ascii="Arial" w:hAnsi="Arial" w:cs="Arial"/>
          <w:sz w:val="24"/>
          <w:szCs w:val="24"/>
        </w:rPr>
        <w:t xml:space="preserve"> involvement </w:t>
      </w:r>
      <w:r w:rsidR="00557449">
        <w:rPr>
          <w:rFonts w:ascii="Arial" w:hAnsi="Arial" w:cs="Arial"/>
          <w:sz w:val="24"/>
          <w:szCs w:val="24"/>
        </w:rPr>
        <w:t xml:space="preserve">of all teaching staff </w:t>
      </w:r>
      <w:r w:rsidRPr="00545ADC">
        <w:rPr>
          <w:rFonts w:ascii="Arial" w:hAnsi="Arial" w:cs="Arial"/>
          <w:sz w:val="24"/>
          <w:szCs w:val="24"/>
        </w:rPr>
        <w:t xml:space="preserve">in the </w:t>
      </w:r>
      <w:r w:rsidR="00557449">
        <w:rPr>
          <w:rFonts w:ascii="Arial" w:hAnsi="Arial" w:cs="Arial"/>
          <w:sz w:val="24"/>
          <w:szCs w:val="24"/>
        </w:rPr>
        <w:t xml:space="preserve">Tuggeranong </w:t>
      </w:r>
      <w:r w:rsidRPr="00545ADC">
        <w:rPr>
          <w:rFonts w:ascii="Arial" w:hAnsi="Arial" w:cs="Arial"/>
          <w:sz w:val="24"/>
          <w:szCs w:val="24"/>
        </w:rPr>
        <w:t xml:space="preserve">Network Writing Project.  The timeline ha been adjusted so that </w:t>
      </w:r>
      <w:r w:rsidR="00E06708">
        <w:rPr>
          <w:rFonts w:ascii="Arial" w:hAnsi="Arial" w:cs="Arial"/>
          <w:sz w:val="24"/>
          <w:szCs w:val="24"/>
        </w:rPr>
        <w:t>significant professional learning on</w:t>
      </w:r>
      <w:r w:rsidRPr="00545ADC">
        <w:rPr>
          <w:rFonts w:ascii="Arial" w:hAnsi="Arial" w:cs="Arial"/>
          <w:sz w:val="24"/>
          <w:szCs w:val="24"/>
        </w:rPr>
        <w:t xml:space="preserve"> the teaching of writing will take place in </w:t>
      </w:r>
      <w:r w:rsidR="00E06708">
        <w:rPr>
          <w:rFonts w:ascii="Arial" w:hAnsi="Arial" w:cs="Arial"/>
          <w:sz w:val="24"/>
          <w:szCs w:val="24"/>
        </w:rPr>
        <w:t>the final week of Stand Down in January 2018</w:t>
      </w:r>
      <w:r w:rsidRPr="00545ADC">
        <w:rPr>
          <w:rFonts w:ascii="Arial" w:hAnsi="Arial" w:cs="Arial"/>
          <w:sz w:val="24"/>
          <w:szCs w:val="24"/>
        </w:rPr>
        <w:t xml:space="preserve">.  </w:t>
      </w:r>
    </w:p>
    <w:p w:rsidR="00545ADC" w:rsidRPr="00545ADC" w:rsidRDefault="00545ADC" w:rsidP="00545ADC">
      <w:pPr>
        <w:spacing w:line="240" w:lineRule="auto"/>
        <w:contextualSpacing/>
        <w:rPr>
          <w:rFonts w:ascii="Arial" w:eastAsiaTheme="minorEastAsia" w:hAnsi="Arial" w:cs="Arial"/>
          <w:sz w:val="24"/>
          <w:szCs w:val="24"/>
        </w:rPr>
      </w:pPr>
    </w:p>
    <w:p w:rsidR="00B50CB4" w:rsidRPr="00B50CB4" w:rsidRDefault="00F05DA4" w:rsidP="00545ADC">
      <w:pPr>
        <w:spacing w:line="240" w:lineRule="auto"/>
        <w:contextualSpacing/>
        <w:rPr>
          <w:rFonts w:ascii="Arial" w:eastAsiaTheme="minorEastAsia" w:hAnsi="Arial" w:cs="Arial"/>
          <w:sz w:val="24"/>
          <w:szCs w:val="24"/>
        </w:rPr>
      </w:pPr>
      <w:r>
        <w:rPr>
          <w:rFonts w:ascii="Arial" w:eastAsiaTheme="minorEastAsia" w:hAnsi="Arial" w:cs="Arial"/>
          <w:sz w:val="24"/>
          <w:szCs w:val="24"/>
        </w:rPr>
        <w:t>Other actions that occurred in 2017 include;</w:t>
      </w:r>
      <w:r w:rsidR="00B50CB4">
        <w:rPr>
          <w:rFonts w:ascii="Arial" w:eastAsiaTheme="minorEastAsia" w:hAnsi="Arial" w:cs="Arial"/>
          <w:sz w:val="24"/>
          <w:szCs w:val="24"/>
        </w:rPr>
        <w:t xml:space="preserve"> </w:t>
      </w:r>
      <w:r w:rsidR="00B50CB4">
        <w:rPr>
          <w:rFonts w:ascii="Arial" w:eastAsia="Times New Roman" w:hAnsi="Arial" w:cs="Arial"/>
          <w:sz w:val="24"/>
          <w:szCs w:val="24"/>
        </w:rPr>
        <w:t>d</w:t>
      </w:r>
      <w:r w:rsidR="00545ADC" w:rsidRPr="00545ADC">
        <w:rPr>
          <w:rFonts w:ascii="Arial" w:eastAsia="Times New Roman" w:hAnsi="Arial" w:cs="Arial"/>
          <w:sz w:val="24"/>
          <w:szCs w:val="24"/>
        </w:rPr>
        <w:t xml:space="preserve">iscussions and planning for reviewing </w:t>
      </w:r>
      <w:r w:rsidR="00B50CB4">
        <w:rPr>
          <w:rFonts w:ascii="Arial" w:eastAsia="Times New Roman" w:hAnsi="Arial" w:cs="Arial"/>
          <w:sz w:val="24"/>
          <w:szCs w:val="24"/>
        </w:rPr>
        <w:t>implementation</w:t>
      </w:r>
      <w:r w:rsidR="00B50CB4" w:rsidRPr="00545ADC">
        <w:rPr>
          <w:rFonts w:ascii="Arial" w:eastAsia="Times New Roman" w:hAnsi="Arial" w:cs="Arial"/>
          <w:sz w:val="24"/>
          <w:szCs w:val="24"/>
        </w:rPr>
        <w:t xml:space="preserve"> </w:t>
      </w:r>
      <w:r w:rsidR="00B50CB4">
        <w:rPr>
          <w:rFonts w:ascii="Arial" w:eastAsia="Times New Roman" w:hAnsi="Arial" w:cs="Arial"/>
          <w:sz w:val="24"/>
          <w:szCs w:val="24"/>
        </w:rPr>
        <w:t xml:space="preserve">of </w:t>
      </w:r>
      <w:r w:rsidR="00545ADC" w:rsidRPr="00545ADC">
        <w:rPr>
          <w:rFonts w:ascii="Arial" w:eastAsia="Times New Roman" w:hAnsi="Arial" w:cs="Arial"/>
          <w:sz w:val="24"/>
          <w:szCs w:val="24"/>
        </w:rPr>
        <w:t xml:space="preserve">First Steps benchmarks across the school.  </w:t>
      </w:r>
    </w:p>
    <w:p w:rsidR="00B50CB4" w:rsidRDefault="00B50CB4" w:rsidP="00545ADC">
      <w:p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Review of </w:t>
      </w:r>
      <w:r w:rsidR="00545ADC" w:rsidRPr="00545ADC">
        <w:rPr>
          <w:rFonts w:ascii="Arial" w:eastAsia="Times New Roman" w:hAnsi="Arial" w:cs="Arial"/>
          <w:sz w:val="24"/>
          <w:szCs w:val="24"/>
        </w:rPr>
        <w:t xml:space="preserve"> spelling and writing benchmarks, and reading benchmarks for students over PM </w:t>
      </w:r>
      <w:r>
        <w:rPr>
          <w:rFonts w:ascii="Arial" w:eastAsia="Times New Roman" w:hAnsi="Arial" w:cs="Arial"/>
          <w:sz w:val="24"/>
          <w:szCs w:val="24"/>
        </w:rPr>
        <w:t xml:space="preserve">Benchmark </w:t>
      </w:r>
      <w:r w:rsidR="00545ADC" w:rsidRPr="00545ADC">
        <w:rPr>
          <w:rFonts w:ascii="Arial" w:eastAsia="Times New Roman" w:hAnsi="Arial" w:cs="Arial"/>
          <w:sz w:val="24"/>
          <w:szCs w:val="24"/>
        </w:rPr>
        <w:t xml:space="preserve">Level 25.  </w:t>
      </w:r>
    </w:p>
    <w:p w:rsidR="00545ADC" w:rsidRPr="00545ADC" w:rsidRDefault="00B50CB4" w:rsidP="00545ADC">
      <w:pPr>
        <w:spacing w:line="240" w:lineRule="auto"/>
        <w:contextualSpacing/>
        <w:rPr>
          <w:rFonts w:ascii="Arial" w:eastAsia="Times New Roman" w:hAnsi="Arial" w:cs="Arial"/>
          <w:sz w:val="24"/>
          <w:szCs w:val="24"/>
        </w:rPr>
      </w:pPr>
      <w:r>
        <w:rPr>
          <w:rFonts w:ascii="Arial" w:eastAsia="Times New Roman" w:hAnsi="Arial" w:cs="Arial"/>
          <w:sz w:val="24"/>
          <w:szCs w:val="24"/>
        </w:rPr>
        <w:t>Seventy-one</w:t>
      </w:r>
      <w:r w:rsidR="00545ADC" w:rsidRPr="00545ADC">
        <w:rPr>
          <w:rFonts w:ascii="Arial" w:eastAsia="Times New Roman" w:hAnsi="Arial" w:cs="Arial"/>
          <w:sz w:val="24"/>
          <w:szCs w:val="24"/>
        </w:rPr>
        <w:t xml:space="preserve"> students received Tier 2 or Tier 3 support during 2017 for literacy and numeracy, </w:t>
      </w:r>
      <w:r>
        <w:rPr>
          <w:rFonts w:ascii="Arial" w:eastAsia="Times New Roman" w:hAnsi="Arial" w:cs="Arial"/>
          <w:sz w:val="24"/>
          <w:szCs w:val="24"/>
        </w:rPr>
        <w:t>and</w:t>
      </w:r>
      <w:r w:rsidR="00545ADC" w:rsidRPr="00545ADC">
        <w:rPr>
          <w:rFonts w:ascii="Arial" w:eastAsia="Times New Roman" w:hAnsi="Arial" w:cs="Arial"/>
          <w:sz w:val="24"/>
          <w:szCs w:val="24"/>
        </w:rPr>
        <w:t xml:space="preserve"> </w:t>
      </w:r>
      <w:r>
        <w:rPr>
          <w:rFonts w:ascii="Arial" w:eastAsia="Times New Roman" w:hAnsi="Arial" w:cs="Arial"/>
          <w:sz w:val="24"/>
          <w:szCs w:val="24"/>
        </w:rPr>
        <w:t>forty-five students received</w:t>
      </w:r>
      <w:r w:rsidR="00545ADC" w:rsidRPr="00545ADC">
        <w:rPr>
          <w:rFonts w:ascii="Arial" w:eastAsia="Times New Roman" w:hAnsi="Arial" w:cs="Arial"/>
          <w:sz w:val="24"/>
          <w:szCs w:val="24"/>
        </w:rPr>
        <w:t xml:space="preserve"> individual summaries of progress and recommendations.  These summaries were shared with all staff.</w:t>
      </w:r>
    </w:p>
    <w:p w:rsidR="00545ADC" w:rsidRPr="00545ADC" w:rsidRDefault="00545ADC" w:rsidP="00545ADC">
      <w:pPr>
        <w:pStyle w:val="Heading2"/>
        <w:spacing w:before="0" w:after="0"/>
        <w:contextualSpacing/>
        <w:rPr>
          <w:sz w:val="24"/>
          <w:szCs w:val="24"/>
        </w:rPr>
      </w:pPr>
    </w:p>
    <w:p w:rsidR="00D66537" w:rsidRDefault="00545ADC" w:rsidP="00545ADC">
      <w:pPr>
        <w:pStyle w:val="BodyText"/>
        <w:spacing w:after="0"/>
        <w:contextualSpacing/>
        <w:rPr>
          <w:rFonts w:ascii="Arial" w:hAnsi="Arial" w:cs="Arial"/>
          <w:sz w:val="24"/>
          <w:szCs w:val="24"/>
        </w:rPr>
      </w:pPr>
      <w:r w:rsidRPr="00545ADC">
        <w:rPr>
          <w:rFonts w:ascii="Arial" w:hAnsi="Arial" w:cs="Arial"/>
          <w:sz w:val="24"/>
          <w:szCs w:val="24"/>
        </w:rPr>
        <w:t xml:space="preserve">In 2017 Gordon Primary had </w:t>
      </w:r>
      <w:r w:rsidR="00D66537">
        <w:rPr>
          <w:rFonts w:ascii="Arial" w:hAnsi="Arial" w:cs="Arial"/>
          <w:sz w:val="24"/>
          <w:szCs w:val="24"/>
        </w:rPr>
        <w:t>a degree of</w:t>
      </w:r>
      <w:r w:rsidRPr="00545ADC">
        <w:rPr>
          <w:rFonts w:ascii="Arial" w:hAnsi="Arial" w:cs="Arial"/>
          <w:sz w:val="24"/>
          <w:szCs w:val="24"/>
        </w:rPr>
        <w:t xml:space="preserve"> success in meeting </w:t>
      </w:r>
      <w:r w:rsidR="00D66537">
        <w:rPr>
          <w:rFonts w:ascii="Arial" w:hAnsi="Arial" w:cs="Arial"/>
          <w:sz w:val="24"/>
          <w:szCs w:val="24"/>
        </w:rPr>
        <w:t>Numeracy and Literacy</w:t>
      </w:r>
      <w:r w:rsidRPr="00545ADC">
        <w:rPr>
          <w:rFonts w:ascii="Arial" w:hAnsi="Arial" w:cs="Arial"/>
          <w:sz w:val="24"/>
          <w:szCs w:val="24"/>
        </w:rPr>
        <w:t xml:space="preserve"> targets.  </w:t>
      </w:r>
    </w:p>
    <w:p w:rsidR="00D66537" w:rsidRDefault="00545ADC" w:rsidP="00545ADC">
      <w:pPr>
        <w:pStyle w:val="BodyText"/>
        <w:spacing w:after="0"/>
        <w:contextualSpacing/>
        <w:rPr>
          <w:rFonts w:ascii="Arial" w:hAnsi="Arial" w:cs="Arial"/>
          <w:sz w:val="24"/>
          <w:szCs w:val="24"/>
        </w:rPr>
      </w:pPr>
      <w:r w:rsidRPr="00545ADC">
        <w:rPr>
          <w:rFonts w:ascii="Arial" w:hAnsi="Arial" w:cs="Arial"/>
          <w:sz w:val="24"/>
          <w:szCs w:val="24"/>
        </w:rPr>
        <w:t xml:space="preserve">47 percent of within school matched students demonstrated expected growth, or better, in year 3 to year 5 </w:t>
      </w:r>
      <w:r w:rsidR="00D66537">
        <w:rPr>
          <w:rFonts w:ascii="Arial" w:hAnsi="Arial" w:cs="Arial"/>
          <w:sz w:val="24"/>
          <w:szCs w:val="24"/>
        </w:rPr>
        <w:t>National Assessment Program in Literacy &amp; Numeracy (</w:t>
      </w:r>
      <w:r w:rsidRPr="00545ADC">
        <w:rPr>
          <w:rFonts w:ascii="Arial" w:hAnsi="Arial" w:cs="Arial"/>
          <w:sz w:val="24"/>
          <w:szCs w:val="24"/>
        </w:rPr>
        <w:t>NAPLAN</w:t>
      </w:r>
      <w:r w:rsidR="00D66537">
        <w:rPr>
          <w:rFonts w:ascii="Arial" w:hAnsi="Arial" w:cs="Arial"/>
          <w:sz w:val="24"/>
          <w:szCs w:val="24"/>
        </w:rPr>
        <w:t>)</w:t>
      </w:r>
      <w:r w:rsidRPr="00545ADC">
        <w:rPr>
          <w:rFonts w:ascii="Arial" w:hAnsi="Arial" w:cs="Arial"/>
          <w:sz w:val="24"/>
          <w:szCs w:val="24"/>
        </w:rPr>
        <w:t xml:space="preserve"> Numeracy, falling short of the target of 60 percent.  </w:t>
      </w:r>
    </w:p>
    <w:p w:rsidR="00545ADC" w:rsidRPr="00545ADC" w:rsidRDefault="00D66537" w:rsidP="00545ADC">
      <w:pPr>
        <w:pStyle w:val="BodyText"/>
        <w:spacing w:after="0"/>
        <w:contextualSpacing/>
        <w:rPr>
          <w:rFonts w:ascii="Arial" w:hAnsi="Arial" w:cs="Arial"/>
          <w:sz w:val="24"/>
          <w:szCs w:val="24"/>
        </w:rPr>
      </w:pPr>
      <w:r>
        <w:rPr>
          <w:rFonts w:ascii="Arial" w:hAnsi="Arial" w:cs="Arial"/>
          <w:sz w:val="24"/>
          <w:szCs w:val="24"/>
        </w:rPr>
        <w:t xml:space="preserve">However </w:t>
      </w:r>
      <w:r w:rsidR="00545ADC" w:rsidRPr="00545ADC">
        <w:rPr>
          <w:rFonts w:ascii="Arial" w:hAnsi="Arial" w:cs="Arial"/>
          <w:sz w:val="24"/>
          <w:szCs w:val="24"/>
        </w:rPr>
        <w:t>80 percent of within school-matched students achieved 60</w:t>
      </w:r>
      <w:r w:rsidR="00545ADC">
        <w:rPr>
          <w:rFonts w:ascii="Arial" w:hAnsi="Arial" w:cs="Arial"/>
          <w:sz w:val="24"/>
          <w:szCs w:val="24"/>
        </w:rPr>
        <w:t xml:space="preserve"> percent</w:t>
      </w:r>
      <w:r w:rsidR="00545ADC" w:rsidRPr="00545ADC">
        <w:rPr>
          <w:rFonts w:ascii="Arial" w:hAnsi="Arial" w:cs="Arial"/>
          <w:sz w:val="24"/>
          <w:szCs w:val="24"/>
        </w:rPr>
        <w:t xml:space="preserve"> of expected growth or better in NAPLAN Numeracy, exceeding the target of 70 percent.  Importantly the school met </w:t>
      </w:r>
      <w:r>
        <w:rPr>
          <w:rFonts w:ascii="Arial" w:hAnsi="Arial" w:cs="Arial"/>
          <w:sz w:val="24"/>
          <w:szCs w:val="24"/>
        </w:rPr>
        <w:t xml:space="preserve">all of </w:t>
      </w:r>
      <w:r w:rsidR="00545ADC" w:rsidRPr="00545ADC">
        <w:rPr>
          <w:rFonts w:ascii="Arial" w:hAnsi="Arial" w:cs="Arial"/>
          <w:sz w:val="24"/>
          <w:szCs w:val="24"/>
        </w:rPr>
        <w:t xml:space="preserve">the Education Directorate Targets set down </w:t>
      </w:r>
      <w:r>
        <w:rPr>
          <w:rFonts w:ascii="Arial" w:hAnsi="Arial" w:cs="Arial"/>
          <w:sz w:val="24"/>
          <w:szCs w:val="24"/>
        </w:rPr>
        <w:t>for</w:t>
      </w:r>
      <w:r w:rsidR="00545ADC" w:rsidRPr="00545ADC">
        <w:rPr>
          <w:rFonts w:ascii="Arial" w:hAnsi="Arial" w:cs="Arial"/>
          <w:sz w:val="24"/>
          <w:szCs w:val="24"/>
        </w:rPr>
        <w:t xml:space="preserve"> 2017 in both Year 3 and 5 for Numeracy and Literacy, with the year 3 outcomes in the top end of the range.  </w:t>
      </w:r>
    </w:p>
    <w:p w:rsidR="00545ADC" w:rsidRPr="00545ADC" w:rsidRDefault="00545ADC" w:rsidP="00545ADC">
      <w:pPr>
        <w:pStyle w:val="BodyText"/>
        <w:spacing w:after="0"/>
        <w:contextual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1384"/>
        <w:gridCol w:w="1843"/>
        <w:gridCol w:w="1723"/>
        <w:gridCol w:w="1821"/>
        <w:gridCol w:w="1745"/>
      </w:tblGrid>
      <w:tr w:rsidR="00545ADC" w:rsidRPr="00545ADC" w:rsidTr="00FF7B0C">
        <w:tc>
          <w:tcPr>
            <w:tcW w:w="1384" w:type="dxa"/>
          </w:tcPr>
          <w:p w:rsidR="00545ADC" w:rsidRPr="00545ADC" w:rsidRDefault="00545ADC" w:rsidP="00545ADC">
            <w:pPr>
              <w:pStyle w:val="BodyText"/>
              <w:spacing w:after="0"/>
              <w:contextualSpacing/>
              <w:rPr>
                <w:rFonts w:ascii="Arial" w:hAnsi="Arial" w:cs="Arial"/>
                <w:sz w:val="24"/>
                <w:szCs w:val="24"/>
              </w:rPr>
            </w:pPr>
          </w:p>
        </w:tc>
        <w:tc>
          <w:tcPr>
            <w:tcW w:w="3566" w:type="dxa"/>
            <w:gridSpan w:val="2"/>
            <w:shd w:val="clear" w:color="auto" w:fill="FFD966" w:themeFill="accent4" w:themeFillTint="99"/>
          </w:tcPr>
          <w:p w:rsidR="00545ADC" w:rsidRPr="00545ADC" w:rsidRDefault="00545ADC" w:rsidP="00545ADC">
            <w:pPr>
              <w:pStyle w:val="BodyText"/>
              <w:spacing w:after="0"/>
              <w:contextualSpacing/>
              <w:jc w:val="center"/>
              <w:rPr>
                <w:rFonts w:ascii="Arial" w:hAnsi="Arial" w:cs="Arial"/>
                <w:sz w:val="24"/>
                <w:szCs w:val="24"/>
              </w:rPr>
            </w:pPr>
            <w:r w:rsidRPr="00545ADC">
              <w:rPr>
                <w:rFonts w:ascii="Arial" w:hAnsi="Arial" w:cs="Arial"/>
                <w:sz w:val="24"/>
                <w:szCs w:val="24"/>
              </w:rPr>
              <w:t>Year 3</w:t>
            </w:r>
          </w:p>
        </w:tc>
        <w:tc>
          <w:tcPr>
            <w:tcW w:w="3566" w:type="dxa"/>
            <w:gridSpan w:val="2"/>
            <w:shd w:val="clear" w:color="auto" w:fill="A8D08D" w:themeFill="accent6" w:themeFillTint="99"/>
          </w:tcPr>
          <w:p w:rsidR="00545ADC" w:rsidRPr="00545ADC" w:rsidRDefault="00545ADC" w:rsidP="00545ADC">
            <w:pPr>
              <w:pStyle w:val="BodyText"/>
              <w:spacing w:after="0"/>
              <w:contextualSpacing/>
              <w:jc w:val="center"/>
              <w:rPr>
                <w:rFonts w:ascii="Arial" w:hAnsi="Arial" w:cs="Arial"/>
                <w:sz w:val="24"/>
                <w:szCs w:val="24"/>
              </w:rPr>
            </w:pPr>
            <w:r w:rsidRPr="00545ADC">
              <w:rPr>
                <w:rFonts w:ascii="Arial" w:hAnsi="Arial" w:cs="Arial"/>
                <w:sz w:val="24"/>
                <w:szCs w:val="24"/>
              </w:rPr>
              <w:t>Year 5</w:t>
            </w:r>
          </w:p>
        </w:tc>
      </w:tr>
      <w:tr w:rsidR="00545ADC" w:rsidRPr="00545ADC" w:rsidTr="00FF7B0C">
        <w:tc>
          <w:tcPr>
            <w:tcW w:w="1384" w:type="dxa"/>
          </w:tcPr>
          <w:p w:rsidR="00545ADC" w:rsidRPr="00545ADC" w:rsidRDefault="00545ADC" w:rsidP="00545ADC">
            <w:pPr>
              <w:pStyle w:val="BodyText"/>
              <w:spacing w:after="0"/>
              <w:contextualSpacing/>
              <w:rPr>
                <w:rFonts w:ascii="Arial" w:hAnsi="Arial" w:cs="Arial"/>
                <w:sz w:val="24"/>
                <w:szCs w:val="24"/>
              </w:rPr>
            </w:pPr>
          </w:p>
        </w:tc>
        <w:tc>
          <w:tcPr>
            <w:tcW w:w="1843" w:type="dxa"/>
            <w:shd w:val="clear" w:color="auto" w:fill="FFD966" w:themeFill="accent4" w:themeFillTint="99"/>
          </w:tcPr>
          <w:p w:rsidR="00545ADC" w:rsidRPr="00545ADC" w:rsidRDefault="00FF7B0C" w:rsidP="00545ADC">
            <w:pPr>
              <w:pStyle w:val="BodyText"/>
              <w:spacing w:after="0"/>
              <w:contextualSpacing/>
              <w:jc w:val="center"/>
              <w:rPr>
                <w:rFonts w:ascii="Arial" w:hAnsi="Arial" w:cs="Arial"/>
                <w:sz w:val="24"/>
                <w:szCs w:val="24"/>
              </w:rPr>
            </w:pPr>
            <w:r>
              <w:rPr>
                <w:rFonts w:ascii="Arial" w:hAnsi="Arial" w:cs="Arial"/>
                <w:sz w:val="24"/>
                <w:szCs w:val="24"/>
              </w:rPr>
              <w:t xml:space="preserve">ACTED </w:t>
            </w:r>
            <w:r w:rsidR="00545ADC" w:rsidRPr="00545ADC">
              <w:rPr>
                <w:rFonts w:ascii="Arial" w:hAnsi="Arial" w:cs="Arial"/>
                <w:sz w:val="24"/>
                <w:szCs w:val="24"/>
              </w:rPr>
              <w:t>Target</w:t>
            </w:r>
          </w:p>
        </w:tc>
        <w:tc>
          <w:tcPr>
            <w:tcW w:w="1723" w:type="dxa"/>
            <w:shd w:val="clear" w:color="auto" w:fill="FFD966" w:themeFill="accent4" w:themeFillTint="99"/>
          </w:tcPr>
          <w:p w:rsidR="00545ADC" w:rsidRPr="00545ADC" w:rsidRDefault="00545ADC" w:rsidP="00545ADC">
            <w:pPr>
              <w:pStyle w:val="BodyText"/>
              <w:spacing w:after="0"/>
              <w:contextualSpacing/>
              <w:jc w:val="center"/>
              <w:rPr>
                <w:rFonts w:ascii="Arial" w:hAnsi="Arial" w:cs="Arial"/>
                <w:sz w:val="24"/>
                <w:szCs w:val="24"/>
              </w:rPr>
            </w:pPr>
            <w:r w:rsidRPr="00545ADC">
              <w:rPr>
                <w:rFonts w:ascii="Arial" w:hAnsi="Arial" w:cs="Arial"/>
                <w:sz w:val="24"/>
                <w:szCs w:val="24"/>
              </w:rPr>
              <w:t>Achieved</w:t>
            </w:r>
          </w:p>
        </w:tc>
        <w:tc>
          <w:tcPr>
            <w:tcW w:w="1821" w:type="dxa"/>
            <w:shd w:val="clear" w:color="auto" w:fill="A8D08D" w:themeFill="accent6" w:themeFillTint="99"/>
          </w:tcPr>
          <w:p w:rsidR="00545ADC" w:rsidRPr="00545ADC" w:rsidRDefault="00545ADC" w:rsidP="00545ADC">
            <w:pPr>
              <w:pStyle w:val="BodyText"/>
              <w:spacing w:after="0"/>
              <w:contextualSpacing/>
              <w:jc w:val="center"/>
              <w:rPr>
                <w:rFonts w:ascii="Arial" w:hAnsi="Arial" w:cs="Arial"/>
                <w:sz w:val="24"/>
                <w:szCs w:val="24"/>
              </w:rPr>
            </w:pPr>
            <w:r w:rsidRPr="00545ADC">
              <w:rPr>
                <w:rFonts w:ascii="Arial" w:hAnsi="Arial" w:cs="Arial"/>
                <w:sz w:val="24"/>
                <w:szCs w:val="24"/>
              </w:rPr>
              <w:t>ACTED Target</w:t>
            </w:r>
          </w:p>
        </w:tc>
        <w:tc>
          <w:tcPr>
            <w:tcW w:w="1745" w:type="dxa"/>
            <w:shd w:val="clear" w:color="auto" w:fill="A8D08D" w:themeFill="accent6" w:themeFillTint="99"/>
          </w:tcPr>
          <w:p w:rsidR="00545ADC" w:rsidRPr="00545ADC" w:rsidRDefault="00545ADC" w:rsidP="00545ADC">
            <w:pPr>
              <w:pStyle w:val="BodyText"/>
              <w:spacing w:after="0"/>
              <w:contextualSpacing/>
              <w:jc w:val="center"/>
              <w:rPr>
                <w:rFonts w:ascii="Arial" w:hAnsi="Arial" w:cs="Arial"/>
                <w:sz w:val="24"/>
                <w:szCs w:val="24"/>
              </w:rPr>
            </w:pPr>
            <w:r w:rsidRPr="00545ADC">
              <w:rPr>
                <w:rFonts w:ascii="Arial" w:hAnsi="Arial" w:cs="Arial"/>
                <w:sz w:val="24"/>
                <w:szCs w:val="24"/>
              </w:rPr>
              <w:t>Achieved</w:t>
            </w:r>
          </w:p>
        </w:tc>
      </w:tr>
      <w:tr w:rsidR="00545ADC" w:rsidRPr="00545ADC" w:rsidTr="00FF7B0C">
        <w:tc>
          <w:tcPr>
            <w:tcW w:w="1384" w:type="dxa"/>
          </w:tcPr>
          <w:p w:rsidR="00545ADC" w:rsidRPr="00545ADC" w:rsidRDefault="00545ADC" w:rsidP="00545ADC">
            <w:pPr>
              <w:pStyle w:val="BodyText"/>
              <w:spacing w:after="0"/>
              <w:contextualSpacing/>
              <w:rPr>
                <w:rFonts w:ascii="Arial" w:hAnsi="Arial" w:cs="Arial"/>
                <w:sz w:val="24"/>
                <w:szCs w:val="24"/>
              </w:rPr>
            </w:pPr>
            <w:r w:rsidRPr="00545ADC">
              <w:rPr>
                <w:rFonts w:ascii="Arial" w:hAnsi="Arial" w:cs="Arial"/>
                <w:sz w:val="24"/>
                <w:szCs w:val="24"/>
              </w:rPr>
              <w:t>Reading</w:t>
            </w:r>
          </w:p>
        </w:tc>
        <w:tc>
          <w:tcPr>
            <w:tcW w:w="1843" w:type="dxa"/>
            <w:shd w:val="clear" w:color="auto" w:fill="FFD966" w:themeFill="accent4" w:themeFillTint="99"/>
          </w:tcPr>
          <w:p w:rsidR="00545ADC" w:rsidRPr="00545ADC" w:rsidRDefault="00545ADC" w:rsidP="00545ADC">
            <w:pPr>
              <w:pStyle w:val="BodyText"/>
              <w:contextualSpacing/>
              <w:jc w:val="center"/>
              <w:rPr>
                <w:rFonts w:ascii="Arial" w:hAnsi="Arial" w:cs="Arial"/>
                <w:sz w:val="24"/>
                <w:szCs w:val="24"/>
                <w:lang w:val="en-AU"/>
              </w:rPr>
            </w:pPr>
            <w:r w:rsidRPr="00545ADC">
              <w:rPr>
                <w:rFonts w:ascii="Arial" w:hAnsi="Arial" w:cs="Arial"/>
                <w:sz w:val="24"/>
                <w:szCs w:val="24"/>
                <w:lang w:val="en-AU"/>
              </w:rPr>
              <w:t>410 ± 20</w:t>
            </w:r>
          </w:p>
        </w:tc>
        <w:tc>
          <w:tcPr>
            <w:tcW w:w="1723" w:type="dxa"/>
            <w:shd w:val="clear" w:color="auto" w:fill="BF8F00" w:themeFill="accent4" w:themeFillShade="BF"/>
          </w:tcPr>
          <w:p w:rsidR="00545ADC" w:rsidRPr="00545ADC" w:rsidRDefault="00545ADC" w:rsidP="00545ADC">
            <w:pPr>
              <w:pStyle w:val="BodyText"/>
              <w:spacing w:after="0"/>
              <w:contextualSpacing/>
              <w:jc w:val="center"/>
              <w:rPr>
                <w:rFonts w:ascii="Arial" w:hAnsi="Arial" w:cs="Arial"/>
                <w:b/>
                <w:sz w:val="24"/>
                <w:szCs w:val="24"/>
              </w:rPr>
            </w:pPr>
            <w:r w:rsidRPr="00545ADC">
              <w:rPr>
                <w:rFonts w:ascii="Arial" w:hAnsi="Arial" w:cs="Arial"/>
                <w:b/>
                <w:sz w:val="24"/>
                <w:szCs w:val="24"/>
              </w:rPr>
              <w:t>428.5</w:t>
            </w:r>
          </w:p>
        </w:tc>
        <w:tc>
          <w:tcPr>
            <w:tcW w:w="1821" w:type="dxa"/>
            <w:shd w:val="clear" w:color="auto" w:fill="A8D08D" w:themeFill="accent6" w:themeFillTint="99"/>
          </w:tcPr>
          <w:p w:rsidR="00545ADC" w:rsidRPr="00545ADC" w:rsidRDefault="00545ADC" w:rsidP="00545ADC">
            <w:pPr>
              <w:pStyle w:val="BodyText"/>
              <w:contextualSpacing/>
              <w:jc w:val="center"/>
              <w:rPr>
                <w:rFonts w:ascii="Arial" w:hAnsi="Arial" w:cs="Arial"/>
                <w:sz w:val="24"/>
                <w:szCs w:val="24"/>
                <w:lang w:val="en-AU"/>
              </w:rPr>
            </w:pPr>
            <w:r w:rsidRPr="00545ADC">
              <w:rPr>
                <w:rFonts w:ascii="Arial" w:hAnsi="Arial" w:cs="Arial"/>
                <w:sz w:val="24"/>
                <w:szCs w:val="24"/>
                <w:lang w:val="en-AU"/>
              </w:rPr>
              <w:t>488 ± 20</w:t>
            </w:r>
          </w:p>
        </w:tc>
        <w:tc>
          <w:tcPr>
            <w:tcW w:w="1745" w:type="dxa"/>
            <w:shd w:val="clear" w:color="auto" w:fill="538135" w:themeFill="accent6" w:themeFillShade="BF"/>
          </w:tcPr>
          <w:p w:rsidR="00545ADC" w:rsidRPr="00545ADC" w:rsidRDefault="00545ADC" w:rsidP="00545ADC">
            <w:pPr>
              <w:pStyle w:val="BodyText"/>
              <w:spacing w:after="0"/>
              <w:contextualSpacing/>
              <w:jc w:val="center"/>
              <w:rPr>
                <w:rFonts w:ascii="Arial" w:hAnsi="Arial" w:cs="Arial"/>
                <w:sz w:val="24"/>
                <w:szCs w:val="24"/>
              </w:rPr>
            </w:pPr>
            <w:r w:rsidRPr="00545ADC">
              <w:rPr>
                <w:rFonts w:ascii="Arial" w:hAnsi="Arial" w:cs="Arial"/>
                <w:sz w:val="24"/>
                <w:szCs w:val="24"/>
              </w:rPr>
              <w:t>478.7</w:t>
            </w:r>
          </w:p>
        </w:tc>
      </w:tr>
      <w:tr w:rsidR="00545ADC" w:rsidRPr="00545ADC" w:rsidTr="00FF7B0C">
        <w:tc>
          <w:tcPr>
            <w:tcW w:w="1384" w:type="dxa"/>
          </w:tcPr>
          <w:p w:rsidR="00545ADC" w:rsidRPr="00545ADC" w:rsidRDefault="00545ADC" w:rsidP="00545ADC">
            <w:pPr>
              <w:pStyle w:val="BodyText"/>
              <w:spacing w:after="0"/>
              <w:contextualSpacing/>
              <w:rPr>
                <w:rFonts w:ascii="Arial" w:hAnsi="Arial" w:cs="Arial"/>
                <w:sz w:val="24"/>
                <w:szCs w:val="24"/>
              </w:rPr>
            </w:pPr>
            <w:r w:rsidRPr="00545ADC">
              <w:rPr>
                <w:rFonts w:ascii="Arial" w:hAnsi="Arial" w:cs="Arial"/>
                <w:sz w:val="24"/>
                <w:szCs w:val="24"/>
              </w:rPr>
              <w:t>Numeracy</w:t>
            </w:r>
          </w:p>
        </w:tc>
        <w:tc>
          <w:tcPr>
            <w:tcW w:w="1843" w:type="dxa"/>
            <w:shd w:val="clear" w:color="auto" w:fill="FFD966" w:themeFill="accent4" w:themeFillTint="99"/>
          </w:tcPr>
          <w:p w:rsidR="00545ADC" w:rsidRPr="00545ADC" w:rsidRDefault="00545ADC" w:rsidP="00545ADC">
            <w:pPr>
              <w:pStyle w:val="BodyText"/>
              <w:contextualSpacing/>
              <w:jc w:val="center"/>
              <w:rPr>
                <w:rFonts w:ascii="Arial" w:hAnsi="Arial" w:cs="Arial"/>
                <w:sz w:val="24"/>
                <w:szCs w:val="24"/>
                <w:lang w:val="en-AU"/>
              </w:rPr>
            </w:pPr>
            <w:r w:rsidRPr="00545ADC">
              <w:rPr>
                <w:rFonts w:ascii="Arial" w:hAnsi="Arial" w:cs="Arial"/>
                <w:sz w:val="24"/>
                <w:szCs w:val="24"/>
                <w:lang w:val="en-AU"/>
              </w:rPr>
              <w:t>379 ± 16</w:t>
            </w:r>
          </w:p>
        </w:tc>
        <w:tc>
          <w:tcPr>
            <w:tcW w:w="1723" w:type="dxa"/>
            <w:shd w:val="clear" w:color="auto" w:fill="BF8F00" w:themeFill="accent4" w:themeFillShade="BF"/>
          </w:tcPr>
          <w:p w:rsidR="00545ADC" w:rsidRPr="00545ADC" w:rsidRDefault="00545ADC" w:rsidP="00545ADC">
            <w:pPr>
              <w:pStyle w:val="BodyText"/>
              <w:spacing w:after="0"/>
              <w:contextualSpacing/>
              <w:jc w:val="center"/>
              <w:rPr>
                <w:rFonts w:ascii="Arial" w:hAnsi="Arial" w:cs="Arial"/>
                <w:b/>
                <w:sz w:val="24"/>
                <w:szCs w:val="24"/>
              </w:rPr>
            </w:pPr>
            <w:r w:rsidRPr="00545ADC">
              <w:rPr>
                <w:rFonts w:ascii="Arial" w:hAnsi="Arial" w:cs="Arial"/>
                <w:b/>
                <w:sz w:val="24"/>
                <w:szCs w:val="24"/>
              </w:rPr>
              <w:t>394.2</w:t>
            </w:r>
          </w:p>
        </w:tc>
        <w:tc>
          <w:tcPr>
            <w:tcW w:w="1821" w:type="dxa"/>
            <w:shd w:val="clear" w:color="auto" w:fill="A8D08D" w:themeFill="accent6" w:themeFillTint="99"/>
          </w:tcPr>
          <w:p w:rsidR="00545ADC" w:rsidRPr="00545ADC" w:rsidRDefault="00545ADC" w:rsidP="00545ADC">
            <w:pPr>
              <w:pStyle w:val="BodyText"/>
              <w:contextualSpacing/>
              <w:jc w:val="center"/>
              <w:rPr>
                <w:rFonts w:ascii="Arial" w:hAnsi="Arial" w:cs="Arial"/>
                <w:sz w:val="24"/>
                <w:szCs w:val="24"/>
                <w:lang w:val="en-AU"/>
              </w:rPr>
            </w:pPr>
            <w:r w:rsidRPr="00545ADC">
              <w:rPr>
                <w:rFonts w:ascii="Arial" w:hAnsi="Arial" w:cs="Arial"/>
                <w:sz w:val="24"/>
                <w:szCs w:val="24"/>
                <w:lang w:val="en-AU"/>
              </w:rPr>
              <w:t>467 ± 18</w:t>
            </w:r>
          </w:p>
        </w:tc>
        <w:tc>
          <w:tcPr>
            <w:tcW w:w="1745" w:type="dxa"/>
            <w:shd w:val="clear" w:color="auto" w:fill="538135" w:themeFill="accent6" w:themeFillShade="BF"/>
          </w:tcPr>
          <w:p w:rsidR="00545ADC" w:rsidRPr="00545ADC" w:rsidRDefault="00545ADC" w:rsidP="00545ADC">
            <w:pPr>
              <w:pStyle w:val="BodyText"/>
              <w:spacing w:after="0"/>
              <w:contextualSpacing/>
              <w:jc w:val="center"/>
              <w:rPr>
                <w:rFonts w:ascii="Arial" w:hAnsi="Arial" w:cs="Arial"/>
                <w:sz w:val="24"/>
                <w:szCs w:val="24"/>
              </w:rPr>
            </w:pPr>
            <w:r w:rsidRPr="00545ADC">
              <w:rPr>
                <w:rFonts w:ascii="Arial" w:hAnsi="Arial" w:cs="Arial"/>
                <w:sz w:val="24"/>
                <w:szCs w:val="24"/>
              </w:rPr>
              <w:t>453.1</w:t>
            </w:r>
          </w:p>
        </w:tc>
      </w:tr>
    </w:tbl>
    <w:p w:rsidR="00780083" w:rsidRPr="00741F6B" w:rsidRDefault="00FF7B0C" w:rsidP="00545ADC">
      <w:pPr>
        <w:pStyle w:val="Heading2"/>
        <w:rPr>
          <w:sz w:val="24"/>
          <w:szCs w:val="24"/>
        </w:rPr>
      </w:pPr>
      <w:r w:rsidRPr="00741F6B">
        <w:rPr>
          <w:sz w:val="24"/>
          <w:szCs w:val="24"/>
        </w:rPr>
        <w:t xml:space="preserve">In terms of PIPS targets the school met both </w:t>
      </w:r>
      <w:r w:rsidR="00D66537">
        <w:rPr>
          <w:sz w:val="24"/>
          <w:szCs w:val="24"/>
          <w:lang w:val="en-AU"/>
        </w:rPr>
        <w:t xml:space="preserve">of </w:t>
      </w:r>
      <w:r w:rsidRPr="00741F6B">
        <w:rPr>
          <w:sz w:val="24"/>
          <w:szCs w:val="24"/>
        </w:rPr>
        <w:t xml:space="preserve">its goals, with 88 percent of students achieving expected or better than expected growth in Numeracy and 75 percent doing so in reading. </w:t>
      </w:r>
    </w:p>
    <w:tbl>
      <w:tblPr>
        <w:tblStyle w:val="TableGrid"/>
        <w:tblW w:w="0" w:type="auto"/>
        <w:tblLook w:val="04A0" w:firstRow="1" w:lastRow="0" w:firstColumn="1" w:lastColumn="0" w:noHBand="0" w:noVBand="1"/>
      </w:tblPr>
      <w:tblGrid>
        <w:gridCol w:w="3227"/>
        <w:gridCol w:w="1203"/>
        <w:gridCol w:w="1203"/>
        <w:gridCol w:w="1203"/>
        <w:gridCol w:w="1203"/>
        <w:gridCol w:w="1203"/>
      </w:tblGrid>
      <w:tr w:rsidR="00780083" w:rsidRPr="00741F6B" w:rsidTr="00741F6B">
        <w:trPr>
          <w:trHeight w:val="415"/>
        </w:trPr>
        <w:tc>
          <w:tcPr>
            <w:tcW w:w="3227" w:type="dxa"/>
          </w:tcPr>
          <w:p w:rsidR="00780083" w:rsidRPr="00741F6B" w:rsidRDefault="00780083" w:rsidP="00FF7B0C">
            <w:pPr>
              <w:pStyle w:val="BodyText"/>
              <w:spacing w:after="0"/>
              <w:contextualSpacing/>
              <w:rPr>
                <w:rFonts w:ascii="Arial" w:hAnsi="Arial" w:cs="Arial"/>
                <w:b/>
              </w:rPr>
            </w:pPr>
            <w:r w:rsidRPr="00741F6B">
              <w:rPr>
                <w:rFonts w:ascii="Arial" w:hAnsi="Arial" w:cs="Arial"/>
                <w:b/>
              </w:rPr>
              <w:t>Reading</w:t>
            </w:r>
          </w:p>
        </w:tc>
        <w:tc>
          <w:tcPr>
            <w:tcW w:w="1203" w:type="dxa"/>
            <w:shd w:val="clear" w:color="auto" w:fill="A8D08D" w:themeFill="accent6" w:themeFillTint="99"/>
          </w:tcPr>
          <w:p w:rsidR="00780083" w:rsidRPr="00741F6B" w:rsidRDefault="00780083" w:rsidP="00FF7B0C">
            <w:pPr>
              <w:pStyle w:val="BodyText"/>
              <w:spacing w:after="0"/>
              <w:contextualSpacing/>
              <w:jc w:val="center"/>
              <w:rPr>
                <w:rFonts w:ascii="Arial" w:hAnsi="Arial" w:cs="Arial"/>
                <w:b/>
              </w:rPr>
            </w:pPr>
            <w:r w:rsidRPr="00741F6B">
              <w:rPr>
                <w:rFonts w:ascii="Arial" w:hAnsi="Arial" w:cs="Arial"/>
                <w:b/>
              </w:rPr>
              <w:t>2013</w:t>
            </w:r>
          </w:p>
        </w:tc>
        <w:tc>
          <w:tcPr>
            <w:tcW w:w="1203" w:type="dxa"/>
            <w:shd w:val="clear" w:color="auto" w:fill="FFD966" w:themeFill="accent4" w:themeFillTint="99"/>
          </w:tcPr>
          <w:p w:rsidR="00780083" w:rsidRPr="00741F6B" w:rsidRDefault="00780083" w:rsidP="00FF7B0C">
            <w:pPr>
              <w:pStyle w:val="BodyText"/>
              <w:spacing w:after="0"/>
              <w:contextualSpacing/>
              <w:jc w:val="center"/>
              <w:rPr>
                <w:rFonts w:ascii="Arial" w:hAnsi="Arial" w:cs="Arial"/>
                <w:b/>
              </w:rPr>
            </w:pPr>
            <w:r w:rsidRPr="00741F6B">
              <w:rPr>
                <w:rFonts w:ascii="Arial" w:hAnsi="Arial" w:cs="Arial"/>
                <w:b/>
              </w:rPr>
              <w:t>2014</w:t>
            </w:r>
          </w:p>
        </w:tc>
        <w:tc>
          <w:tcPr>
            <w:tcW w:w="1203" w:type="dxa"/>
            <w:shd w:val="clear" w:color="auto" w:fill="F4B083" w:themeFill="accent2" w:themeFillTint="99"/>
          </w:tcPr>
          <w:p w:rsidR="00780083" w:rsidRPr="00741F6B" w:rsidRDefault="00780083" w:rsidP="00FF7B0C">
            <w:pPr>
              <w:pStyle w:val="BodyText"/>
              <w:spacing w:after="0"/>
              <w:contextualSpacing/>
              <w:jc w:val="center"/>
              <w:rPr>
                <w:rFonts w:ascii="Arial" w:hAnsi="Arial" w:cs="Arial"/>
                <w:b/>
              </w:rPr>
            </w:pPr>
            <w:r w:rsidRPr="00741F6B">
              <w:rPr>
                <w:rFonts w:ascii="Arial" w:hAnsi="Arial" w:cs="Arial"/>
                <w:b/>
              </w:rPr>
              <w:t>2015</w:t>
            </w:r>
          </w:p>
        </w:tc>
        <w:tc>
          <w:tcPr>
            <w:tcW w:w="1203" w:type="dxa"/>
            <w:shd w:val="clear" w:color="auto" w:fill="8EAADB" w:themeFill="accent5" w:themeFillTint="99"/>
          </w:tcPr>
          <w:p w:rsidR="00780083" w:rsidRPr="00741F6B" w:rsidRDefault="00780083" w:rsidP="00FF7B0C">
            <w:pPr>
              <w:pStyle w:val="BodyText"/>
              <w:spacing w:after="0"/>
              <w:contextualSpacing/>
              <w:jc w:val="center"/>
              <w:rPr>
                <w:rFonts w:ascii="Arial" w:hAnsi="Arial" w:cs="Arial"/>
                <w:b/>
              </w:rPr>
            </w:pPr>
            <w:r w:rsidRPr="00741F6B">
              <w:rPr>
                <w:rFonts w:ascii="Arial" w:hAnsi="Arial" w:cs="Arial"/>
                <w:b/>
              </w:rPr>
              <w:t>2016</w:t>
            </w:r>
          </w:p>
        </w:tc>
        <w:tc>
          <w:tcPr>
            <w:tcW w:w="1203" w:type="dxa"/>
            <w:shd w:val="clear" w:color="auto" w:fill="FF6600"/>
          </w:tcPr>
          <w:p w:rsidR="00780083" w:rsidRPr="00741F6B" w:rsidRDefault="00780083" w:rsidP="00FF7B0C">
            <w:pPr>
              <w:pStyle w:val="BodyText"/>
              <w:spacing w:after="0"/>
              <w:contextualSpacing/>
              <w:jc w:val="center"/>
              <w:rPr>
                <w:rFonts w:ascii="Arial" w:hAnsi="Arial" w:cs="Arial"/>
                <w:b/>
              </w:rPr>
            </w:pPr>
            <w:r w:rsidRPr="00741F6B">
              <w:rPr>
                <w:rFonts w:ascii="Arial" w:hAnsi="Arial" w:cs="Arial"/>
                <w:b/>
              </w:rPr>
              <w:t>2017</w:t>
            </w:r>
          </w:p>
        </w:tc>
      </w:tr>
      <w:tr w:rsidR="00780083" w:rsidRPr="00741F6B" w:rsidTr="00741F6B">
        <w:tc>
          <w:tcPr>
            <w:tcW w:w="3227" w:type="dxa"/>
          </w:tcPr>
          <w:p w:rsidR="00780083" w:rsidRPr="00741F6B" w:rsidRDefault="00780083" w:rsidP="00FF7B0C">
            <w:pPr>
              <w:pStyle w:val="BodyText"/>
              <w:spacing w:after="0"/>
              <w:contextualSpacing/>
              <w:rPr>
                <w:rFonts w:ascii="Arial" w:hAnsi="Arial" w:cs="Arial"/>
              </w:rPr>
            </w:pPr>
            <w:r w:rsidRPr="00741F6B">
              <w:rPr>
                <w:rFonts w:ascii="Arial" w:hAnsi="Arial" w:cs="Arial"/>
              </w:rPr>
              <w:t>Less than expected growth %</w:t>
            </w:r>
          </w:p>
        </w:tc>
        <w:tc>
          <w:tcPr>
            <w:tcW w:w="1203" w:type="dxa"/>
            <w:shd w:val="clear" w:color="auto" w:fill="A8D08D" w:themeFill="accent6"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36</w:t>
            </w:r>
          </w:p>
        </w:tc>
        <w:tc>
          <w:tcPr>
            <w:tcW w:w="1203" w:type="dxa"/>
            <w:shd w:val="clear" w:color="auto" w:fill="FFD966" w:themeFill="accent4"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41</w:t>
            </w:r>
          </w:p>
        </w:tc>
        <w:tc>
          <w:tcPr>
            <w:tcW w:w="1203" w:type="dxa"/>
            <w:shd w:val="clear" w:color="auto" w:fill="F4B083" w:themeFill="accent2"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31</w:t>
            </w:r>
          </w:p>
        </w:tc>
        <w:tc>
          <w:tcPr>
            <w:tcW w:w="1203" w:type="dxa"/>
            <w:shd w:val="clear" w:color="auto" w:fill="8EAADB" w:themeFill="accent5"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20</w:t>
            </w:r>
          </w:p>
        </w:tc>
        <w:tc>
          <w:tcPr>
            <w:tcW w:w="1203" w:type="dxa"/>
            <w:shd w:val="clear" w:color="auto" w:fill="FF6600"/>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25</w:t>
            </w:r>
          </w:p>
        </w:tc>
      </w:tr>
      <w:tr w:rsidR="00780083" w:rsidRPr="00741F6B" w:rsidTr="00741F6B">
        <w:tc>
          <w:tcPr>
            <w:tcW w:w="3227" w:type="dxa"/>
          </w:tcPr>
          <w:p w:rsidR="00780083" w:rsidRPr="00741F6B" w:rsidRDefault="00780083" w:rsidP="00FF7B0C">
            <w:pPr>
              <w:pStyle w:val="BodyText"/>
              <w:spacing w:after="0"/>
              <w:contextualSpacing/>
              <w:rPr>
                <w:rFonts w:ascii="Arial" w:hAnsi="Arial" w:cs="Arial"/>
              </w:rPr>
            </w:pPr>
            <w:r w:rsidRPr="00741F6B">
              <w:rPr>
                <w:rFonts w:ascii="Arial" w:hAnsi="Arial" w:cs="Arial"/>
              </w:rPr>
              <w:t>Expected Growth %</w:t>
            </w:r>
          </w:p>
        </w:tc>
        <w:tc>
          <w:tcPr>
            <w:tcW w:w="1203" w:type="dxa"/>
            <w:shd w:val="clear" w:color="auto" w:fill="A8D08D" w:themeFill="accent6"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57</w:t>
            </w:r>
          </w:p>
        </w:tc>
        <w:tc>
          <w:tcPr>
            <w:tcW w:w="1203" w:type="dxa"/>
            <w:shd w:val="clear" w:color="auto" w:fill="FFD966" w:themeFill="accent4"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51</w:t>
            </w:r>
          </w:p>
        </w:tc>
        <w:tc>
          <w:tcPr>
            <w:tcW w:w="1203" w:type="dxa"/>
            <w:shd w:val="clear" w:color="auto" w:fill="F4B083" w:themeFill="accent2"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50</w:t>
            </w:r>
          </w:p>
        </w:tc>
        <w:tc>
          <w:tcPr>
            <w:tcW w:w="1203" w:type="dxa"/>
            <w:shd w:val="clear" w:color="auto" w:fill="8EAADB" w:themeFill="accent5"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54</w:t>
            </w:r>
          </w:p>
        </w:tc>
        <w:tc>
          <w:tcPr>
            <w:tcW w:w="1203" w:type="dxa"/>
            <w:shd w:val="clear" w:color="auto" w:fill="FF6600"/>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57</w:t>
            </w:r>
          </w:p>
        </w:tc>
      </w:tr>
      <w:tr w:rsidR="00780083" w:rsidRPr="00741F6B" w:rsidTr="00741F6B">
        <w:trPr>
          <w:trHeight w:val="266"/>
        </w:trPr>
        <w:tc>
          <w:tcPr>
            <w:tcW w:w="3227" w:type="dxa"/>
          </w:tcPr>
          <w:p w:rsidR="00780083" w:rsidRPr="00741F6B" w:rsidRDefault="00780083" w:rsidP="00FF7B0C">
            <w:pPr>
              <w:pStyle w:val="BodyText"/>
              <w:spacing w:after="0"/>
              <w:contextualSpacing/>
              <w:rPr>
                <w:rFonts w:ascii="Arial" w:hAnsi="Arial" w:cs="Arial"/>
              </w:rPr>
            </w:pPr>
            <w:r w:rsidRPr="00741F6B">
              <w:rPr>
                <w:rFonts w:ascii="Arial" w:hAnsi="Arial" w:cs="Arial"/>
              </w:rPr>
              <w:t>Better than expected growth %</w:t>
            </w:r>
          </w:p>
        </w:tc>
        <w:tc>
          <w:tcPr>
            <w:tcW w:w="1203" w:type="dxa"/>
            <w:shd w:val="clear" w:color="auto" w:fill="A8D08D" w:themeFill="accent6"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7</w:t>
            </w:r>
          </w:p>
        </w:tc>
        <w:tc>
          <w:tcPr>
            <w:tcW w:w="1203" w:type="dxa"/>
            <w:shd w:val="clear" w:color="auto" w:fill="FFD966" w:themeFill="accent4"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8</w:t>
            </w:r>
          </w:p>
        </w:tc>
        <w:tc>
          <w:tcPr>
            <w:tcW w:w="1203" w:type="dxa"/>
            <w:shd w:val="clear" w:color="auto" w:fill="F4B083" w:themeFill="accent2"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19</w:t>
            </w:r>
          </w:p>
        </w:tc>
        <w:tc>
          <w:tcPr>
            <w:tcW w:w="1203" w:type="dxa"/>
            <w:shd w:val="clear" w:color="auto" w:fill="8EAADB" w:themeFill="accent5" w:themeFillTint="99"/>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25</w:t>
            </w:r>
          </w:p>
        </w:tc>
        <w:tc>
          <w:tcPr>
            <w:tcW w:w="1203" w:type="dxa"/>
            <w:shd w:val="clear" w:color="auto" w:fill="FF6600"/>
          </w:tcPr>
          <w:p w:rsidR="00780083" w:rsidRPr="00741F6B" w:rsidRDefault="00780083" w:rsidP="00FF7B0C">
            <w:pPr>
              <w:pStyle w:val="BodyText"/>
              <w:spacing w:after="0"/>
              <w:contextualSpacing/>
              <w:jc w:val="center"/>
              <w:rPr>
                <w:rFonts w:ascii="Arial" w:hAnsi="Arial" w:cs="Arial"/>
              </w:rPr>
            </w:pPr>
            <w:r w:rsidRPr="00741F6B">
              <w:rPr>
                <w:rFonts w:ascii="Arial" w:hAnsi="Arial" w:cs="Arial"/>
              </w:rPr>
              <w:t>18</w:t>
            </w:r>
            <w:r w:rsidR="00FF7B0C" w:rsidRPr="00741F6B">
              <w:rPr>
                <w:rFonts w:ascii="Arial" w:hAnsi="Arial" w:cs="Arial"/>
              </w:rPr>
              <w:t xml:space="preserve"> (75)</w:t>
            </w:r>
          </w:p>
        </w:tc>
      </w:tr>
    </w:tbl>
    <w:p w:rsidR="00780083" w:rsidRPr="00741F6B" w:rsidRDefault="00780083" w:rsidP="00780083">
      <w:pPr>
        <w:pStyle w:val="BodyText"/>
        <w:rPr>
          <w:rFonts w:ascii="Arial" w:hAnsi="Arial" w:cs="Arial"/>
        </w:rPr>
      </w:pPr>
    </w:p>
    <w:tbl>
      <w:tblPr>
        <w:tblStyle w:val="TableGrid"/>
        <w:tblW w:w="0" w:type="auto"/>
        <w:tblLook w:val="04A0" w:firstRow="1" w:lastRow="0" w:firstColumn="1" w:lastColumn="0" w:noHBand="0" w:noVBand="1"/>
      </w:tblPr>
      <w:tblGrid>
        <w:gridCol w:w="3227"/>
        <w:gridCol w:w="1203"/>
        <w:gridCol w:w="1203"/>
        <w:gridCol w:w="1203"/>
        <w:gridCol w:w="1203"/>
        <w:gridCol w:w="1203"/>
      </w:tblGrid>
      <w:tr w:rsidR="00FF7B0C" w:rsidRPr="00741F6B" w:rsidTr="00741F6B">
        <w:trPr>
          <w:trHeight w:val="415"/>
        </w:trPr>
        <w:tc>
          <w:tcPr>
            <w:tcW w:w="3227" w:type="dxa"/>
          </w:tcPr>
          <w:p w:rsidR="00FF7B0C" w:rsidRPr="00741F6B" w:rsidRDefault="00FF7B0C" w:rsidP="00FF7B0C">
            <w:pPr>
              <w:pStyle w:val="BodyText"/>
              <w:spacing w:after="0"/>
              <w:contextualSpacing/>
              <w:rPr>
                <w:rFonts w:ascii="Arial" w:hAnsi="Arial" w:cs="Arial"/>
                <w:b/>
              </w:rPr>
            </w:pPr>
            <w:r w:rsidRPr="00741F6B">
              <w:rPr>
                <w:rFonts w:ascii="Arial" w:hAnsi="Arial" w:cs="Arial"/>
                <w:b/>
              </w:rPr>
              <w:t>Numeracy</w:t>
            </w:r>
          </w:p>
        </w:tc>
        <w:tc>
          <w:tcPr>
            <w:tcW w:w="1203" w:type="dxa"/>
            <w:shd w:val="clear" w:color="auto" w:fill="A8D08D" w:themeFill="accent6" w:themeFillTint="99"/>
          </w:tcPr>
          <w:p w:rsidR="00FF7B0C" w:rsidRPr="00741F6B" w:rsidRDefault="00FF7B0C" w:rsidP="00FF7B0C">
            <w:pPr>
              <w:pStyle w:val="BodyText"/>
              <w:spacing w:after="0"/>
              <w:contextualSpacing/>
              <w:jc w:val="center"/>
              <w:rPr>
                <w:rFonts w:ascii="Arial" w:hAnsi="Arial" w:cs="Arial"/>
                <w:b/>
              </w:rPr>
            </w:pPr>
            <w:r w:rsidRPr="00741F6B">
              <w:rPr>
                <w:rFonts w:ascii="Arial" w:hAnsi="Arial" w:cs="Arial"/>
                <w:b/>
              </w:rPr>
              <w:t>2013</w:t>
            </w:r>
          </w:p>
        </w:tc>
        <w:tc>
          <w:tcPr>
            <w:tcW w:w="1203" w:type="dxa"/>
            <w:shd w:val="clear" w:color="auto" w:fill="FFD966" w:themeFill="accent4" w:themeFillTint="99"/>
          </w:tcPr>
          <w:p w:rsidR="00FF7B0C" w:rsidRPr="00741F6B" w:rsidRDefault="00FF7B0C" w:rsidP="00FF7B0C">
            <w:pPr>
              <w:pStyle w:val="BodyText"/>
              <w:spacing w:after="0"/>
              <w:contextualSpacing/>
              <w:jc w:val="center"/>
              <w:rPr>
                <w:rFonts w:ascii="Arial" w:hAnsi="Arial" w:cs="Arial"/>
                <w:b/>
              </w:rPr>
            </w:pPr>
            <w:r w:rsidRPr="00741F6B">
              <w:rPr>
                <w:rFonts w:ascii="Arial" w:hAnsi="Arial" w:cs="Arial"/>
                <w:b/>
              </w:rPr>
              <w:t>2014</w:t>
            </w:r>
          </w:p>
        </w:tc>
        <w:tc>
          <w:tcPr>
            <w:tcW w:w="1203" w:type="dxa"/>
            <w:shd w:val="clear" w:color="auto" w:fill="F4B083" w:themeFill="accent2" w:themeFillTint="99"/>
          </w:tcPr>
          <w:p w:rsidR="00FF7B0C" w:rsidRPr="00741F6B" w:rsidRDefault="00FF7B0C" w:rsidP="00FF7B0C">
            <w:pPr>
              <w:pStyle w:val="BodyText"/>
              <w:spacing w:after="0"/>
              <w:contextualSpacing/>
              <w:jc w:val="center"/>
              <w:rPr>
                <w:rFonts w:ascii="Arial" w:hAnsi="Arial" w:cs="Arial"/>
                <w:b/>
              </w:rPr>
            </w:pPr>
            <w:r w:rsidRPr="00741F6B">
              <w:rPr>
                <w:rFonts w:ascii="Arial" w:hAnsi="Arial" w:cs="Arial"/>
                <w:b/>
              </w:rPr>
              <w:t>2015</w:t>
            </w:r>
          </w:p>
        </w:tc>
        <w:tc>
          <w:tcPr>
            <w:tcW w:w="1203" w:type="dxa"/>
            <w:shd w:val="clear" w:color="auto" w:fill="8EAADB" w:themeFill="accent5" w:themeFillTint="99"/>
          </w:tcPr>
          <w:p w:rsidR="00FF7B0C" w:rsidRPr="00741F6B" w:rsidRDefault="00FF7B0C" w:rsidP="00FF7B0C">
            <w:pPr>
              <w:pStyle w:val="BodyText"/>
              <w:spacing w:after="0"/>
              <w:contextualSpacing/>
              <w:jc w:val="center"/>
              <w:rPr>
                <w:rFonts w:ascii="Arial" w:hAnsi="Arial" w:cs="Arial"/>
                <w:b/>
              </w:rPr>
            </w:pPr>
            <w:r w:rsidRPr="00741F6B">
              <w:rPr>
                <w:rFonts w:ascii="Arial" w:hAnsi="Arial" w:cs="Arial"/>
                <w:b/>
              </w:rPr>
              <w:t>2016</w:t>
            </w:r>
          </w:p>
        </w:tc>
        <w:tc>
          <w:tcPr>
            <w:tcW w:w="1203" w:type="dxa"/>
            <w:shd w:val="clear" w:color="auto" w:fill="FF6600"/>
          </w:tcPr>
          <w:p w:rsidR="00FF7B0C" w:rsidRPr="00741F6B" w:rsidRDefault="00FF7B0C" w:rsidP="00FF7B0C">
            <w:pPr>
              <w:pStyle w:val="BodyText"/>
              <w:spacing w:after="0"/>
              <w:contextualSpacing/>
              <w:jc w:val="center"/>
              <w:rPr>
                <w:rFonts w:ascii="Arial" w:hAnsi="Arial" w:cs="Arial"/>
                <w:b/>
              </w:rPr>
            </w:pPr>
            <w:r w:rsidRPr="00741F6B">
              <w:rPr>
                <w:rFonts w:ascii="Arial" w:hAnsi="Arial" w:cs="Arial"/>
                <w:b/>
              </w:rPr>
              <w:t>2017</w:t>
            </w:r>
          </w:p>
        </w:tc>
      </w:tr>
      <w:tr w:rsidR="00FF7B0C" w:rsidRPr="00741F6B" w:rsidTr="00741F6B">
        <w:tc>
          <w:tcPr>
            <w:tcW w:w="3227" w:type="dxa"/>
          </w:tcPr>
          <w:p w:rsidR="00FF7B0C" w:rsidRPr="00741F6B" w:rsidRDefault="00FF7B0C" w:rsidP="00FF7B0C">
            <w:pPr>
              <w:pStyle w:val="BodyText"/>
              <w:spacing w:after="0"/>
              <w:contextualSpacing/>
              <w:rPr>
                <w:rFonts w:ascii="Arial" w:hAnsi="Arial" w:cs="Arial"/>
              </w:rPr>
            </w:pPr>
            <w:r w:rsidRPr="00741F6B">
              <w:rPr>
                <w:rFonts w:ascii="Arial" w:hAnsi="Arial" w:cs="Arial"/>
              </w:rPr>
              <w:t>Less than expected growth %</w:t>
            </w:r>
          </w:p>
        </w:tc>
        <w:tc>
          <w:tcPr>
            <w:tcW w:w="1203" w:type="dxa"/>
            <w:shd w:val="clear" w:color="auto" w:fill="A8D08D" w:themeFill="accent6"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21</w:t>
            </w:r>
          </w:p>
        </w:tc>
        <w:tc>
          <w:tcPr>
            <w:tcW w:w="1203" w:type="dxa"/>
            <w:shd w:val="clear" w:color="auto" w:fill="FFD966" w:themeFill="accent4"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21</w:t>
            </w:r>
          </w:p>
        </w:tc>
        <w:tc>
          <w:tcPr>
            <w:tcW w:w="1203" w:type="dxa"/>
            <w:shd w:val="clear" w:color="auto" w:fill="F4B083" w:themeFill="accent2"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21</w:t>
            </w:r>
          </w:p>
        </w:tc>
        <w:tc>
          <w:tcPr>
            <w:tcW w:w="1203" w:type="dxa"/>
            <w:shd w:val="clear" w:color="auto" w:fill="8EAADB" w:themeFill="accent5"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14</w:t>
            </w:r>
          </w:p>
        </w:tc>
        <w:tc>
          <w:tcPr>
            <w:tcW w:w="1203" w:type="dxa"/>
            <w:shd w:val="clear" w:color="auto" w:fill="FF6600"/>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23</w:t>
            </w:r>
          </w:p>
        </w:tc>
      </w:tr>
      <w:tr w:rsidR="00FF7B0C" w:rsidRPr="00741F6B" w:rsidTr="00741F6B">
        <w:tc>
          <w:tcPr>
            <w:tcW w:w="3227" w:type="dxa"/>
          </w:tcPr>
          <w:p w:rsidR="00FF7B0C" w:rsidRPr="00741F6B" w:rsidRDefault="00FF7B0C" w:rsidP="00FF7B0C">
            <w:pPr>
              <w:pStyle w:val="BodyText"/>
              <w:spacing w:after="0"/>
              <w:contextualSpacing/>
              <w:rPr>
                <w:rFonts w:ascii="Arial" w:hAnsi="Arial" w:cs="Arial"/>
              </w:rPr>
            </w:pPr>
            <w:r w:rsidRPr="00741F6B">
              <w:rPr>
                <w:rFonts w:ascii="Arial" w:hAnsi="Arial" w:cs="Arial"/>
              </w:rPr>
              <w:t>Expected Growth %</w:t>
            </w:r>
          </w:p>
        </w:tc>
        <w:tc>
          <w:tcPr>
            <w:tcW w:w="1203" w:type="dxa"/>
            <w:shd w:val="clear" w:color="auto" w:fill="A8D08D" w:themeFill="accent6"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62</w:t>
            </w:r>
          </w:p>
        </w:tc>
        <w:tc>
          <w:tcPr>
            <w:tcW w:w="1203" w:type="dxa"/>
            <w:shd w:val="clear" w:color="auto" w:fill="FFD966" w:themeFill="accent4"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62</w:t>
            </w:r>
          </w:p>
        </w:tc>
        <w:tc>
          <w:tcPr>
            <w:tcW w:w="1203" w:type="dxa"/>
            <w:shd w:val="clear" w:color="auto" w:fill="F4B083" w:themeFill="accent2"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58</w:t>
            </w:r>
          </w:p>
        </w:tc>
        <w:tc>
          <w:tcPr>
            <w:tcW w:w="1203" w:type="dxa"/>
            <w:shd w:val="clear" w:color="auto" w:fill="8EAADB" w:themeFill="accent5"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52</w:t>
            </w:r>
          </w:p>
        </w:tc>
        <w:tc>
          <w:tcPr>
            <w:tcW w:w="1203" w:type="dxa"/>
            <w:shd w:val="clear" w:color="auto" w:fill="FF6600"/>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53</w:t>
            </w:r>
          </w:p>
        </w:tc>
      </w:tr>
      <w:tr w:rsidR="00FF7B0C" w:rsidRPr="00741F6B" w:rsidTr="00741F6B">
        <w:trPr>
          <w:trHeight w:val="266"/>
        </w:trPr>
        <w:tc>
          <w:tcPr>
            <w:tcW w:w="3227" w:type="dxa"/>
          </w:tcPr>
          <w:p w:rsidR="00FF7B0C" w:rsidRPr="00741F6B" w:rsidRDefault="00FF7B0C" w:rsidP="00FF7B0C">
            <w:pPr>
              <w:pStyle w:val="BodyText"/>
              <w:spacing w:after="0"/>
              <w:contextualSpacing/>
              <w:rPr>
                <w:rFonts w:ascii="Arial" w:hAnsi="Arial" w:cs="Arial"/>
              </w:rPr>
            </w:pPr>
            <w:r w:rsidRPr="00741F6B">
              <w:rPr>
                <w:rFonts w:ascii="Arial" w:hAnsi="Arial" w:cs="Arial"/>
              </w:rPr>
              <w:t>Better than expected growth %</w:t>
            </w:r>
          </w:p>
        </w:tc>
        <w:tc>
          <w:tcPr>
            <w:tcW w:w="1203" w:type="dxa"/>
            <w:shd w:val="clear" w:color="auto" w:fill="A8D08D" w:themeFill="accent6"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17</w:t>
            </w:r>
          </w:p>
        </w:tc>
        <w:tc>
          <w:tcPr>
            <w:tcW w:w="1203" w:type="dxa"/>
            <w:shd w:val="clear" w:color="auto" w:fill="FFD966" w:themeFill="accent4"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18</w:t>
            </w:r>
          </w:p>
        </w:tc>
        <w:tc>
          <w:tcPr>
            <w:tcW w:w="1203" w:type="dxa"/>
            <w:shd w:val="clear" w:color="auto" w:fill="F4B083" w:themeFill="accent2"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21</w:t>
            </w:r>
          </w:p>
        </w:tc>
        <w:tc>
          <w:tcPr>
            <w:tcW w:w="1203" w:type="dxa"/>
            <w:shd w:val="clear" w:color="auto" w:fill="8EAADB" w:themeFill="accent5" w:themeFillTint="99"/>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33</w:t>
            </w:r>
          </w:p>
        </w:tc>
        <w:tc>
          <w:tcPr>
            <w:tcW w:w="1203" w:type="dxa"/>
            <w:shd w:val="clear" w:color="auto" w:fill="FF6600"/>
          </w:tcPr>
          <w:p w:rsidR="00FF7B0C" w:rsidRPr="00741F6B" w:rsidRDefault="00FF7B0C" w:rsidP="00FF7B0C">
            <w:pPr>
              <w:pStyle w:val="BodyText"/>
              <w:spacing w:after="0"/>
              <w:contextualSpacing/>
              <w:jc w:val="center"/>
              <w:rPr>
                <w:rFonts w:ascii="Arial" w:hAnsi="Arial" w:cs="Arial"/>
              </w:rPr>
            </w:pPr>
            <w:r w:rsidRPr="00741F6B">
              <w:rPr>
                <w:rFonts w:ascii="Arial" w:hAnsi="Arial" w:cs="Arial"/>
              </w:rPr>
              <w:t>25 (88)</w:t>
            </w:r>
          </w:p>
        </w:tc>
      </w:tr>
    </w:tbl>
    <w:p w:rsidR="00FF7B0C" w:rsidRPr="00741F6B" w:rsidRDefault="00FF7B0C" w:rsidP="00FF7B0C">
      <w:pPr>
        <w:pStyle w:val="BodyText"/>
        <w:rPr>
          <w:rFonts w:ascii="Arial" w:hAnsi="Arial" w:cs="Arial"/>
          <w:lang w:val="en-AU"/>
        </w:rPr>
      </w:pPr>
    </w:p>
    <w:p w:rsidR="00C1064B" w:rsidRDefault="00FF7B0C" w:rsidP="00FF7B0C">
      <w:pPr>
        <w:pStyle w:val="BodyText"/>
        <w:rPr>
          <w:rFonts w:ascii="Arial" w:hAnsi="Arial" w:cs="Arial"/>
          <w:lang w:val="en-AU"/>
        </w:rPr>
      </w:pPr>
      <w:r w:rsidRPr="00741F6B">
        <w:rPr>
          <w:rFonts w:ascii="Arial" w:hAnsi="Arial" w:cs="Arial"/>
          <w:lang w:val="en-AU"/>
        </w:rPr>
        <w:t>Initially the school identified the</w:t>
      </w:r>
      <w:r w:rsidR="00741F6B" w:rsidRPr="00741F6B">
        <w:rPr>
          <w:rFonts w:ascii="Arial" w:hAnsi="Arial" w:cs="Arial"/>
          <w:lang w:val="en-AU"/>
        </w:rPr>
        <w:t xml:space="preserve"> use of a school based Writing a</w:t>
      </w:r>
      <w:r w:rsidRPr="00741F6B">
        <w:rPr>
          <w:rFonts w:ascii="Arial" w:hAnsi="Arial" w:cs="Arial"/>
          <w:lang w:val="en-AU"/>
        </w:rPr>
        <w:t>ssessment tool</w:t>
      </w:r>
      <w:r w:rsidR="00741F6B" w:rsidRPr="00741F6B">
        <w:rPr>
          <w:rFonts w:ascii="Arial" w:hAnsi="Arial" w:cs="Arial"/>
          <w:lang w:val="en-AU"/>
        </w:rPr>
        <w:t xml:space="preserve"> to set a target.  </w:t>
      </w:r>
      <w:r w:rsidR="00D66537">
        <w:rPr>
          <w:rFonts w:ascii="Arial" w:hAnsi="Arial" w:cs="Arial"/>
          <w:lang w:val="en-AU"/>
        </w:rPr>
        <w:t>Because a decision regarding a sc</w:t>
      </w:r>
      <w:r w:rsidR="00A20114">
        <w:rPr>
          <w:rFonts w:ascii="Arial" w:hAnsi="Arial" w:cs="Arial"/>
          <w:lang w:val="en-AU"/>
        </w:rPr>
        <w:t>hool writing assessment tool had</w:t>
      </w:r>
      <w:r w:rsidR="00D66537">
        <w:rPr>
          <w:rFonts w:ascii="Arial" w:hAnsi="Arial" w:cs="Arial"/>
          <w:lang w:val="en-AU"/>
        </w:rPr>
        <w:t xml:space="preserve"> not been </w:t>
      </w:r>
      <w:r w:rsidR="00E140EC">
        <w:rPr>
          <w:rFonts w:ascii="Arial" w:hAnsi="Arial" w:cs="Arial"/>
          <w:lang w:val="en-AU"/>
        </w:rPr>
        <w:t>finalised</w:t>
      </w:r>
      <w:r w:rsidR="00D66537">
        <w:rPr>
          <w:rFonts w:ascii="Arial" w:hAnsi="Arial" w:cs="Arial"/>
          <w:lang w:val="en-AU"/>
        </w:rPr>
        <w:t xml:space="preserve"> i</w:t>
      </w:r>
      <w:r w:rsidR="00741F6B" w:rsidRPr="00741F6B">
        <w:rPr>
          <w:rFonts w:ascii="Arial" w:hAnsi="Arial" w:cs="Arial"/>
          <w:lang w:val="en-AU"/>
        </w:rPr>
        <w:t>t was decided t</w:t>
      </w:r>
      <w:r w:rsidR="00D66537">
        <w:rPr>
          <w:rFonts w:ascii="Arial" w:hAnsi="Arial" w:cs="Arial"/>
          <w:lang w:val="en-AU"/>
        </w:rPr>
        <w:t>o use the NAPLAN results</w:t>
      </w:r>
      <w:r w:rsidR="00E140EC">
        <w:rPr>
          <w:rFonts w:ascii="Arial" w:hAnsi="Arial" w:cs="Arial"/>
          <w:lang w:val="en-AU"/>
        </w:rPr>
        <w:t xml:space="preserve"> instead</w:t>
      </w:r>
      <w:r w:rsidR="00741F6B" w:rsidRPr="00741F6B">
        <w:rPr>
          <w:rFonts w:ascii="Arial" w:hAnsi="Arial" w:cs="Arial"/>
          <w:lang w:val="en-AU"/>
        </w:rPr>
        <w:t xml:space="preserve">.  </w:t>
      </w:r>
    </w:p>
    <w:p w:rsidR="00FF7B0C" w:rsidRPr="00741F6B" w:rsidRDefault="00741F6B" w:rsidP="00FF7B0C">
      <w:pPr>
        <w:pStyle w:val="BodyText"/>
        <w:rPr>
          <w:rFonts w:ascii="Arial" w:hAnsi="Arial" w:cs="Arial"/>
          <w:lang w:val="en-AU"/>
        </w:rPr>
      </w:pPr>
      <w:r w:rsidRPr="00741F6B">
        <w:rPr>
          <w:rFonts w:ascii="Arial" w:hAnsi="Arial" w:cs="Arial"/>
          <w:lang w:val="en-AU"/>
        </w:rPr>
        <w:t>55 percent</w:t>
      </w:r>
      <w:r w:rsidR="00FF7B0C" w:rsidRPr="00741F6B">
        <w:rPr>
          <w:rFonts w:ascii="Arial" w:hAnsi="Arial" w:cs="Arial"/>
          <w:lang w:val="en-AU"/>
        </w:rPr>
        <w:t xml:space="preserve"> of students achieve</w:t>
      </w:r>
      <w:r w:rsidRPr="00741F6B">
        <w:rPr>
          <w:rFonts w:ascii="Arial" w:hAnsi="Arial" w:cs="Arial"/>
          <w:lang w:val="en-AU"/>
        </w:rPr>
        <w:t>d</w:t>
      </w:r>
      <w:r w:rsidR="00FF7B0C" w:rsidRPr="00741F6B">
        <w:rPr>
          <w:rFonts w:ascii="Arial" w:hAnsi="Arial" w:cs="Arial"/>
          <w:lang w:val="en-AU"/>
        </w:rPr>
        <w:t xml:space="preserve"> expected growth in Writing </w:t>
      </w:r>
      <w:r w:rsidRPr="00741F6B">
        <w:rPr>
          <w:rFonts w:ascii="Arial" w:hAnsi="Arial" w:cs="Arial"/>
          <w:lang w:val="en-AU"/>
        </w:rPr>
        <w:t xml:space="preserve">in 2017, 10 percent lower than the target.  </w:t>
      </w:r>
      <w:r w:rsidR="00C1064B">
        <w:rPr>
          <w:rFonts w:ascii="Arial" w:hAnsi="Arial" w:cs="Arial"/>
          <w:lang w:val="en-AU"/>
        </w:rPr>
        <w:t>A similar</w:t>
      </w:r>
      <w:r w:rsidRPr="00741F6B">
        <w:rPr>
          <w:rFonts w:ascii="Arial" w:hAnsi="Arial" w:cs="Arial"/>
          <w:lang w:val="en-AU"/>
        </w:rPr>
        <w:t xml:space="preserve"> result occurred against the target of 80 percent of students achieving at least 60 percent</w:t>
      </w:r>
      <w:r w:rsidR="00FF7B0C" w:rsidRPr="00741F6B">
        <w:rPr>
          <w:rFonts w:ascii="Arial" w:hAnsi="Arial" w:cs="Arial"/>
          <w:lang w:val="en-AU"/>
        </w:rPr>
        <w:t xml:space="preserve"> of expected growth</w:t>
      </w:r>
      <w:r w:rsidRPr="00741F6B">
        <w:rPr>
          <w:rFonts w:ascii="Arial" w:hAnsi="Arial" w:cs="Arial"/>
          <w:lang w:val="en-AU"/>
        </w:rPr>
        <w:t>.  The result was 70 percent</w:t>
      </w:r>
      <w:r w:rsidR="00C1064B">
        <w:rPr>
          <w:rFonts w:ascii="Arial" w:hAnsi="Arial" w:cs="Arial"/>
          <w:lang w:val="en-AU"/>
        </w:rPr>
        <w:t xml:space="preserve"> achieving 60 percent of expected growth</w:t>
      </w:r>
      <w:r w:rsidRPr="00741F6B">
        <w:rPr>
          <w:rFonts w:ascii="Arial" w:hAnsi="Arial" w:cs="Arial"/>
          <w:lang w:val="en-AU"/>
        </w:rPr>
        <w:t>, again 10 percent short of the target.</w:t>
      </w:r>
      <w:r w:rsidR="00C1064B">
        <w:rPr>
          <w:rFonts w:ascii="Arial" w:hAnsi="Arial" w:cs="Arial"/>
          <w:lang w:val="en-AU"/>
        </w:rPr>
        <w:t xml:space="preserve"> Analysis has occurred regarding the reasons for the shortfall and measures planned to improve performance against targets in future.</w:t>
      </w:r>
    </w:p>
    <w:p w:rsidR="00FF7B0C" w:rsidRDefault="00FF7B0C" w:rsidP="00780083">
      <w:pPr>
        <w:pStyle w:val="BodyText"/>
      </w:pPr>
    </w:p>
    <w:p w:rsidR="00FF7B0C" w:rsidRDefault="00FF7B0C" w:rsidP="00780083">
      <w:pPr>
        <w:pStyle w:val="BodyText"/>
      </w:pPr>
    </w:p>
    <w:p w:rsidR="00780083" w:rsidRPr="00780083" w:rsidRDefault="00780083" w:rsidP="00780083">
      <w:pPr>
        <w:pStyle w:val="BodyText"/>
      </w:pPr>
    </w:p>
    <w:p w:rsidR="00780083" w:rsidRDefault="00780083" w:rsidP="00545ADC">
      <w:pPr>
        <w:pStyle w:val="Heading2"/>
      </w:pPr>
    </w:p>
    <w:p w:rsidR="00780083" w:rsidRDefault="00780083" w:rsidP="00545ADC">
      <w:pPr>
        <w:pStyle w:val="Heading2"/>
      </w:pPr>
    </w:p>
    <w:p w:rsidR="00780083" w:rsidRDefault="00780083" w:rsidP="00545ADC">
      <w:pPr>
        <w:pStyle w:val="Heading2"/>
      </w:pPr>
    </w:p>
    <w:p w:rsidR="00741F6B" w:rsidRDefault="00741F6B">
      <w:pPr>
        <w:spacing w:line="240" w:lineRule="auto"/>
        <w:rPr>
          <w:rFonts w:ascii="Arial" w:eastAsia="Times New Roman" w:hAnsi="Arial" w:cs="Arial"/>
          <w:bCs/>
          <w:color w:val="000000" w:themeColor="text1"/>
          <w:sz w:val="32"/>
          <w:szCs w:val="28"/>
          <w:lang w:val="x-none" w:eastAsia="x-none"/>
        </w:rPr>
      </w:pPr>
      <w:r>
        <w:br w:type="page"/>
      </w:r>
    </w:p>
    <w:p w:rsidR="00545ADC" w:rsidRPr="00545ADC" w:rsidRDefault="00545ADC" w:rsidP="00545ADC">
      <w:pPr>
        <w:pStyle w:val="Heading2"/>
      </w:pPr>
      <w:r w:rsidRPr="00545ADC">
        <w:lastRenderedPageBreak/>
        <w:t>Priority</w:t>
      </w:r>
      <w:r>
        <w:t xml:space="preserve"> 2</w:t>
      </w:r>
    </w:p>
    <w:p w:rsidR="00545ADC" w:rsidRPr="00545ADC" w:rsidRDefault="00545ADC" w:rsidP="00545ADC">
      <w:pPr>
        <w:pStyle w:val="Heading2"/>
        <w:spacing w:before="0" w:after="0"/>
        <w:contextualSpacing/>
        <w:rPr>
          <w:rStyle w:val="Strong"/>
          <w:b w:val="0"/>
          <w:i w:val="0"/>
        </w:rPr>
      </w:pPr>
      <w:r w:rsidRPr="00545ADC">
        <w:rPr>
          <w:rStyle w:val="Strong"/>
          <w:b w:val="0"/>
          <w:i w:val="0"/>
        </w:rPr>
        <w:t>Enhance student’s sense of satisfaction, enjoyment of learning and sense of wellbeing.</w:t>
      </w:r>
    </w:p>
    <w:p w:rsidR="00545ADC" w:rsidRPr="00545ADC" w:rsidRDefault="00545ADC" w:rsidP="00545ADC">
      <w:pPr>
        <w:pStyle w:val="Heading3"/>
      </w:pPr>
      <w:r w:rsidRPr="00545ADC">
        <w:t>Targets</w:t>
      </w:r>
    </w:p>
    <w:p w:rsidR="00545ADC" w:rsidRPr="00545ADC" w:rsidRDefault="00545ADC" w:rsidP="00545ADC">
      <w:pPr>
        <w:numPr>
          <w:ilvl w:val="0"/>
          <w:numId w:val="1"/>
        </w:numPr>
        <w:spacing w:line="240" w:lineRule="auto"/>
        <w:ind w:left="360"/>
        <w:contextualSpacing/>
        <w:textAlignment w:val="baseline"/>
        <w:rPr>
          <w:rFonts w:ascii="Arial" w:eastAsia="Times New Roman" w:hAnsi="Arial" w:cs="Arial"/>
          <w:sz w:val="24"/>
          <w:szCs w:val="24"/>
          <w:lang w:eastAsia="en-AU"/>
        </w:rPr>
      </w:pPr>
      <w:r w:rsidRPr="00545ADC">
        <w:rPr>
          <w:rFonts w:ascii="Arial" w:eastAsia="Times New Roman" w:hAnsi="Arial" w:cs="Arial"/>
          <w:sz w:val="24"/>
          <w:szCs w:val="24"/>
          <w:lang w:eastAsia="en-AU"/>
        </w:rPr>
        <w:t xml:space="preserve">80 </w:t>
      </w:r>
      <w:r>
        <w:rPr>
          <w:rFonts w:ascii="Arial" w:eastAsia="Times New Roman" w:hAnsi="Arial" w:cs="Arial"/>
          <w:sz w:val="24"/>
          <w:szCs w:val="24"/>
          <w:lang w:eastAsia="en-AU"/>
        </w:rPr>
        <w:t>percent</w:t>
      </w:r>
      <w:r w:rsidRPr="00545ADC">
        <w:rPr>
          <w:rFonts w:ascii="Arial" w:eastAsia="Times New Roman" w:hAnsi="Arial" w:cs="Arial"/>
          <w:sz w:val="24"/>
          <w:szCs w:val="24"/>
          <w:lang w:eastAsia="en-AU"/>
        </w:rPr>
        <w:t xml:space="preserve"> positive responses to the statement </w:t>
      </w:r>
      <w:r w:rsidRPr="00545ADC">
        <w:rPr>
          <w:rFonts w:ascii="Arial" w:eastAsia="Times New Roman" w:hAnsi="Arial" w:cs="Arial"/>
          <w:b/>
          <w:i/>
          <w:sz w:val="24"/>
          <w:szCs w:val="24"/>
          <w:lang w:eastAsia="en-AU"/>
        </w:rPr>
        <w:t>‘Teachers at my school treat students fairly’</w:t>
      </w:r>
      <w:r w:rsidRPr="00545ADC">
        <w:rPr>
          <w:rFonts w:ascii="Arial" w:eastAsia="Times New Roman" w:hAnsi="Arial" w:cs="Arial"/>
          <w:b/>
          <w:sz w:val="24"/>
          <w:szCs w:val="24"/>
          <w:lang w:eastAsia="en-AU"/>
        </w:rPr>
        <w:t xml:space="preserve"> </w:t>
      </w:r>
      <w:r w:rsidRPr="00545ADC">
        <w:rPr>
          <w:rFonts w:ascii="Arial" w:eastAsia="Times New Roman" w:hAnsi="Arial" w:cs="Arial"/>
          <w:sz w:val="24"/>
          <w:szCs w:val="24"/>
          <w:lang w:eastAsia="en-AU"/>
        </w:rPr>
        <w:t>within the Gordon Primary Year 3-6 Student Satisfaction Survey having improved from a 76</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positive response in 2016</w:t>
      </w:r>
    </w:p>
    <w:p w:rsidR="00545ADC" w:rsidRPr="00545ADC" w:rsidRDefault="00545ADC" w:rsidP="00545ADC">
      <w:pPr>
        <w:numPr>
          <w:ilvl w:val="0"/>
          <w:numId w:val="1"/>
        </w:numPr>
        <w:spacing w:line="240" w:lineRule="auto"/>
        <w:ind w:left="360"/>
        <w:contextualSpacing/>
        <w:textAlignment w:val="baseline"/>
        <w:rPr>
          <w:rFonts w:ascii="Arial" w:eastAsia="Times New Roman" w:hAnsi="Arial" w:cs="Arial"/>
          <w:sz w:val="24"/>
          <w:szCs w:val="24"/>
          <w:lang w:eastAsia="en-AU"/>
        </w:rPr>
      </w:pPr>
      <w:r>
        <w:rPr>
          <w:rFonts w:ascii="Arial" w:eastAsia="Times New Roman" w:hAnsi="Arial" w:cs="Arial"/>
          <w:sz w:val="24"/>
          <w:szCs w:val="24"/>
          <w:lang w:eastAsia="en-AU"/>
        </w:rPr>
        <w:t>75 percent</w:t>
      </w:r>
      <w:r w:rsidRPr="00545ADC">
        <w:rPr>
          <w:rFonts w:ascii="Arial" w:eastAsia="Times New Roman" w:hAnsi="Arial" w:cs="Arial"/>
          <w:sz w:val="24"/>
          <w:szCs w:val="24"/>
          <w:lang w:eastAsia="en-AU"/>
        </w:rPr>
        <w:t xml:space="preserve"> positive responses to the statement </w:t>
      </w:r>
      <w:r w:rsidRPr="00545ADC">
        <w:rPr>
          <w:rFonts w:ascii="Arial" w:eastAsia="Times New Roman" w:hAnsi="Arial" w:cs="Arial"/>
          <w:b/>
          <w:i/>
          <w:sz w:val="24"/>
          <w:szCs w:val="24"/>
          <w:lang w:eastAsia="en-AU"/>
        </w:rPr>
        <w:t>‘I feel safe at School’</w:t>
      </w:r>
      <w:r w:rsidRPr="00545ADC">
        <w:rPr>
          <w:rFonts w:ascii="Arial" w:eastAsia="Times New Roman" w:hAnsi="Arial" w:cs="Arial"/>
          <w:sz w:val="24"/>
          <w:szCs w:val="24"/>
          <w:lang w:eastAsia="en-AU"/>
        </w:rPr>
        <w:t xml:space="preserve"> within the Gordon Primary Year 3-6 Student Satisfaction Survey having improved from a 70</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positive response in 2016</w:t>
      </w:r>
    </w:p>
    <w:p w:rsidR="00545ADC" w:rsidRPr="00545ADC" w:rsidRDefault="00545ADC" w:rsidP="00545ADC">
      <w:pPr>
        <w:numPr>
          <w:ilvl w:val="0"/>
          <w:numId w:val="1"/>
        </w:numPr>
        <w:spacing w:line="240" w:lineRule="auto"/>
        <w:ind w:left="360"/>
        <w:contextualSpacing/>
        <w:textAlignment w:val="baseline"/>
        <w:rPr>
          <w:rFonts w:ascii="Arial" w:eastAsia="Times New Roman" w:hAnsi="Arial" w:cs="Arial"/>
          <w:sz w:val="24"/>
          <w:szCs w:val="24"/>
          <w:lang w:eastAsia="en-AU"/>
        </w:rPr>
      </w:pPr>
      <w:r w:rsidRPr="00545ADC">
        <w:rPr>
          <w:rFonts w:ascii="Arial" w:eastAsia="Times New Roman" w:hAnsi="Arial" w:cs="Arial"/>
          <w:sz w:val="24"/>
          <w:szCs w:val="24"/>
          <w:lang w:eastAsia="en-AU"/>
        </w:rPr>
        <w:t xml:space="preserve">75 </w:t>
      </w:r>
      <w:r>
        <w:rPr>
          <w:rFonts w:ascii="Arial" w:eastAsia="Times New Roman" w:hAnsi="Arial" w:cs="Arial"/>
          <w:sz w:val="24"/>
          <w:szCs w:val="24"/>
          <w:lang w:eastAsia="en-AU"/>
        </w:rPr>
        <w:t>percent</w:t>
      </w:r>
      <w:r w:rsidRPr="00545ADC">
        <w:rPr>
          <w:rFonts w:ascii="Arial" w:eastAsia="Times New Roman" w:hAnsi="Arial" w:cs="Arial"/>
          <w:sz w:val="24"/>
          <w:szCs w:val="24"/>
          <w:lang w:eastAsia="en-AU"/>
        </w:rPr>
        <w:t xml:space="preserve"> positive responses to the statement </w:t>
      </w:r>
      <w:r w:rsidRPr="00545ADC">
        <w:rPr>
          <w:rFonts w:ascii="Arial" w:eastAsia="Times New Roman" w:hAnsi="Arial" w:cs="Arial"/>
          <w:b/>
          <w:i/>
          <w:sz w:val="24"/>
          <w:szCs w:val="24"/>
          <w:lang w:eastAsia="en-AU"/>
        </w:rPr>
        <w:t>‘I can talk to teachers about my concerns’</w:t>
      </w:r>
      <w:r w:rsidRPr="00545ADC">
        <w:rPr>
          <w:rFonts w:ascii="Arial" w:eastAsia="Times New Roman" w:hAnsi="Arial" w:cs="Arial"/>
          <w:sz w:val="24"/>
          <w:szCs w:val="24"/>
          <w:lang w:eastAsia="en-AU"/>
        </w:rPr>
        <w:t xml:space="preserve"> within the Gordon Primary Year 3-6 Student Satisfaction Survey having improved from a 67</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positive response in 2016</w:t>
      </w:r>
    </w:p>
    <w:p w:rsidR="00545ADC" w:rsidRPr="00545ADC" w:rsidRDefault="00545ADC" w:rsidP="00545ADC">
      <w:pPr>
        <w:numPr>
          <w:ilvl w:val="0"/>
          <w:numId w:val="1"/>
        </w:numPr>
        <w:spacing w:line="240" w:lineRule="auto"/>
        <w:ind w:left="360"/>
        <w:contextualSpacing/>
        <w:textAlignment w:val="baseline"/>
        <w:rPr>
          <w:rFonts w:ascii="Arial" w:eastAsia="Times New Roman" w:hAnsi="Arial" w:cs="Arial"/>
          <w:sz w:val="24"/>
          <w:szCs w:val="24"/>
          <w:lang w:eastAsia="en-AU"/>
        </w:rPr>
      </w:pPr>
      <w:r w:rsidRPr="00545ADC">
        <w:rPr>
          <w:rFonts w:ascii="Arial" w:eastAsia="Times New Roman" w:hAnsi="Arial" w:cs="Arial"/>
          <w:sz w:val="24"/>
          <w:szCs w:val="24"/>
          <w:lang w:eastAsia="en-AU"/>
        </w:rPr>
        <w:t>50</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positive responses to the statement </w:t>
      </w:r>
      <w:r w:rsidRPr="00545ADC">
        <w:rPr>
          <w:rFonts w:ascii="Arial" w:eastAsia="Times New Roman" w:hAnsi="Arial" w:cs="Arial"/>
          <w:b/>
          <w:i/>
          <w:sz w:val="24"/>
          <w:szCs w:val="24"/>
          <w:lang w:eastAsia="en-AU"/>
        </w:rPr>
        <w:t>‘Student behaviour is well managed’</w:t>
      </w:r>
      <w:r w:rsidRPr="00545ADC">
        <w:rPr>
          <w:rFonts w:ascii="Arial" w:eastAsia="Times New Roman" w:hAnsi="Arial" w:cs="Arial"/>
          <w:sz w:val="24"/>
          <w:szCs w:val="24"/>
          <w:lang w:eastAsia="en-AU"/>
        </w:rPr>
        <w:t xml:space="preserve"> within the Gordon Primary Year 3-6 Student Satisfaction Survey having improved from a 31</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positive response in 2016</w:t>
      </w:r>
    </w:p>
    <w:p w:rsidR="00545ADC" w:rsidRPr="00545ADC" w:rsidRDefault="00545ADC" w:rsidP="00545ADC">
      <w:pPr>
        <w:numPr>
          <w:ilvl w:val="0"/>
          <w:numId w:val="1"/>
        </w:numPr>
        <w:spacing w:line="240" w:lineRule="auto"/>
        <w:ind w:left="360"/>
        <w:contextualSpacing/>
        <w:textAlignment w:val="baseline"/>
        <w:rPr>
          <w:rFonts w:ascii="Arial" w:eastAsia="Times New Roman" w:hAnsi="Arial" w:cs="Arial"/>
          <w:sz w:val="24"/>
          <w:szCs w:val="24"/>
          <w:lang w:eastAsia="en-AU"/>
        </w:rPr>
      </w:pPr>
      <w:r>
        <w:rPr>
          <w:rFonts w:ascii="Arial" w:eastAsia="Times New Roman" w:hAnsi="Arial" w:cs="Arial"/>
          <w:sz w:val="24"/>
          <w:szCs w:val="24"/>
          <w:lang w:eastAsia="en-AU"/>
        </w:rPr>
        <w:t>80 percent</w:t>
      </w:r>
      <w:r w:rsidRPr="00545ADC">
        <w:rPr>
          <w:rFonts w:ascii="Arial" w:eastAsia="Times New Roman" w:hAnsi="Arial" w:cs="Arial"/>
          <w:sz w:val="24"/>
          <w:szCs w:val="24"/>
          <w:lang w:eastAsia="en-AU"/>
        </w:rPr>
        <w:t xml:space="preserve"> positive responses to the statement </w:t>
      </w:r>
      <w:r w:rsidRPr="00545ADC">
        <w:rPr>
          <w:rFonts w:ascii="Arial" w:eastAsia="Times New Roman" w:hAnsi="Arial" w:cs="Arial"/>
          <w:b/>
          <w:i/>
          <w:sz w:val="24"/>
          <w:szCs w:val="24"/>
          <w:lang w:eastAsia="en-AU"/>
        </w:rPr>
        <w:t>‘I like being at school’</w:t>
      </w:r>
      <w:r w:rsidRPr="00545ADC">
        <w:rPr>
          <w:rFonts w:ascii="Arial" w:eastAsia="Times New Roman" w:hAnsi="Arial" w:cs="Arial"/>
          <w:sz w:val="24"/>
          <w:szCs w:val="24"/>
          <w:lang w:eastAsia="en-AU"/>
        </w:rPr>
        <w:t xml:space="preserve"> within the Gordon Primary Year 3-6 Student Satisfaction Survey having improved from a 72</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positive response in 2016</w:t>
      </w:r>
    </w:p>
    <w:p w:rsidR="00545ADC" w:rsidRPr="00545ADC" w:rsidRDefault="00545ADC" w:rsidP="00545ADC">
      <w:pPr>
        <w:numPr>
          <w:ilvl w:val="0"/>
          <w:numId w:val="1"/>
        </w:numPr>
        <w:spacing w:line="240" w:lineRule="auto"/>
        <w:ind w:left="360"/>
        <w:contextualSpacing/>
        <w:textAlignment w:val="baseline"/>
        <w:rPr>
          <w:rFonts w:ascii="Arial" w:eastAsia="Times New Roman" w:hAnsi="Arial" w:cs="Arial"/>
          <w:sz w:val="24"/>
          <w:szCs w:val="24"/>
          <w:lang w:eastAsia="en-AU"/>
        </w:rPr>
      </w:pPr>
      <w:r w:rsidRPr="00545ADC">
        <w:rPr>
          <w:rFonts w:ascii="Arial" w:eastAsia="Times New Roman" w:hAnsi="Arial" w:cs="Arial"/>
          <w:sz w:val="24"/>
          <w:szCs w:val="24"/>
          <w:lang w:eastAsia="en-AU"/>
        </w:rPr>
        <w:t xml:space="preserve">75 </w:t>
      </w:r>
      <w:r>
        <w:rPr>
          <w:rFonts w:ascii="Arial" w:eastAsia="Times New Roman" w:hAnsi="Arial" w:cs="Arial"/>
          <w:sz w:val="24"/>
          <w:szCs w:val="24"/>
          <w:lang w:eastAsia="en-AU"/>
        </w:rPr>
        <w:t>percent</w:t>
      </w:r>
      <w:r w:rsidRPr="00545ADC">
        <w:rPr>
          <w:rFonts w:ascii="Arial" w:eastAsia="Times New Roman" w:hAnsi="Arial" w:cs="Arial"/>
          <w:sz w:val="24"/>
          <w:szCs w:val="24"/>
          <w:lang w:eastAsia="en-AU"/>
        </w:rPr>
        <w:t xml:space="preserve"> positive responses to the statement </w:t>
      </w:r>
      <w:r w:rsidRPr="00545ADC">
        <w:rPr>
          <w:rFonts w:ascii="Arial" w:eastAsia="Times New Roman" w:hAnsi="Arial" w:cs="Arial"/>
          <w:b/>
          <w:i/>
          <w:sz w:val="24"/>
          <w:szCs w:val="24"/>
          <w:lang w:eastAsia="en-AU"/>
        </w:rPr>
        <w:t>‘The school celebrates the achievements of students’</w:t>
      </w:r>
      <w:r w:rsidRPr="00545ADC">
        <w:rPr>
          <w:rFonts w:ascii="Arial" w:eastAsia="Times New Roman" w:hAnsi="Arial" w:cs="Arial"/>
          <w:b/>
          <w:sz w:val="24"/>
          <w:szCs w:val="24"/>
          <w:lang w:eastAsia="en-AU"/>
        </w:rPr>
        <w:t xml:space="preserve"> </w:t>
      </w:r>
      <w:r w:rsidRPr="00545ADC">
        <w:rPr>
          <w:rFonts w:ascii="Arial" w:eastAsia="Times New Roman" w:hAnsi="Arial" w:cs="Arial"/>
          <w:sz w:val="24"/>
          <w:szCs w:val="24"/>
          <w:lang w:eastAsia="en-AU"/>
        </w:rPr>
        <w:t>within the Gordon Primary Year 3-6 Student Satisfaction Survey having improved from a 70</w:t>
      </w:r>
      <w:r>
        <w:rPr>
          <w:rFonts w:ascii="Arial" w:eastAsia="Times New Roman" w:hAnsi="Arial" w:cs="Arial"/>
          <w:sz w:val="24"/>
          <w:szCs w:val="24"/>
          <w:lang w:eastAsia="en-AU"/>
        </w:rPr>
        <w:t xml:space="preserve"> percent</w:t>
      </w:r>
      <w:r w:rsidRPr="00545ADC">
        <w:rPr>
          <w:rFonts w:ascii="Arial" w:eastAsia="Times New Roman" w:hAnsi="Arial" w:cs="Arial"/>
          <w:sz w:val="24"/>
          <w:szCs w:val="24"/>
          <w:lang w:eastAsia="en-AU"/>
        </w:rPr>
        <w:t xml:space="preserve"> positive response in 2016</w:t>
      </w:r>
    </w:p>
    <w:p w:rsidR="00545ADC" w:rsidRPr="00545ADC" w:rsidRDefault="00545ADC" w:rsidP="00545ADC">
      <w:pPr>
        <w:spacing w:line="240" w:lineRule="auto"/>
        <w:ind w:left="360"/>
        <w:contextualSpacing/>
        <w:textAlignment w:val="baseline"/>
        <w:rPr>
          <w:rFonts w:ascii="Arial" w:eastAsia="Times New Roman" w:hAnsi="Arial" w:cs="Arial"/>
          <w:sz w:val="24"/>
          <w:szCs w:val="24"/>
          <w:lang w:eastAsia="en-AU"/>
        </w:rPr>
      </w:pPr>
    </w:p>
    <w:p w:rsidR="00545ADC" w:rsidRPr="00545ADC" w:rsidRDefault="00545ADC" w:rsidP="00545ADC">
      <w:pPr>
        <w:pStyle w:val="Heading4"/>
        <w:rPr>
          <w:sz w:val="28"/>
        </w:rPr>
      </w:pPr>
      <w:r w:rsidRPr="00545ADC">
        <w:rPr>
          <w:sz w:val="28"/>
        </w:rPr>
        <w:t>Progress</w:t>
      </w:r>
    </w:p>
    <w:p w:rsidR="00545ADC" w:rsidRPr="00741F6B" w:rsidRDefault="00545ADC" w:rsidP="00741F6B">
      <w:pPr>
        <w:pStyle w:val="Heading4"/>
        <w:spacing w:before="0" w:after="0"/>
        <w:contextualSpacing/>
        <w:rPr>
          <w:lang w:val="en-US" w:eastAsia="en-US"/>
        </w:rPr>
      </w:pPr>
      <w:r w:rsidRPr="00741F6B">
        <w:rPr>
          <w:lang w:val="en-US" w:eastAsia="en-US"/>
        </w:rPr>
        <w:t xml:space="preserve">To </w:t>
      </w:r>
      <w:r w:rsidRPr="00741F6B">
        <w:rPr>
          <w:b/>
          <w:lang w:val="en-US" w:eastAsia="en-US"/>
        </w:rPr>
        <w:t xml:space="preserve">plan for the explicit teaching and learning of social skills, values and Choice Theory concepts for all students was </w:t>
      </w:r>
      <w:r w:rsidR="0047212D" w:rsidRPr="00741F6B">
        <w:rPr>
          <w:b/>
          <w:lang w:val="en-US" w:eastAsia="en-US"/>
        </w:rPr>
        <w:t>an important strategy</w:t>
      </w:r>
      <w:r w:rsidR="0047212D" w:rsidRPr="00741F6B">
        <w:rPr>
          <w:lang w:val="en-US" w:eastAsia="en-US"/>
        </w:rPr>
        <w:t xml:space="preserve">. </w:t>
      </w:r>
      <w:r w:rsidRPr="00741F6B">
        <w:t>The first actions against this strategy were to co-ordinate the collaborative planning of Learning modules.  All Social Skills learning elements planned and implemented across the school, incorporated choice theory concepts.  Subsequent actions, of orienting staff to these new learning elements and the review of the success of these learning elements, were also successfully undertaken across the school, in all classrooms.  Planning for implementation of these learning elements in term 1 of 2018 is already under way.</w:t>
      </w:r>
    </w:p>
    <w:p w:rsidR="00545ADC" w:rsidRPr="00741F6B" w:rsidRDefault="00545ADC" w:rsidP="00741F6B">
      <w:pPr>
        <w:pStyle w:val="BodyText"/>
        <w:spacing w:after="0"/>
        <w:contextualSpacing/>
        <w:rPr>
          <w:rFonts w:ascii="Arial" w:hAnsi="Arial" w:cs="Arial"/>
          <w:sz w:val="24"/>
          <w:szCs w:val="24"/>
        </w:rPr>
      </w:pPr>
    </w:p>
    <w:p w:rsidR="00545ADC" w:rsidRPr="00741F6B" w:rsidRDefault="00545ADC" w:rsidP="00741F6B">
      <w:pPr>
        <w:pStyle w:val="BodyText"/>
        <w:spacing w:after="0"/>
        <w:contextualSpacing/>
        <w:rPr>
          <w:rFonts w:ascii="Arial" w:hAnsi="Arial" w:cs="Arial"/>
          <w:sz w:val="24"/>
          <w:szCs w:val="24"/>
        </w:rPr>
      </w:pPr>
      <w:r w:rsidRPr="00741F6B">
        <w:rPr>
          <w:rFonts w:ascii="Arial" w:hAnsi="Arial" w:cs="Arial"/>
          <w:sz w:val="24"/>
          <w:szCs w:val="24"/>
        </w:rPr>
        <w:t>At Gordon Primary School Teachers consistently demonstrate the Indicators of success as outlined in the NSIT Narrative on “A Culture that Promotes Learning”.  These indicators are:</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Positive class and school culture evident;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lastRenderedPageBreak/>
        <w:t>School Satisfaction Survey and School Climate Survey indicates positive feedback from parents and students;</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Bounce Back lessons evident in classrooms;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Student and staff well-being reflects positivity;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Maze records reflect more positive displays of Behaviour;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Common language used across the school- bucket filling, Bounce back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Code of Cooperation in all classrooms;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Glasser aligned language common across the school;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 xml:space="preserve">KAGAN Cooperative Learning Structures evident across the school; </w:t>
      </w:r>
    </w:p>
    <w:p w:rsidR="00545ADC" w:rsidRPr="00741F6B" w:rsidRDefault="00545ADC" w:rsidP="00741F6B">
      <w:pPr>
        <w:pStyle w:val="NormalWeb"/>
        <w:numPr>
          <w:ilvl w:val="0"/>
          <w:numId w:val="15"/>
        </w:numPr>
        <w:spacing w:before="0" w:beforeAutospacing="0" w:after="0" w:afterAutospacing="0"/>
        <w:contextualSpacing/>
        <w:rPr>
          <w:rFonts w:ascii="Arial" w:hAnsi="Arial" w:cs="Arial"/>
          <w:sz w:val="24"/>
          <w:szCs w:val="24"/>
        </w:rPr>
      </w:pPr>
      <w:r w:rsidRPr="00741F6B">
        <w:rPr>
          <w:rFonts w:ascii="Arial" w:hAnsi="Arial" w:cs="Arial"/>
          <w:sz w:val="24"/>
          <w:szCs w:val="24"/>
        </w:rPr>
        <w:t>Circle Time structures evident in classrooms;</w:t>
      </w:r>
    </w:p>
    <w:p w:rsidR="00545ADC" w:rsidRPr="00741F6B" w:rsidRDefault="00545ADC" w:rsidP="00741F6B">
      <w:pPr>
        <w:pStyle w:val="NormalWeb"/>
        <w:spacing w:before="0" w:beforeAutospacing="0" w:after="0" w:afterAutospacing="0"/>
        <w:contextualSpacing/>
        <w:rPr>
          <w:rFonts w:ascii="Arial" w:hAnsi="Arial" w:cs="Arial"/>
          <w:sz w:val="24"/>
          <w:szCs w:val="24"/>
        </w:rPr>
      </w:pPr>
    </w:p>
    <w:p w:rsidR="00545ADC" w:rsidRPr="00741F6B" w:rsidRDefault="00545ADC" w:rsidP="00741F6B">
      <w:pPr>
        <w:pStyle w:val="NormalWeb"/>
        <w:spacing w:before="0" w:beforeAutospacing="0" w:after="0" w:afterAutospacing="0"/>
        <w:contextualSpacing/>
        <w:rPr>
          <w:rFonts w:ascii="Arial" w:hAnsi="Arial" w:cs="Arial"/>
          <w:sz w:val="24"/>
          <w:szCs w:val="24"/>
        </w:rPr>
      </w:pPr>
      <w:r w:rsidRPr="00741F6B">
        <w:rPr>
          <w:rFonts w:ascii="Arial" w:hAnsi="Arial" w:cs="Arial"/>
          <w:sz w:val="24"/>
          <w:szCs w:val="24"/>
        </w:rPr>
        <w:t>This is something that is a continual focus in all aspects of school life from targeted professional learning to professional discussions and staff meetings. There is a strong sense, as reflected in the outstanding school satisfaction data, that there is a strong culture of learning across the school.</w:t>
      </w:r>
    </w:p>
    <w:p w:rsidR="00545ADC" w:rsidRPr="00741F6B" w:rsidRDefault="00545ADC" w:rsidP="00741F6B">
      <w:pPr>
        <w:pStyle w:val="Heading4"/>
        <w:spacing w:before="0" w:after="0"/>
        <w:contextualSpacing/>
        <w:rPr>
          <w:lang w:val="en-US" w:eastAsia="en-US"/>
        </w:rPr>
      </w:pPr>
      <w:r w:rsidRPr="00741F6B">
        <w:rPr>
          <w:b/>
          <w:lang w:val="en-US" w:eastAsia="en-US"/>
        </w:rPr>
        <w:t>Empower</w:t>
      </w:r>
      <w:r w:rsidR="0047212D" w:rsidRPr="00741F6B">
        <w:rPr>
          <w:b/>
          <w:lang w:val="en-US" w:eastAsia="en-US"/>
        </w:rPr>
        <w:t>ing</w:t>
      </w:r>
      <w:r w:rsidRPr="00741F6B">
        <w:rPr>
          <w:b/>
          <w:lang w:val="en-US" w:eastAsia="en-US"/>
        </w:rPr>
        <w:t xml:space="preserve"> staff to support an optimal learning environment for every student all of the time</w:t>
      </w:r>
      <w:r w:rsidRPr="00741F6B">
        <w:rPr>
          <w:lang w:val="en-US" w:eastAsia="en-US"/>
        </w:rPr>
        <w:t xml:space="preserve"> </w:t>
      </w:r>
      <w:r w:rsidR="0047212D" w:rsidRPr="00741F6B">
        <w:rPr>
          <w:lang w:val="en-US" w:eastAsia="en-US"/>
        </w:rPr>
        <w:t xml:space="preserve">was a key strategy.  </w:t>
      </w:r>
      <w:r w:rsidRPr="00741F6B">
        <w:t xml:space="preserve">An audit of staff capacity in social skilling, Choice Theory, Reality Therapy and Restorative Practices was undertaken with differentiated professional learning planned as a result.  Training on the application of Glasser’s Choice Theory and Reality Therapy was again undertaken as part of a cluster initiative.  </w:t>
      </w:r>
      <w:r w:rsidR="0090599D">
        <w:rPr>
          <w:lang w:val="en-AU"/>
        </w:rPr>
        <w:t>Fifteen</w:t>
      </w:r>
      <w:r w:rsidRPr="00741F6B">
        <w:t xml:space="preserve"> staff attended and the school has 95 percent of staff trained in these processes.  It was planned that, as an adjunct to this work, the school would implement Positive Behaviour for Learning (PBL).  Training has started and a PBL team has been established.  This team has identified desired behaviours and created a PBL vision statement for the school to put in place in 2018.</w:t>
      </w:r>
      <w:r w:rsidR="0047212D" w:rsidRPr="00741F6B">
        <w:t xml:space="preserve">  </w:t>
      </w:r>
      <w:r w:rsidRPr="00741F6B">
        <w:t xml:space="preserve">Staff capacity matrices indicated a high level of confidence in implementing Choice Theory. </w:t>
      </w:r>
    </w:p>
    <w:p w:rsidR="00545ADC" w:rsidRPr="00741F6B" w:rsidRDefault="00545ADC" w:rsidP="00741F6B">
      <w:pPr>
        <w:pStyle w:val="BodyText"/>
        <w:spacing w:after="0"/>
        <w:contextualSpacing/>
        <w:rPr>
          <w:rFonts w:ascii="Arial" w:hAnsi="Arial" w:cs="Arial"/>
          <w:sz w:val="24"/>
          <w:szCs w:val="24"/>
        </w:rPr>
      </w:pPr>
    </w:p>
    <w:p w:rsidR="00545ADC" w:rsidRPr="00741F6B" w:rsidRDefault="00545ADC" w:rsidP="00741F6B">
      <w:pPr>
        <w:pStyle w:val="BodyText"/>
        <w:spacing w:after="0"/>
        <w:contextualSpacing/>
        <w:rPr>
          <w:rFonts w:ascii="Arial" w:hAnsi="Arial" w:cs="Arial"/>
          <w:sz w:val="24"/>
          <w:szCs w:val="24"/>
        </w:rPr>
      </w:pPr>
      <w:r w:rsidRPr="00741F6B">
        <w:rPr>
          <w:rFonts w:ascii="Arial" w:hAnsi="Arial" w:cs="Arial"/>
          <w:sz w:val="24"/>
          <w:szCs w:val="24"/>
        </w:rPr>
        <w:t>A further indicator of success is the atmosphere present in classrooms at all times, but particularly observed during walkthroughs.  Classrooms are calm but active with interruptions to learning kept to a minimum.</w:t>
      </w:r>
    </w:p>
    <w:p w:rsidR="00545ADC" w:rsidRPr="00741F6B" w:rsidRDefault="00545ADC" w:rsidP="00741F6B">
      <w:pPr>
        <w:pStyle w:val="ListBullet"/>
        <w:numPr>
          <w:ilvl w:val="0"/>
          <w:numId w:val="0"/>
        </w:numPr>
        <w:spacing w:after="0"/>
        <w:rPr>
          <w:rFonts w:ascii="Arial" w:hAnsi="Arial" w:cs="Arial"/>
          <w:sz w:val="24"/>
          <w:szCs w:val="24"/>
        </w:rPr>
      </w:pPr>
    </w:p>
    <w:p w:rsidR="00545ADC" w:rsidRPr="00741F6B" w:rsidRDefault="003D5E9D" w:rsidP="00741F6B">
      <w:pPr>
        <w:pStyle w:val="ListBullet"/>
        <w:numPr>
          <w:ilvl w:val="0"/>
          <w:numId w:val="0"/>
        </w:numPr>
        <w:spacing w:after="0"/>
        <w:rPr>
          <w:rFonts w:ascii="Arial" w:hAnsi="Arial" w:cs="Arial"/>
          <w:color w:val="ED7D31" w:themeColor="accent2"/>
          <w:sz w:val="24"/>
          <w:szCs w:val="24"/>
        </w:rPr>
      </w:pPr>
      <w:r>
        <w:rPr>
          <w:rFonts w:ascii="Arial" w:hAnsi="Arial" w:cs="Arial"/>
          <w:sz w:val="24"/>
          <w:szCs w:val="24"/>
        </w:rPr>
        <w:t>The</w:t>
      </w:r>
      <w:r w:rsidR="00545ADC" w:rsidRPr="00741F6B">
        <w:rPr>
          <w:rFonts w:ascii="Arial" w:hAnsi="Arial" w:cs="Arial"/>
          <w:sz w:val="24"/>
          <w:szCs w:val="24"/>
        </w:rPr>
        <w:t xml:space="preserve"> initial action </w:t>
      </w:r>
      <w:r w:rsidR="0047212D" w:rsidRPr="00741F6B">
        <w:rPr>
          <w:rFonts w:ascii="Arial" w:hAnsi="Arial" w:cs="Arial"/>
          <w:sz w:val="24"/>
          <w:szCs w:val="24"/>
        </w:rPr>
        <w:t>to achieve the establishment of</w:t>
      </w:r>
      <w:r w:rsidR="00545ADC" w:rsidRPr="00741F6B">
        <w:rPr>
          <w:rFonts w:ascii="Arial" w:hAnsi="Arial" w:cs="Arial"/>
          <w:sz w:val="24"/>
          <w:szCs w:val="24"/>
        </w:rPr>
        <w:t xml:space="preserve"> </w:t>
      </w:r>
      <w:r w:rsidR="0047212D" w:rsidRPr="00741F6B">
        <w:rPr>
          <w:rFonts w:ascii="Arial" w:hAnsi="Arial" w:cs="Arial"/>
          <w:b/>
          <w:sz w:val="24"/>
          <w:lang w:val="en-US"/>
        </w:rPr>
        <w:t>an ongoing system to monitor students’ satisfaction and other student well-being information</w:t>
      </w:r>
      <w:r w:rsidR="0047212D" w:rsidRPr="00741F6B">
        <w:rPr>
          <w:rFonts w:ascii="Arial" w:hAnsi="Arial" w:cs="Arial"/>
          <w:b/>
          <w:sz w:val="28"/>
          <w:szCs w:val="24"/>
        </w:rPr>
        <w:t xml:space="preserve"> </w:t>
      </w:r>
      <w:r w:rsidR="00545ADC" w:rsidRPr="00741F6B">
        <w:rPr>
          <w:rFonts w:ascii="Arial" w:hAnsi="Arial" w:cs="Arial"/>
          <w:sz w:val="24"/>
          <w:szCs w:val="24"/>
        </w:rPr>
        <w:t>was to reproduce the student satisfaction survey as a Google form as a means of acquiring student feedback each term.  In 2017 this survey was implemented across years 3 to</w:t>
      </w:r>
      <w:r>
        <w:rPr>
          <w:rFonts w:ascii="Arial" w:hAnsi="Arial" w:cs="Arial"/>
          <w:sz w:val="24"/>
          <w:szCs w:val="24"/>
        </w:rPr>
        <w:t xml:space="preserve"> 6</w:t>
      </w:r>
      <w:r w:rsidR="00545ADC" w:rsidRPr="00741F6B">
        <w:rPr>
          <w:rFonts w:ascii="Arial" w:hAnsi="Arial" w:cs="Arial"/>
          <w:sz w:val="24"/>
          <w:szCs w:val="24"/>
        </w:rPr>
        <w:t>. This data is reported back to executive meetings</w:t>
      </w:r>
      <w:r w:rsidR="00545ADC" w:rsidRPr="00741F6B">
        <w:rPr>
          <w:rFonts w:ascii="Arial" w:hAnsi="Arial" w:cs="Arial"/>
          <w:color w:val="ED7D31" w:themeColor="accent2"/>
          <w:sz w:val="24"/>
          <w:szCs w:val="24"/>
        </w:rPr>
        <w:t xml:space="preserve">.  </w:t>
      </w:r>
    </w:p>
    <w:p w:rsidR="00545ADC" w:rsidRPr="00741F6B" w:rsidRDefault="00545ADC" w:rsidP="00741F6B">
      <w:pPr>
        <w:pStyle w:val="ListBullet"/>
        <w:numPr>
          <w:ilvl w:val="0"/>
          <w:numId w:val="0"/>
        </w:numPr>
        <w:spacing w:after="0"/>
        <w:rPr>
          <w:rFonts w:ascii="Arial" w:hAnsi="Arial" w:cs="Arial"/>
          <w:color w:val="ED7D31" w:themeColor="accent2"/>
          <w:sz w:val="24"/>
          <w:szCs w:val="24"/>
        </w:rPr>
      </w:pPr>
    </w:p>
    <w:p w:rsidR="00545ADC" w:rsidRPr="00741F6B" w:rsidRDefault="00545ADC" w:rsidP="00741F6B">
      <w:pPr>
        <w:pStyle w:val="ListBullet"/>
        <w:numPr>
          <w:ilvl w:val="0"/>
          <w:numId w:val="0"/>
        </w:numPr>
        <w:spacing w:after="0"/>
        <w:rPr>
          <w:rFonts w:ascii="Arial" w:hAnsi="Arial" w:cs="Arial"/>
          <w:sz w:val="24"/>
          <w:szCs w:val="24"/>
        </w:rPr>
      </w:pPr>
      <w:r w:rsidRPr="00741F6B">
        <w:rPr>
          <w:rFonts w:ascii="Arial" w:hAnsi="Arial" w:cs="Arial"/>
          <w:sz w:val="24"/>
          <w:szCs w:val="24"/>
        </w:rPr>
        <w:t xml:space="preserve">Allied to this analysis of student data is the work, mentioned earlier, around the ongoing implementation of PBL.  It is planned that, in 2018, that the PBL team will provide recommendations for student wellbeing data collection and reporting.  </w:t>
      </w:r>
    </w:p>
    <w:p w:rsidR="00545ADC" w:rsidRPr="00741F6B" w:rsidRDefault="0047212D" w:rsidP="00741F6B">
      <w:pPr>
        <w:pStyle w:val="Heading4"/>
        <w:spacing w:before="0" w:after="0"/>
        <w:contextualSpacing/>
      </w:pPr>
      <w:r w:rsidRPr="00741F6B">
        <w:t xml:space="preserve">Another strategy was </w:t>
      </w:r>
      <w:r w:rsidR="00545ADC" w:rsidRPr="00741F6B">
        <w:rPr>
          <w:color w:val="auto"/>
        </w:rPr>
        <w:t>to</w:t>
      </w:r>
      <w:r w:rsidR="00545ADC" w:rsidRPr="00741F6B">
        <w:rPr>
          <w:b/>
          <w:color w:val="auto"/>
        </w:rPr>
        <w:t xml:space="preserve"> refine the whole school approach to managing student behaviour</w:t>
      </w:r>
      <w:r w:rsidR="00545ADC" w:rsidRPr="00741F6B">
        <w:rPr>
          <w:color w:val="auto"/>
        </w:rPr>
        <w:t xml:space="preserve">.  This took the form of ‘Executive on Call’, which timetabled </w:t>
      </w:r>
      <w:r w:rsidR="00A477F9">
        <w:rPr>
          <w:color w:val="auto"/>
          <w:lang w:val="en-AU"/>
        </w:rPr>
        <w:t>both E</w:t>
      </w:r>
      <w:r w:rsidR="00A477F9">
        <w:rPr>
          <w:color w:val="auto"/>
        </w:rPr>
        <w:t>xecutive</w:t>
      </w:r>
      <w:r w:rsidR="00A477F9">
        <w:rPr>
          <w:color w:val="auto"/>
          <w:lang w:val="en-AU"/>
        </w:rPr>
        <w:t xml:space="preserve"> Teachers and Classroom teachers </w:t>
      </w:r>
      <w:r w:rsidR="00545ADC" w:rsidRPr="00741F6B">
        <w:rPr>
          <w:color w:val="auto"/>
        </w:rPr>
        <w:t xml:space="preserve"> to be free to deal with behaviour issues as they arose.  </w:t>
      </w:r>
      <w:r w:rsidR="00E864C9">
        <w:rPr>
          <w:color w:val="auto"/>
          <w:lang w:val="en-AU"/>
        </w:rPr>
        <w:t>Following evaluation t</w:t>
      </w:r>
      <w:r w:rsidR="00545ADC" w:rsidRPr="00741F6B">
        <w:rPr>
          <w:color w:val="auto"/>
        </w:rPr>
        <w:t xml:space="preserve">his process was refined as the year progressed resulting in better </w:t>
      </w:r>
      <w:r w:rsidR="00545ADC" w:rsidRPr="00741F6B">
        <w:rPr>
          <w:color w:val="auto"/>
        </w:rPr>
        <w:lastRenderedPageBreak/>
        <w:t xml:space="preserve">communication about student behaviour and the response to that behaviour.  Behaviour Plans, including an adjustment matrix, have been created for particular </w:t>
      </w:r>
      <w:r w:rsidRPr="00741F6B">
        <w:rPr>
          <w:color w:val="auto"/>
        </w:rPr>
        <w:t>students</w:t>
      </w:r>
      <w:r w:rsidR="00545ADC" w:rsidRPr="00741F6B">
        <w:rPr>
          <w:color w:val="auto"/>
        </w:rPr>
        <w:t xml:space="preserve"> and are aimed at preventing behaviour management issues developing or escalating. </w:t>
      </w:r>
      <w:r w:rsidRPr="00741F6B">
        <w:rPr>
          <w:color w:val="auto"/>
        </w:rPr>
        <w:t xml:space="preserve">  </w:t>
      </w:r>
      <w:r w:rsidR="00545ADC" w:rsidRPr="00741F6B">
        <w:rPr>
          <w:color w:val="auto"/>
        </w:rPr>
        <w:t xml:space="preserve">An important indicator of the success of this strategy is that these new management systems are widely understood and consistently implemented across the school.  </w:t>
      </w:r>
      <w:r w:rsidRPr="00741F6B">
        <w:rPr>
          <w:color w:val="auto"/>
        </w:rPr>
        <w:t xml:space="preserve"> </w:t>
      </w:r>
      <w:r w:rsidR="00545ADC" w:rsidRPr="00741F6B">
        <w:rPr>
          <w:color w:val="auto"/>
        </w:rPr>
        <w:t xml:space="preserve">An important aspect of this process was Feedback </w:t>
      </w:r>
      <w:r w:rsidR="00A77367">
        <w:rPr>
          <w:color w:val="auto"/>
          <w:lang w:val="en-AU"/>
        </w:rPr>
        <w:t>by</w:t>
      </w:r>
      <w:r w:rsidR="00545ADC" w:rsidRPr="00741F6B">
        <w:rPr>
          <w:color w:val="auto"/>
        </w:rPr>
        <w:t xml:space="preserve"> Friday with staff feedback being sought on behaviour management and any further actions that may be required.</w:t>
      </w:r>
    </w:p>
    <w:p w:rsidR="0047212D" w:rsidRPr="00741F6B" w:rsidRDefault="0047212D" w:rsidP="00741F6B">
      <w:pPr>
        <w:pStyle w:val="Heading4"/>
        <w:spacing w:before="0" w:after="0"/>
        <w:contextualSpacing/>
        <w:rPr>
          <w:rFonts w:eastAsia="Calibri"/>
          <w:bCs w:val="0"/>
          <w:color w:val="auto"/>
          <w:lang w:val="en-AU" w:eastAsia="en-US"/>
        </w:rPr>
      </w:pPr>
    </w:p>
    <w:p w:rsidR="00545ADC" w:rsidRPr="00741F6B" w:rsidRDefault="00545ADC" w:rsidP="00741F6B">
      <w:pPr>
        <w:pStyle w:val="Heading4"/>
        <w:spacing w:before="0" w:after="0"/>
        <w:contextualSpacing/>
      </w:pPr>
      <w:r w:rsidRPr="00741F6B">
        <w:rPr>
          <w:lang w:val="en-US" w:eastAsia="en-US"/>
        </w:rPr>
        <w:t xml:space="preserve">The </w:t>
      </w:r>
      <w:r w:rsidRPr="00741F6B">
        <w:rPr>
          <w:b/>
          <w:lang w:val="en-US" w:eastAsia="en-US"/>
        </w:rPr>
        <w:t>ongoing celebration of student demonstration of Gordon Values</w:t>
      </w:r>
      <w:r w:rsidR="0047212D" w:rsidRPr="00741F6B">
        <w:rPr>
          <w:lang w:val="en-US" w:eastAsia="en-US"/>
        </w:rPr>
        <w:t xml:space="preserve"> was </w:t>
      </w:r>
      <w:r w:rsidR="00A77367">
        <w:rPr>
          <w:lang w:val="en-US" w:eastAsia="en-US"/>
        </w:rPr>
        <w:t xml:space="preserve">another </w:t>
      </w:r>
      <w:r w:rsidR="0047212D" w:rsidRPr="00741F6B">
        <w:rPr>
          <w:lang w:val="en-US" w:eastAsia="en-US"/>
        </w:rPr>
        <w:t xml:space="preserve">strategy </w:t>
      </w:r>
      <w:r w:rsidR="00A77367">
        <w:rPr>
          <w:lang w:val="en-US" w:eastAsia="en-US"/>
        </w:rPr>
        <w:t>related to</w:t>
      </w:r>
      <w:r w:rsidR="0047212D" w:rsidRPr="00741F6B">
        <w:rPr>
          <w:lang w:val="en-US" w:eastAsia="en-US"/>
        </w:rPr>
        <w:t xml:space="preserve"> this priority.  </w:t>
      </w:r>
      <w:r w:rsidRPr="00741F6B">
        <w:t>In 2017 a Year 6 Graduation with Merit system was developed, in consultation with parents and students. Explicit and descriptive comments are the expectation when preparing awards for assemblies. Gordon Values are an important focus for these awards.</w:t>
      </w:r>
    </w:p>
    <w:p w:rsidR="00545ADC" w:rsidRPr="00741F6B" w:rsidRDefault="00545ADC" w:rsidP="00741F6B">
      <w:pPr>
        <w:pStyle w:val="ListBullet"/>
        <w:numPr>
          <w:ilvl w:val="0"/>
          <w:numId w:val="0"/>
        </w:numPr>
        <w:spacing w:after="0"/>
        <w:rPr>
          <w:rFonts w:ascii="Arial" w:hAnsi="Arial" w:cs="Arial"/>
          <w:sz w:val="24"/>
          <w:szCs w:val="24"/>
        </w:rPr>
      </w:pPr>
    </w:p>
    <w:p w:rsidR="00545ADC" w:rsidRDefault="00545ADC" w:rsidP="00741F6B">
      <w:pPr>
        <w:pStyle w:val="ListBullet"/>
        <w:numPr>
          <w:ilvl w:val="0"/>
          <w:numId w:val="0"/>
        </w:numPr>
        <w:spacing w:after="0"/>
        <w:rPr>
          <w:rFonts w:ascii="Arial" w:hAnsi="Arial" w:cs="Arial"/>
          <w:sz w:val="24"/>
          <w:szCs w:val="24"/>
        </w:rPr>
      </w:pPr>
      <w:r w:rsidRPr="00741F6B">
        <w:rPr>
          <w:rFonts w:ascii="Arial" w:hAnsi="Arial" w:cs="Arial"/>
          <w:sz w:val="24"/>
          <w:szCs w:val="24"/>
        </w:rPr>
        <w:t xml:space="preserve">Facebook continues to be a strong source of celebrations of student achievement and the successes of the school.  This is also true for events that allow for sharing and celebration of student work.  Open Days and </w:t>
      </w:r>
      <w:r w:rsidR="00A77367">
        <w:rPr>
          <w:rFonts w:ascii="Arial" w:hAnsi="Arial" w:cs="Arial"/>
          <w:sz w:val="24"/>
          <w:szCs w:val="24"/>
        </w:rPr>
        <w:t xml:space="preserve">Parent and </w:t>
      </w:r>
      <w:r w:rsidRPr="00741F6B">
        <w:rPr>
          <w:rFonts w:ascii="Arial" w:hAnsi="Arial" w:cs="Arial"/>
          <w:sz w:val="24"/>
          <w:szCs w:val="24"/>
        </w:rPr>
        <w:t xml:space="preserve">Grandparents Day were examples of this in 2017.  </w:t>
      </w:r>
    </w:p>
    <w:p w:rsidR="00A77367" w:rsidRPr="00A77367" w:rsidRDefault="00A77367" w:rsidP="00A77367">
      <w:pPr>
        <w:pStyle w:val="BodyText"/>
        <w:rPr>
          <w:lang w:val="en-AU" w:eastAsia="en-US"/>
        </w:rPr>
      </w:pPr>
    </w:p>
    <w:p w:rsidR="00545ADC" w:rsidRPr="00741F6B" w:rsidRDefault="00545ADC" w:rsidP="00741F6B">
      <w:pPr>
        <w:pStyle w:val="BodyText"/>
        <w:spacing w:after="0"/>
        <w:contextualSpacing/>
        <w:rPr>
          <w:rFonts w:ascii="Arial" w:hAnsi="Arial" w:cs="Arial"/>
          <w:sz w:val="24"/>
          <w:szCs w:val="24"/>
        </w:rPr>
      </w:pPr>
      <w:r w:rsidRPr="00741F6B">
        <w:rPr>
          <w:rFonts w:ascii="Arial" w:hAnsi="Arial" w:cs="Arial"/>
          <w:sz w:val="24"/>
          <w:szCs w:val="24"/>
        </w:rPr>
        <w:t xml:space="preserve">In terms of targets </w:t>
      </w:r>
      <w:r w:rsidR="003D399D">
        <w:rPr>
          <w:rFonts w:ascii="Arial" w:hAnsi="Arial" w:cs="Arial"/>
          <w:sz w:val="24"/>
          <w:szCs w:val="24"/>
        </w:rPr>
        <w:t xml:space="preserve">related to this priority results have been very positive.  </w:t>
      </w:r>
      <w:r w:rsidRPr="00741F6B">
        <w:rPr>
          <w:rFonts w:ascii="Arial" w:hAnsi="Arial" w:cs="Arial"/>
          <w:sz w:val="24"/>
          <w:szCs w:val="24"/>
        </w:rPr>
        <w:t xml:space="preserve"> In </w:t>
      </w:r>
      <w:r w:rsidR="00011CA3">
        <w:rPr>
          <w:rFonts w:ascii="Arial" w:hAnsi="Arial" w:cs="Arial"/>
          <w:sz w:val="24"/>
          <w:szCs w:val="24"/>
        </w:rPr>
        <w:t xml:space="preserve">each of the </w:t>
      </w:r>
      <w:r w:rsidRPr="00741F6B">
        <w:rPr>
          <w:rFonts w:ascii="Arial" w:hAnsi="Arial" w:cs="Arial"/>
          <w:sz w:val="24"/>
          <w:szCs w:val="24"/>
        </w:rPr>
        <w:t xml:space="preserve">areas of the school satisfaction survey </w:t>
      </w:r>
      <w:r w:rsidR="00517079">
        <w:rPr>
          <w:rFonts w:ascii="Arial" w:hAnsi="Arial" w:cs="Arial"/>
          <w:sz w:val="24"/>
          <w:szCs w:val="24"/>
        </w:rPr>
        <w:t xml:space="preserve">for which data have been collected </w:t>
      </w:r>
      <w:r w:rsidRPr="00741F6B">
        <w:rPr>
          <w:rFonts w:ascii="Arial" w:hAnsi="Arial" w:cs="Arial"/>
          <w:sz w:val="24"/>
          <w:szCs w:val="24"/>
        </w:rPr>
        <w:t xml:space="preserve">the </w:t>
      </w:r>
      <w:r w:rsidR="00517079">
        <w:rPr>
          <w:rFonts w:ascii="Arial" w:hAnsi="Arial" w:cs="Arial"/>
          <w:sz w:val="24"/>
          <w:szCs w:val="24"/>
        </w:rPr>
        <w:t>results achieved exceed the targets set</w:t>
      </w:r>
      <w:r w:rsidR="0047212D" w:rsidRPr="00741F6B">
        <w:rPr>
          <w:rFonts w:ascii="Arial" w:hAnsi="Arial" w:cs="Arial"/>
          <w:sz w:val="24"/>
          <w:szCs w:val="24"/>
        </w:rPr>
        <w:t xml:space="preserve">.  </w:t>
      </w:r>
      <w:r w:rsidR="00517079">
        <w:rPr>
          <w:rFonts w:ascii="Arial" w:hAnsi="Arial" w:cs="Arial"/>
          <w:sz w:val="24"/>
          <w:szCs w:val="24"/>
        </w:rPr>
        <w:t xml:space="preserve">The </w:t>
      </w:r>
      <w:r w:rsidR="0047212D" w:rsidRPr="00741F6B">
        <w:rPr>
          <w:rFonts w:ascii="Arial" w:hAnsi="Arial" w:cs="Arial"/>
          <w:sz w:val="24"/>
          <w:szCs w:val="24"/>
        </w:rPr>
        <w:t xml:space="preserve">chart below </w:t>
      </w:r>
      <w:r w:rsidR="00517079">
        <w:rPr>
          <w:rFonts w:ascii="Arial" w:hAnsi="Arial" w:cs="Arial"/>
          <w:sz w:val="24"/>
          <w:szCs w:val="24"/>
        </w:rPr>
        <w:t>shows</w:t>
      </w:r>
      <w:r w:rsidR="0047212D" w:rsidRPr="00741F6B">
        <w:rPr>
          <w:rFonts w:ascii="Arial" w:hAnsi="Arial" w:cs="Arial"/>
          <w:sz w:val="24"/>
          <w:szCs w:val="24"/>
        </w:rPr>
        <w:t xml:space="preserve"> the </w:t>
      </w:r>
      <w:r w:rsidR="00780083" w:rsidRPr="00741F6B">
        <w:rPr>
          <w:rFonts w:ascii="Arial" w:hAnsi="Arial" w:cs="Arial"/>
          <w:sz w:val="24"/>
          <w:szCs w:val="24"/>
        </w:rPr>
        <w:t xml:space="preserve">targets and the </w:t>
      </w:r>
      <w:r w:rsidR="00011CA3">
        <w:rPr>
          <w:rFonts w:ascii="Arial" w:hAnsi="Arial" w:cs="Arial"/>
          <w:sz w:val="24"/>
          <w:szCs w:val="24"/>
        </w:rPr>
        <w:t xml:space="preserve">student </w:t>
      </w:r>
      <w:r w:rsidR="00780083" w:rsidRPr="00741F6B">
        <w:rPr>
          <w:rFonts w:ascii="Arial" w:hAnsi="Arial" w:cs="Arial"/>
          <w:sz w:val="24"/>
          <w:szCs w:val="24"/>
        </w:rPr>
        <w:t xml:space="preserve">response achieved.  </w:t>
      </w:r>
      <w:r w:rsidR="00517079">
        <w:rPr>
          <w:rFonts w:ascii="Arial" w:hAnsi="Arial" w:cs="Arial"/>
          <w:sz w:val="24"/>
          <w:szCs w:val="24"/>
        </w:rPr>
        <w:t xml:space="preserve">The </w:t>
      </w:r>
      <w:r w:rsidR="00780083" w:rsidRPr="00741F6B">
        <w:rPr>
          <w:rFonts w:ascii="Arial" w:hAnsi="Arial" w:cs="Arial"/>
          <w:sz w:val="24"/>
          <w:szCs w:val="24"/>
        </w:rPr>
        <w:t xml:space="preserve">extent </w:t>
      </w:r>
      <w:r w:rsidR="00517079">
        <w:rPr>
          <w:rFonts w:ascii="Arial" w:hAnsi="Arial" w:cs="Arial"/>
          <w:sz w:val="24"/>
          <w:szCs w:val="24"/>
        </w:rPr>
        <w:t>to which each target has been exceeded is also shown.</w:t>
      </w:r>
    </w:p>
    <w:p w:rsidR="00545ADC" w:rsidRPr="00741F6B" w:rsidRDefault="00545ADC" w:rsidP="00545ADC">
      <w:pPr>
        <w:pStyle w:val="BodyText"/>
        <w:spacing w:after="0"/>
        <w:contextualSpacing/>
        <w:rPr>
          <w:rFonts w:ascii="Arial" w:hAnsi="Arial" w:cs="Arial"/>
          <w:sz w:val="24"/>
          <w:szCs w:val="24"/>
        </w:rPr>
      </w:pPr>
    </w:p>
    <w:tbl>
      <w:tblPr>
        <w:tblStyle w:val="TableGrid"/>
        <w:tblW w:w="10425" w:type="dxa"/>
        <w:jc w:val="center"/>
        <w:tblLayout w:type="fixed"/>
        <w:tblLook w:val="04A0" w:firstRow="1" w:lastRow="0" w:firstColumn="1" w:lastColumn="0" w:noHBand="0" w:noVBand="1"/>
      </w:tblPr>
      <w:tblGrid>
        <w:gridCol w:w="6269"/>
        <w:gridCol w:w="978"/>
        <w:gridCol w:w="979"/>
        <w:gridCol w:w="979"/>
        <w:gridCol w:w="1220"/>
      </w:tblGrid>
      <w:tr w:rsidR="0047212D" w:rsidRPr="00741F6B" w:rsidTr="0047212D">
        <w:trPr>
          <w:jc w:val="center"/>
        </w:trPr>
        <w:tc>
          <w:tcPr>
            <w:tcW w:w="6269" w:type="dxa"/>
          </w:tcPr>
          <w:p w:rsidR="0047212D" w:rsidRPr="00741F6B" w:rsidRDefault="0047212D" w:rsidP="00545ADC">
            <w:pPr>
              <w:pStyle w:val="BodyText"/>
              <w:spacing w:after="0"/>
              <w:contextualSpacing/>
              <w:rPr>
                <w:rFonts w:ascii="Arial" w:hAnsi="Arial" w:cs="Arial"/>
                <w:sz w:val="24"/>
                <w:szCs w:val="24"/>
              </w:rPr>
            </w:pPr>
            <w:r w:rsidRPr="00741F6B">
              <w:rPr>
                <w:rFonts w:ascii="Arial" w:hAnsi="Arial" w:cs="Arial"/>
                <w:sz w:val="24"/>
                <w:szCs w:val="24"/>
              </w:rPr>
              <w:t>School Satisfaction Survey results</w:t>
            </w:r>
          </w:p>
        </w:tc>
        <w:tc>
          <w:tcPr>
            <w:tcW w:w="2936" w:type="dxa"/>
            <w:gridSpan w:val="3"/>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Students</w:t>
            </w:r>
          </w:p>
          <w:p w:rsidR="0047212D" w:rsidRPr="00741F6B" w:rsidRDefault="0047212D" w:rsidP="0047212D">
            <w:pPr>
              <w:pStyle w:val="BodyText"/>
              <w:spacing w:after="0"/>
              <w:contextualSpacing/>
              <w:jc w:val="center"/>
              <w:rPr>
                <w:rFonts w:ascii="Arial" w:hAnsi="Arial" w:cs="Arial"/>
                <w:sz w:val="24"/>
                <w:szCs w:val="24"/>
              </w:rPr>
            </w:pPr>
            <w:r w:rsidRPr="00741F6B">
              <w:rPr>
                <w:rFonts w:ascii="Arial" w:hAnsi="Arial" w:cs="Arial"/>
                <w:sz w:val="24"/>
                <w:szCs w:val="24"/>
              </w:rPr>
              <w:t xml:space="preserve"> %</w:t>
            </w:r>
          </w:p>
        </w:tc>
        <w:tc>
          <w:tcPr>
            <w:tcW w:w="1220" w:type="dxa"/>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Parents/Carers</w:t>
            </w:r>
          </w:p>
        </w:tc>
      </w:tr>
      <w:tr w:rsidR="0047212D" w:rsidRPr="00741F6B" w:rsidTr="0047212D">
        <w:trPr>
          <w:jc w:val="center"/>
        </w:trPr>
        <w:tc>
          <w:tcPr>
            <w:tcW w:w="6269" w:type="dxa"/>
          </w:tcPr>
          <w:p w:rsidR="0047212D" w:rsidRPr="00741F6B" w:rsidRDefault="0047212D" w:rsidP="00545ADC">
            <w:pPr>
              <w:pStyle w:val="BodyText"/>
              <w:spacing w:after="0"/>
              <w:contextualSpacing/>
              <w:rPr>
                <w:rFonts w:ascii="Arial" w:hAnsi="Arial" w:cs="Arial"/>
                <w:sz w:val="24"/>
                <w:szCs w:val="24"/>
              </w:rPr>
            </w:pPr>
            <w:r w:rsidRPr="00741F6B">
              <w:rPr>
                <w:rFonts w:ascii="Arial" w:hAnsi="Arial" w:cs="Arial"/>
                <w:sz w:val="24"/>
                <w:szCs w:val="24"/>
              </w:rPr>
              <w:t>Items</w:t>
            </w:r>
          </w:p>
        </w:tc>
        <w:tc>
          <w:tcPr>
            <w:tcW w:w="978" w:type="dxa"/>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Target</w:t>
            </w:r>
          </w:p>
        </w:tc>
        <w:tc>
          <w:tcPr>
            <w:tcW w:w="979" w:type="dxa"/>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2017</w:t>
            </w:r>
          </w:p>
        </w:tc>
        <w:tc>
          <w:tcPr>
            <w:tcW w:w="979" w:type="dxa"/>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Plus</w:t>
            </w:r>
          </w:p>
        </w:tc>
        <w:tc>
          <w:tcPr>
            <w:tcW w:w="1220" w:type="dxa"/>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2017</w:t>
            </w:r>
          </w:p>
        </w:tc>
      </w:tr>
      <w:tr w:rsidR="0047212D" w:rsidRPr="00741F6B" w:rsidTr="0047212D">
        <w:trPr>
          <w:jc w:val="center"/>
        </w:trPr>
        <w:tc>
          <w:tcPr>
            <w:tcW w:w="6269" w:type="dxa"/>
            <w:shd w:val="clear" w:color="auto" w:fill="A8D08D" w:themeFill="accent6" w:themeFillTint="99"/>
          </w:tcPr>
          <w:p w:rsidR="0047212D" w:rsidRPr="00741F6B" w:rsidRDefault="0047212D" w:rsidP="00545ADC">
            <w:pPr>
              <w:pStyle w:val="BodyText"/>
              <w:spacing w:after="0"/>
              <w:contextualSpacing/>
              <w:rPr>
                <w:rFonts w:ascii="Arial" w:hAnsi="Arial" w:cs="Arial"/>
                <w:sz w:val="24"/>
                <w:szCs w:val="24"/>
                <w:lang w:eastAsia="en-AU"/>
              </w:rPr>
            </w:pPr>
            <w:r w:rsidRPr="00741F6B">
              <w:rPr>
                <w:rFonts w:ascii="Arial" w:hAnsi="Arial" w:cs="Arial"/>
                <w:sz w:val="24"/>
                <w:szCs w:val="24"/>
                <w:lang w:eastAsia="en-AU"/>
              </w:rPr>
              <w:t>Teachers at my school treat students fairly</w:t>
            </w:r>
          </w:p>
        </w:tc>
        <w:tc>
          <w:tcPr>
            <w:tcW w:w="978" w:type="dxa"/>
            <w:shd w:val="clear" w:color="auto" w:fill="A8D08D" w:themeFill="accent6" w:themeFillTint="99"/>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80</w:t>
            </w:r>
          </w:p>
        </w:tc>
        <w:tc>
          <w:tcPr>
            <w:tcW w:w="979" w:type="dxa"/>
            <w:shd w:val="clear" w:color="auto" w:fill="538135" w:themeFill="accent6" w:themeFillShade="BF"/>
          </w:tcPr>
          <w:p w:rsidR="0047212D" w:rsidRPr="00741F6B" w:rsidRDefault="0047212D" w:rsidP="00545ADC">
            <w:pPr>
              <w:pStyle w:val="BodyText"/>
              <w:spacing w:after="0"/>
              <w:contextualSpacing/>
              <w:jc w:val="center"/>
              <w:rPr>
                <w:rFonts w:ascii="Arial" w:hAnsi="Arial" w:cs="Arial"/>
                <w:b/>
                <w:sz w:val="28"/>
                <w:szCs w:val="24"/>
              </w:rPr>
            </w:pPr>
            <w:r w:rsidRPr="00741F6B">
              <w:rPr>
                <w:rFonts w:ascii="Arial" w:hAnsi="Arial" w:cs="Arial"/>
                <w:b/>
                <w:sz w:val="28"/>
                <w:szCs w:val="24"/>
              </w:rPr>
              <w:t>86</w:t>
            </w:r>
          </w:p>
        </w:tc>
        <w:tc>
          <w:tcPr>
            <w:tcW w:w="979" w:type="dxa"/>
            <w:shd w:val="clear" w:color="auto" w:fill="538135" w:themeFill="accent6"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6</w:t>
            </w:r>
          </w:p>
        </w:tc>
        <w:tc>
          <w:tcPr>
            <w:tcW w:w="1220" w:type="dxa"/>
            <w:shd w:val="clear" w:color="auto" w:fill="538135" w:themeFill="accent6"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86</w:t>
            </w:r>
          </w:p>
        </w:tc>
      </w:tr>
      <w:tr w:rsidR="0047212D" w:rsidRPr="00741F6B" w:rsidTr="0047212D">
        <w:trPr>
          <w:jc w:val="center"/>
        </w:trPr>
        <w:tc>
          <w:tcPr>
            <w:tcW w:w="6269" w:type="dxa"/>
            <w:shd w:val="clear" w:color="auto" w:fill="8EAADB" w:themeFill="accent5" w:themeFillTint="99"/>
          </w:tcPr>
          <w:p w:rsidR="0047212D" w:rsidRPr="00741F6B" w:rsidRDefault="0047212D" w:rsidP="00545ADC">
            <w:pPr>
              <w:pStyle w:val="BodyText"/>
              <w:spacing w:after="0"/>
              <w:contextualSpacing/>
              <w:rPr>
                <w:rFonts w:ascii="Arial" w:hAnsi="Arial" w:cs="Arial"/>
                <w:sz w:val="24"/>
                <w:szCs w:val="24"/>
                <w:lang w:eastAsia="en-AU"/>
              </w:rPr>
            </w:pPr>
            <w:r w:rsidRPr="00741F6B">
              <w:rPr>
                <w:rFonts w:ascii="Arial" w:hAnsi="Arial" w:cs="Arial"/>
                <w:sz w:val="24"/>
                <w:szCs w:val="24"/>
                <w:lang w:eastAsia="en-AU"/>
              </w:rPr>
              <w:t>I feel safe at School</w:t>
            </w:r>
          </w:p>
        </w:tc>
        <w:tc>
          <w:tcPr>
            <w:tcW w:w="978" w:type="dxa"/>
            <w:shd w:val="clear" w:color="auto" w:fill="8EAADB" w:themeFill="accent5" w:themeFillTint="99"/>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75</w:t>
            </w:r>
          </w:p>
        </w:tc>
        <w:tc>
          <w:tcPr>
            <w:tcW w:w="979" w:type="dxa"/>
            <w:shd w:val="clear" w:color="auto" w:fill="2F5496" w:themeFill="accent5" w:themeFillShade="BF"/>
          </w:tcPr>
          <w:p w:rsidR="0047212D" w:rsidRPr="00741F6B" w:rsidRDefault="0047212D" w:rsidP="00545ADC">
            <w:pPr>
              <w:pStyle w:val="BodyText"/>
              <w:spacing w:after="0"/>
              <w:contextualSpacing/>
              <w:jc w:val="center"/>
              <w:rPr>
                <w:rFonts w:ascii="Arial" w:hAnsi="Arial" w:cs="Arial"/>
                <w:b/>
                <w:sz w:val="28"/>
                <w:szCs w:val="24"/>
              </w:rPr>
            </w:pPr>
            <w:r w:rsidRPr="00741F6B">
              <w:rPr>
                <w:rFonts w:ascii="Arial" w:hAnsi="Arial" w:cs="Arial"/>
                <w:b/>
                <w:sz w:val="28"/>
                <w:szCs w:val="24"/>
              </w:rPr>
              <w:t>80</w:t>
            </w:r>
          </w:p>
        </w:tc>
        <w:tc>
          <w:tcPr>
            <w:tcW w:w="979" w:type="dxa"/>
            <w:shd w:val="clear" w:color="auto" w:fill="2F5496" w:themeFill="accent5"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5</w:t>
            </w:r>
          </w:p>
        </w:tc>
        <w:tc>
          <w:tcPr>
            <w:tcW w:w="1220" w:type="dxa"/>
            <w:shd w:val="clear" w:color="auto" w:fill="2F5496" w:themeFill="accent5"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88</w:t>
            </w:r>
          </w:p>
        </w:tc>
      </w:tr>
      <w:tr w:rsidR="0047212D" w:rsidRPr="00741F6B" w:rsidTr="0047212D">
        <w:trPr>
          <w:jc w:val="center"/>
        </w:trPr>
        <w:tc>
          <w:tcPr>
            <w:tcW w:w="6269" w:type="dxa"/>
            <w:shd w:val="clear" w:color="auto" w:fill="FFD966" w:themeFill="accent4" w:themeFillTint="99"/>
          </w:tcPr>
          <w:p w:rsidR="0047212D" w:rsidRPr="00741F6B" w:rsidRDefault="0047212D" w:rsidP="00545ADC">
            <w:pPr>
              <w:pStyle w:val="BodyText"/>
              <w:spacing w:after="0"/>
              <w:contextualSpacing/>
              <w:rPr>
                <w:rFonts w:ascii="Arial" w:hAnsi="Arial" w:cs="Arial"/>
                <w:sz w:val="24"/>
                <w:szCs w:val="24"/>
              </w:rPr>
            </w:pPr>
            <w:r w:rsidRPr="00741F6B">
              <w:rPr>
                <w:rFonts w:ascii="Arial" w:hAnsi="Arial" w:cs="Arial"/>
                <w:sz w:val="24"/>
                <w:szCs w:val="24"/>
                <w:lang w:eastAsia="en-AU"/>
              </w:rPr>
              <w:t>I can talk to teachers about my concerns</w:t>
            </w:r>
          </w:p>
        </w:tc>
        <w:tc>
          <w:tcPr>
            <w:tcW w:w="978" w:type="dxa"/>
            <w:shd w:val="clear" w:color="auto" w:fill="FFD966" w:themeFill="accent4" w:themeFillTint="99"/>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75</w:t>
            </w:r>
          </w:p>
        </w:tc>
        <w:tc>
          <w:tcPr>
            <w:tcW w:w="979" w:type="dxa"/>
            <w:shd w:val="clear" w:color="auto" w:fill="BF8F00" w:themeFill="accent4" w:themeFillShade="BF"/>
          </w:tcPr>
          <w:p w:rsidR="0047212D" w:rsidRPr="00741F6B" w:rsidRDefault="0047212D" w:rsidP="00545ADC">
            <w:pPr>
              <w:pStyle w:val="BodyText"/>
              <w:spacing w:after="0"/>
              <w:contextualSpacing/>
              <w:jc w:val="center"/>
              <w:rPr>
                <w:rFonts w:ascii="Arial" w:hAnsi="Arial" w:cs="Arial"/>
                <w:b/>
                <w:sz w:val="28"/>
                <w:szCs w:val="24"/>
              </w:rPr>
            </w:pPr>
            <w:r w:rsidRPr="00741F6B">
              <w:rPr>
                <w:rFonts w:ascii="Arial" w:hAnsi="Arial" w:cs="Arial"/>
                <w:b/>
                <w:sz w:val="28"/>
                <w:szCs w:val="24"/>
              </w:rPr>
              <w:t>83</w:t>
            </w:r>
          </w:p>
        </w:tc>
        <w:tc>
          <w:tcPr>
            <w:tcW w:w="979" w:type="dxa"/>
            <w:shd w:val="clear" w:color="auto" w:fill="BF8F00" w:themeFill="accent4"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8</w:t>
            </w:r>
          </w:p>
        </w:tc>
        <w:tc>
          <w:tcPr>
            <w:tcW w:w="1220" w:type="dxa"/>
            <w:shd w:val="clear" w:color="auto" w:fill="BF8F00" w:themeFill="accent4"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91</w:t>
            </w:r>
          </w:p>
        </w:tc>
      </w:tr>
      <w:tr w:rsidR="0047212D" w:rsidRPr="00741F6B" w:rsidTr="0047212D">
        <w:trPr>
          <w:jc w:val="center"/>
        </w:trPr>
        <w:tc>
          <w:tcPr>
            <w:tcW w:w="6269" w:type="dxa"/>
            <w:shd w:val="clear" w:color="auto" w:fill="C9C9C9" w:themeFill="accent3" w:themeFillTint="99"/>
          </w:tcPr>
          <w:p w:rsidR="0047212D" w:rsidRPr="00741F6B" w:rsidRDefault="0047212D" w:rsidP="00545ADC">
            <w:pPr>
              <w:pStyle w:val="BodyText"/>
              <w:spacing w:after="0"/>
              <w:contextualSpacing/>
              <w:rPr>
                <w:rFonts w:ascii="Arial" w:hAnsi="Arial" w:cs="Arial"/>
                <w:sz w:val="24"/>
                <w:szCs w:val="24"/>
              </w:rPr>
            </w:pPr>
            <w:r w:rsidRPr="00741F6B">
              <w:rPr>
                <w:rFonts w:ascii="Arial" w:hAnsi="Arial" w:cs="Arial"/>
                <w:sz w:val="24"/>
                <w:szCs w:val="24"/>
                <w:lang w:eastAsia="en-AU"/>
              </w:rPr>
              <w:t>Student behaviour is well managed</w:t>
            </w:r>
          </w:p>
        </w:tc>
        <w:tc>
          <w:tcPr>
            <w:tcW w:w="978" w:type="dxa"/>
            <w:shd w:val="clear" w:color="auto" w:fill="C9C9C9" w:themeFill="accent3" w:themeFillTint="99"/>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50</w:t>
            </w:r>
          </w:p>
        </w:tc>
        <w:tc>
          <w:tcPr>
            <w:tcW w:w="979" w:type="dxa"/>
            <w:shd w:val="clear" w:color="auto" w:fill="7B7B7B" w:themeFill="accent3" w:themeFillShade="BF"/>
          </w:tcPr>
          <w:p w:rsidR="0047212D" w:rsidRPr="00741F6B" w:rsidRDefault="0047212D" w:rsidP="00545ADC">
            <w:pPr>
              <w:pStyle w:val="BodyText"/>
              <w:spacing w:after="0"/>
              <w:contextualSpacing/>
              <w:jc w:val="center"/>
              <w:rPr>
                <w:rFonts w:ascii="Arial" w:hAnsi="Arial" w:cs="Arial"/>
                <w:b/>
                <w:sz w:val="28"/>
                <w:szCs w:val="24"/>
              </w:rPr>
            </w:pPr>
            <w:r w:rsidRPr="00741F6B">
              <w:rPr>
                <w:rFonts w:ascii="Arial" w:hAnsi="Arial" w:cs="Arial"/>
                <w:b/>
                <w:sz w:val="28"/>
                <w:szCs w:val="24"/>
              </w:rPr>
              <w:t>54</w:t>
            </w:r>
          </w:p>
        </w:tc>
        <w:tc>
          <w:tcPr>
            <w:tcW w:w="979" w:type="dxa"/>
            <w:shd w:val="clear" w:color="auto" w:fill="7B7B7B" w:themeFill="accent3"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4</w:t>
            </w:r>
          </w:p>
        </w:tc>
        <w:tc>
          <w:tcPr>
            <w:tcW w:w="1220" w:type="dxa"/>
            <w:shd w:val="clear" w:color="auto" w:fill="7B7B7B" w:themeFill="accent3"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70</w:t>
            </w:r>
          </w:p>
        </w:tc>
      </w:tr>
      <w:tr w:rsidR="0047212D" w:rsidRPr="00741F6B" w:rsidTr="0047212D">
        <w:trPr>
          <w:jc w:val="center"/>
        </w:trPr>
        <w:tc>
          <w:tcPr>
            <w:tcW w:w="6269" w:type="dxa"/>
            <w:shd w:val="clear" w:color="auto" w:fill="F4B083" w:themeFill="accent2" w:themeFillTint="99"/>
          </w:tcPr>
          <w:p w:rsidR="0047212D" w:rsidRPr="00741F6B" w:rsidRDefault="0047212D" w:rsidP="00545ADC">
            <w:pPr>
              <w:pStyle w:val="BodyText"/>
              <w:spacing w:after="0"/>
              <w:contextualSpacing/>
              <w:rPr>
                <w:rFonts w:ascii="Arial" w:hAnsi="Arial" w:cs="Arial"/>
                <w:sz w:val="24"/>
                <w:szCs w:val="24"/>
                <w:lang w:eastAsia="en-AU"/>
              </w:rPr>
            </w:pPr>
            <w:r w:rsidRPr="00741F6B">
              <w:rPr>
                <w:rFonts w:ascii="Arial" w:hAnsi="Arial" w:cs="Arial"/>
                <w:sz w:val="24"/>
                <w:szCs w:val="24"/>
                <w:lang w:eastAsia="en-AU"/>
              </w:rPr>
              <w:t>I like being at school</w:t>
            </w:r>
          </w:p>
        </w:tc>
        <w:tc>
          <w:tcPr>
            <w:tcW w:w="978" w:type="dxa"/>
            <w:shd w:val="clear" w:color="auto" w:fill="F4B083" w:themeFill="accent2" w:themeFillTint="99"/>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80</w:t>
            </w:r>
          </w:p>
        </w:tc>
        <w:tc>
          <w:tcPr>
            <w:tcW w:w="979" w:type="dxa"/>
            <w:shd w:val="clear" w:color="auto" w:fill="C45911" w:themeFill="accent2" w:themeFillShade="BF"/>
          </w:tcPr>
          <w:p w:rsidR="0047212D" w:rsidRPr="00741F6B" w:rsidRDefault="0047212D" w:rsidP="00545ADC">
            <w:pPr>
              <w:pStyle w:val="BodyText"/>
              <w:spacing w:after="0"/>
              <w:contextualSpacing/>
              <w:jc w:val="center"/>
              <w:rPr>
                <w:rFonts w:ascii="Arial" w:hAnsi="Arial" w:cs="Arial"/>
                <w:b/>
                <w:sz w:val="28"/>
                <w:szCs w:val="24"/>
              </w:rPr>
            </w:pPr>
            <w:r w:rsidRPr="00741F6B">
              <w:rPr>
                <w:rFonts w:ascii="Arial" w:hAnsi="Arial" w:cs="Arial"/>
                <w:b/>
                <w:sz w:val="28"/>
                <w:szCs w:val="24"/>
              </w:rPr>
              <w:t>89</w:t>
            </w:r>
          </w:p>
        </w:tc>
        <w:tc>
          <w:tcPr>
            <w:tcW w:w="979" w:type="dxa"/>
            <w:shd w:val="clear" w:color="auto" w:fill="C45911" w:themeFill="accent2"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9</w:t>
            </w:r>
          </w:p>
        </w:tc>
        <w:tc>
          <w:tcPr>
            <w:tcW w:w="1220" w:type="dxa"/>
            <w:shd w:val="clear" w:color="auto" w:fill="C45911" w:themeFill="accent2"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90</w:t>
            </w:r>
          </w:p>
        </w:tc>
      </w:tr>
      <w:tr w:rsidR="0047212D" w:rsidRPr="00741F6B" w:rsidTr="0047212D">
        <w:trPr>
          <w:jc w:val="center"/>
        </w:trPr>
        <w:tc>
          <w:tcPr>
            <w:tcW w:w="6269" w:type="dxa"/>
            <w:shd w:val="clear" w:color="auto" w:fill="9CC2E5" w:themeFill="accent1" w:themeFillTint="99"/>
          </w:tcPr>
          <w:p w:rsidR="0047212D" w:rsidRPr="00741F6B" w:rsidRDefault="0047212D" w:rsidP="00545ADC">
            <w:pPr>
              <w:pStyle w:val="BodyText"/>
              <w:spacing w:after="0"/>
              <w:contextualSpacing/>
              <w:rPr>
                <w:rFonts w:ascii="Arial" w:hAnsi="Arial" w:cs="Arial"/>
                <w:sz w:val="24"/>
                <w:szCs w:val="24"/>
                <w:lang w:eastAsia="en-AU"/>
              </w:rPr>
            </w:pPr>
            <w:r w:rsidRPr="00741F6B">
              <w:rPr>
                <w:rFonts w:ascii="Arial" w:hAnsi="Arial" w:cs="Arial"/>
                <w:sz w:val="24"/>
                <w:szCs w:val="24"/>
                <w:lang w:eastAsia="en-AU"/>
              </w:rPr>
              <w:t>The school celebrates the achievements of students</w:t>
            </w:r>
          </w:p>
        </w:tc>
        <w:tc>
          <w:tcPr>
            <w:tcW w:w="978" w:type="dxa"/>
            <w:shd w:val="clear" w:color="auto" w:fill="9CC2E5" w:themeFill="accent1" w:themeFillTint="99"/>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75</w:t>
            </w:r>
          </w:p>
        </w:tc>
        <w:tc>
          <w:tcPr>
            <w:tcW w:w="979" w:type="dxa"/>
            <w:shd w:val="clear" w:color="auto" w:fill="2E74B5" w:themeFill="accent1" w:themeFillShade="BF"/>
          </w:tcPr>
          <w:p w:rsidR="0047212D" w:rsidRPr="00741F6B" w:rsidRDefault="0047212D" w:rsidP="00545ADC">
            <w:pPr>
              <w:pStyle w:val="BodyText"/>
              <w:spacing w:after="0"/>
              <w:contextualSpacing/>
              <w:jc w:val="center"/>
              <w:rPr>
                <w:rFonts w:ascii="Arial" w:hAnsi="Arial" w:cs="Arial"/>
                <w:b/>
                <w:sz w:val="28"/>
                <w:szCs w:val="24"/>
              </w:rPr>
            </w:pPr>
            <w:r w:rsidRPr="00741F6B">
              <w:rPr>
                <w:rFonts w:ascii="Arial" w:hAnsi="Arial" w:cs="Arial"/>
                <w:b/>
                <w:sz w:val="28"/>
                <w:szCs w:val="24"/>
              </w:rPr>
              <w:t>95</w:t>
            </w:r>
          </w:p>
        </w:tc>
        <w:tc>
          <w:tcPr>
            <w:tcW w:w="979" w:type="dxa"/>
            <w:shd w:val="clear" w:color="auto" w:fill="2E74B5" w:themeFill="accent1"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20</w:t>
            </w:r>
          </w:p>
        </w:tc>
        <w:tc>
          <w:tcPr>
            <w:tcW w:w="1220" w:type="dxa"/>
            <w:shd w:val="clear" w:color="auto" w:fill="2E74B5" w:themeFill="accent1" w:themeFillShade="BF"/>
          </w:tcPr>
          <w:p w:rsidR="0047212D" w:rsidRPr="00741F6B" w:rsidRDefault="0047212D" w:rsidP="00545ADC">
            <w:pPr>
              <w:pStyle w:val="BodyText"/>
              <w:spacing w:after="0"/>
              <w:contextualSpacing/>
              <w:jc w:val="center"/>
              <w:rPr>
                <w:rFonts w:ascii="Arial" w:hAnsi="Arial" w:cs="Arial"/>
                <w:sz w:val="24"/>
                <w:szCs w:val="24"/>
              </w:rPr>
            </w:pPr>
            <w:r w:rsidRPr="00741F6B">
              <w:rPr>
                <w:rFonts w:ascii="Arial" w:hAnsi="Arial" w:cs="Arial"/>
                <w:sz w:val="24"/>
                <w:szCs w:val="24"/>
              </w:rPr>
              <w:t>90</w:t>
            </w:r>
          </w:p>
        </w:tc>
      </w:tr>
    </w:tbl>
    <w:p w:rsidR="00545ADC" w:rsidRPr="00741F6B" w:rsidRDefault="00545ADC" w:rsidP="00545ADC">
      <w:pPr>
        <w:pStyle w:val="BodyText"/>
        <w:spacing w:after="0"/>
        <w:contextualSpacing/>
        <w:rPr>
          <w:rFonts w:ascii="Arial" w:hAnsi="Arial" w:cs="Arial"/>
          <w:sz w:val="24"/>
          <w:szCs w:val="24"/>
        </w:rPr>
      </w:pPr>
    </w:p>
    <w:p w:rsidR="00545ADC" w:rsidRPr="00741F6B" w:rsidRDefault="00545ADC" w:rsidP="00545ADC">
      <w:pPr>
        <w:pStyle w:val="BodyText"/>
        <w:spacing w:after="0"/>
        <w:contextualSpacing/>
        <w:rPr>
          <w:rFonts w:ascii="Arial" w:hAnsi="Arial" w:cs="Arial"/>
          <w:sz w:val="24"/>
          <w:szCs w:val="24"/>
        </w:rPr>
      </w:pPr>
      <w:r w:rsidRPr="00741F6B">
        <w:rPr>
          <w:rFonts w:ascii="Arial" w:hAnsi="Arial" w:cs="Arial"/>
          <w:sz w:val="24"/>
          <w:szCs w:val="24"/>
        </w:rPr>
        <w:t xml:space="preserve">That the school exceeded all it’s targets is an impressive indicator of success in this area.  Impressively 95 percent of students positively responded to the statement that the school celebrates achievements of students.  This is very positive evidence of a culture that focuses on student learning.  In addition there is strong correlation between parents and students with the results against the same items aligning closely. </w:t>
      </w:r>
    </w:p>
    <w:p w:rsidR="00545ADC" w:rsidRPr="00545ADC" w:rsidRDefault="00545ADC" w:rsidP="00545ADC">
      <w:pPr>
        <w:pStyle w:val="BodyText"/>
        <w:rPr>
          <w:rFonts w:ascii="Arial" w:hAnsi="Arial" w:cs="Arial"/>
        </w:rPr>
      </w:pPr>
    </w:p>
    <w:p w:rsidR="00545ADC" w:rsidRPr="00545ADC" w:rsidRDefault="00545ADC" w:rsidP="00545ADC">
      <w:pPr>
        <w:spacing w:line="240" w:lineRule="auto"/>
        <w:rPr>
          <w:rFonts w:ascii="Arial" w:eastAsia="Times New Roman" w:hAnsi="Arial" w:cs="Arial"/>
          <w:bCs/>
          <w:i/>
          <w:sz w:val="24"/>
          <w:szCs w:val="24"/>
          <w:lang w:val="x-none" w:eastAsia="x-none"/>
        </w:rPr>
      </w:pPr>
    </w:p>
    <w:p w:rsidR="00CD5632" w:rsidRPr="00545ADC" w:rsidRDefault="00CD5632" w:rsidP="00820E01">
      <w:pPr>
        <w:pStyle w:val="BodyText"/>
        <w:rPr>
          <w:rFonts w:ascii="Arial" w:hAnsi="Arial" w:cs="Arial"/>
        </w:rPr>
      </w:pPr>
    </w:p>
    <w:sectPr w:rsidR="00CD5632" w:rsidRPr="00545ADC" w:rsidSect="00545ADC">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0C" w:rsidRDefault="00FF7B0C" w:rsidP="00BE27A0">
      <w:pPr>
        <w:spacing w:line="240" w:lineRule="auto"/>
      </w:pPr>
      <w:r>
        <w:separator/>
      </w:r>
    </w:p>
  </w:endnote>
  <w:endnote w:type="continuationSeparator" w:id="0">
    <w:p w:rsidR="00FF7B0C" w:rsidRDefault="00FF7B0C"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030051"/>
      <w:docPartObj>
        <w:docPartGallery w:val="Page Numbers (Bottom of Page)"/>
        <w:docPartUnique/>
      </w:docPartObj>
    </w:sdtPr>
    <w:sdtEndPr>
      <w:rPr>
        <w:noProof/>
      </w:rPr>
    </w:sdtEndPr>
    <w:sdtContent>
      <w:p w:rsidR="00FF7B0C" w:rsidRDefault="00FF7B0C" w:rsidP="00820E01">
        <w:pPr>
          <w:pStyle w:val="Footer"/>
          <w:jc w:val="center"/>
        </w:pPr>
        <w:r>
          <w:t xml:space="preserve">Page | </w:t>
        </w:r>
        <w:r>
          <w:fldChar w:fldCharType="begin"/>
        </w:r>
        <w:r>
          <w:instrText xml:space="preserve"> PAGE   \* MERGEFORMAT </w:instrText>
        </w:r>
        <w:r>
          <w:fldChar w:fldCharType="separate"/>
        </w:r>
        <w:r w:rsidR="00C629A4">
          <w:rPr>
            <w:noProof/>
          </w:rPr>
          <w:t>2</w:t>
        </w:r>
        <w:r>
          <w:rPr>
            <w:noProof/>
          </w:rPr>
          <w:fldChar w:fldCharType="end"/>
        </w:r>
      </w:p>
    </w:sdtContent>
  </w:sdt>
  <w:p w:rsidR="00FF7B0C" w:rsidRDefault="00FF7B0C"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0C" w:rsidRDefault="00FF7B0C" w:rsidP="00BE27A0">
      <w:pPr>
        <w:spacing w:line="240" w:lineRule="auto"/>
      </w:pPr>
      <w:r>
        <w:separator/>
      </w:r>
    </w:p>
  </w:footnote>
  <w:footnote w:type="continuationSeparator" w:id="0">
    <w:p w:rsidR="00FF7B0C" w:rsidRDefault="00FF7B0C"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20A9"/>
    <w:multiLevelType w:val="hybridMultilevel"/>
    <w:tmpl w:val="5D8EA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9B6BDE"/>
    <w:multiLevelType w:val="hybridMultilevel"/>
    <w:tmpl w:val="CCE6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DC"/>
    <w:rsid w:val="00011CA3"/>
    <w:rsid w:val="0002157B"/>
    <w:rsid w:val="000443D7"/>
    <w:rsid w:val="000C33F1"/>
    <w:rsid w:val="000D5BEC"/>
    <w:rsid w:val="001205F6"/>
    <w:rsid w:val="001619BA"/>
    <w:rsid w:val="0016711F"/>
    <w:rsid w:val="001E7B01"/>
    <w:rsid w:val="002471F7"/>
    <w:rsid w:val="002576D6"/>
    <w:rsid w:val="002636B7"/>
    <w:rsid w:val="002C310E"/>
    <w:rsid w:val="00325822"/>
    <w:rsid w:val="00370BBF"/>
    <w:rsid w:val="0038074C"/>
    <w:rsid w:val="003902D8"/>
    <w:rsid w:val="003C7B83"/>
    <w:rsid w:val="003D399D"/>
    <w:rsid w:val="003D5E9D"/>
    <w:rsid w:val="003E22DD"/>
    <w:rsid w:val="00410177"/>
    <w:rsid w:val="00436D3B"/>
    <w:rsid w:val="0047212D"/>
    <w:rsid w:val="00496621"/>
    <w:rsid w:val="00515C02"/>
    <w:rsid w:val="00517079"/>
    <w:rsid w:val="00545ADC"/>
    <w:rsid w:val="00557449"/>
    <w:rsid w:val="00595B80"/>
    <w:rsid w:val="005E04F9"/>
    <w:rsid w:val="006459EE"/>
    <w:rsid w:val="00662881"/>
    <w:rsid w:val="00675FF5"/>
    <w:rsid w:val="00681220"/>
    <w:rsid w:val="00692DF0"/>
    <w:rsid w:val="006F45C9"/>
    <w:rsid w:val="00713C79"/>
    <w:rsid w:val="00735D3C"/>
    <w:rsid w:val="00741F6B"/>
    <w:rsid w:val="00746131"/>
    <w:rsid w:val="00764EB5"/>
    <w:rsid w:val="00780083"/>
    <w:rsid w:val="007967D2"/>
    <w:rsid w:val="007D36B1"/>
    <w:rsid w:val="007E749D"/>
    <w:rsid w:val="00820E01"/>
    <w:rsid w:val="008324B9"/>
    <w:rsid w:val="008E44EF"/>
    <w:rsid w:val="0090599D"/>
    <w:rsid w:val="00926BE8"/>
    <w:rsid w:val="00943DA1"/>
    <w:rsid w:val="00951C35"/>
    <w:rsid w:val="00966D77"/>
    <w:rsid w:val="009876DA"/>
    <w:rsid w:val="009A1213"/>
    <w:rsid w:val="009B7256"/>
    <w:rsid w:val="009D5F85"/>
    <w:rsid w:val="00A003A0"/>
    <w:rsid w:val="00A20114"/>
    <w:rsid w:val="00A20F6F"/>
    <w:rsid w:val="00A30B32"/>
    <w:rsid w:val="00A42F6D"/>
    <w:rsid w:val="00A477F9"/>
    <w:rsid w:val="00A76F1D"/>
    <w:rsid w:val="00A77367"/>
    <w:rsid w:val="00AD110E"/>
    <w:rsid w:val="00B43D35"/>
    <w:rsid w:val="00B50816"/>
    <w:rsid w:val="00B50CB4"/>
    <w:rsid w:val="00B5742E"/>
    <w:rsid w:val="00BE27A0"/>
    <w:rsid w:val="00BE4A52"/>
    <w:rsid w:val="00C1064B"/>
    <w:rsid w:val="00C24559"/>
    <w:rsid w:val="00C35789"/>
    <w:rsid w:val="00C611F0"/>
    <w:rsid w:val="00C629A4"/>
    <w:rsid w:val="00CA1696"/>
    <w:rsid w:val="00CD5632"/>
    <w:rsid w:val="00D23DF8"/>
    <w:rsid w:val="00D3347A"/>
    <w:rsid w:val="00D66537"/>
    <w:rsid w:val="00D700C9"/>
    <w:rsid w:val="00DB69AA"/>
    <w:rsid w:val="00E06708"/>
    <w:rsid w:val="00E140EC"/>
    <w:rsid w:val="00E14542"/>
    <w:rsid w:val="00E35300"/>
    <w:rsid w:val="00E3732E"/>
    <w:rsid w:val="00E72C23"/>
    <w:rsid w:val="00E85652"/>
    <w:rsid w:val="00E864C9"/>
    <w:rsid w:val="00EA1668"/>
    <w:rsid w:val="00EA5C81"/>
    <w:rsid w:val="00EB2FD9"/>
    <w:rsid w:val="00ED360E"/>
    <w:rsid w:val="00F05DA4"/>
    <w:rsid w:val="00F13379"/>
    <w:rsid w:val="00F8264F"/>
    <w:rsid w:val="00F864DF"/>
    <w:rsid w:val="00FE3AAA"/>
    <w:rsid w:val="00FF7B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E48F30-EDD5-4FD9-93A1-9D9322D1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ListParagraph">
    <w:name w:val="List Paragraph"/>
    <w:aliases w:val="List Paragraph1,Recommendation,List Paragraph11,Content descriptions,Bullet point"/>
    <w:basedOn w:val="Normal"/>
    <w:link w:val="ListParagraphChar"/>
    <w:uiPriority w:val="34"/>
    <w:qFormat/>
    <w:rsid w:val="00545ADC"/>
    <w:pPr>
      <w:ind w:left="720"/>
      <w:contextualSpacing/>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545ADC"/>
    <w:rPr>
      <w:sz w:val="22"/>
      <w:szCs w:val="22"/>
      <w:lang w:eastAsia="en-US"/>
    </w:rPr>
  </w:style>
  <w:style w:type="table" w:styleId="TableGrid">
    <w:name w:val="Table Grid"/>
    <w:basedOn w:val="TableNormal"/>
    <w:uiPriority w:val="59"/>
    <w:rsid w:val="00545ADC"/>
    <w:rPr>
      <w:rFonts w:ascii="Optima" w:eastAsiaTheme="minorEastAsia" w:hAnsi="Optima"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5ADC"/>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5261">
      <w:bodyDiv w:val="1"/>
      <w:marLeft w:val="0"/>
      <w:marRight w:val="0"/>
      <w:marTop w:val="0"/>
      <w:marBottom w:val="0"/>
      <w:divBdr>
        <w:top w:val="none" w:sz="0" w:space="0" w:color="auto"/>
        <w:left w:val="none" w:sz="0" w:space="0" w:color="auto"/>
        <w:bottom w:val="none" w:sz="0" w:space="0" w:color="auto"/>
        <w:right w:val="none" w:sz="0" w:space="0" w:color="auto"/>
      </w:divBdr>
    </w:div>
    <w:div w:id="2135824457">
      <w:bodyDiv w:val="1"/>
      <w:marLeft w:val="0"/>
      <w:marRight w:val="0"/>
      <w:marTop w:val="0"/>
      <w:marBottom w:val="0"/>
      <w:divBdr>
        <w:top w:val="none" w:sz="0" w:space="0" w:color="auto"/>
        <w:left w:val="none" w:sz="0" w:space="0" w:color="auto"/>
        <w:bottom w:val="none" w:sz="0" w:space="0" w:color="auto"/>
        <w:right w:val="none" w:sz="0" w:space="0" w:color="auto"/>
      </w:divBdr>
    </w:div>
    <w:div w:id="21463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BC67950C</Template>
  <TotalTime>1</TotalTime>
  <Pages>8</Pages>
  <Words>2685</Words>
  <Characters>15310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peter geoffrey henry</dc:creator>
  <cp:lastModifiedBy>MacMillan, Robyn</cp:lastModifiedBy>
  <cp:revision>2</cp:revision>
  <cp:lastPrinted>2017-04-06T03:18:00Z</cp:lastPrinted>
  <dcterms:created xsi:type="dcterms:W3CDTF">2018-01-29T23:20:00Z</dcterms:created>
  <dcterms:modified xsi:type="dcterms:W3CDTF">2018-01-29T23:20:00Z</dcterms:modified>
</cp:coreProperties>
</file>