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2C8586B7" w:rsidR="00FE1945" w:rsidRPr="00563A3D" w:rsidRDefault="004B7B1A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Isabella Plains Early Childhood School</w:t>
          </w:r>
        </w:p>
      </w:sdtContent>
    </w:sdt>
    <w:p w14:paraId="63330FCF" w14:textId="2786F21C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B7B1A">
            <w:t>Tuggeranong</w:t>
          </w:r>
        </w:sdtContent>
      </w:sdt>
    </w:p>
    <w:p w14:paraId="38F253B0" w14:textId="59F07B91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B7B1A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27CB5648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r w:rsidR="005B79D4" w:rsidRPr="00132917">
        <w:t>changes,</w:t>
      </w:r>
      <w:r w:rsidR="00DA4480" w:rsidRPr="00132917">
        <w:t xml:space="preserve"> or risks to delivery of improvement for student learning.</w:t>
      </w:r>
    </w:p>
    <w:p w14:paraId="2E6A7037" w14:textId="77777777" w:rsidR="0095310D" w:rsidRPr="0095310D" w:rsidRDefault="0095310D" w:rsidP="0095310D">
      <w:pPr>
        <w:pStyle w:val="PlainText"/>
        <w:rPr>
          <w:noProof/>
        </w:rPr>
      </w:pPr>
      <w:r w:rsidRPr="0095310D">
        <w:rPr>
          <w:noProof/>
        </w:rPr>
        <w:t>Please note, due to the events of 2020 the data collection cycles of some measures were interrupted. Where this has occurred an N/A or 0 (zero) entry has been used.</w:t>
      </w:r>
    </w:p>
    <w:p w14:paraId="4C974366" w14:textId="1FF5F75B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7D613C76" w:rsidR="00846E51" w:rsidRPr="00132917" w:rsidRDefault="00300F72" w:rsidP="00132917">
      <w:pPr>
        <w:pStyle w:val="BodyText"/>
      </w:pPr>
      <w:r w:rsidRPr="00132917">
        <w:t>In 20</w:t>
      </w:r>
      <w:r w:rsidR="00835824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Priority </w:t>
      </w:r>
      <w:r w:rsidR="00835824">
        <w:t>2</w:t>
      </w:r>
      <w:r w:rsidRPr="00132917">
        <w:t xml:space="preserve"> (see reporting for detail):</w:t>
      </w:r>
    </w:p>
    <w:p w14:paraId="05831A13" w14:textId="1A4E3C87" w:rsidR="00300F72" w:rsidRDefault="00775F5F" w:rsidP="00300F72">
      <w:pPr>
        <w:pStyle w:val="ListBullet"/>
      </w:pPr>
      <w:r>
        <w:t>Commenced implementation of PBL</w:t>
      </w:r>
      <w:r w:rsidR="005B79D4">
        <w:t>.</w:t>
      </w:r>
    </w:p>
    <w:p w14:paraId="23B00FFE" w14:textId="77777777" w:rsidR="006A3A81" w:rsidRPr="00300F72" w:rsidRDefault="006A3A81" w:rsidP="007C704B">
      <w:pPr>
        <w:pStyle w:val="ListBullet"/>
        <w:numPr>
          <w:ilvl w:val="0"/>
          <w:numId w:val="0"/>
        </w:numPr>
        <w:ind w:left="360"/>
      </w:pP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752C7E9C" w:rsidR="00300F72" w:rsidRPr="00132917" w:rsidRDefault="00300F72" w:rsidP="00132917">
      <w:pPr>
        <w:pStyle w:val="BodyText"/>
      </w:pPr>
      <w:r w:rsidRPr="00132917">
        <w:t>In 20</w:t>
      </w:r>
      <w:r w:rsidR="00775F5F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244B7">
        <w:t>1</w:t>
      </w:r>
      <w:r w:rsidRPr="00132917">
        <w:t xml:space="preserve"> (see reporting for detail):</w:t>
      </w:r>
    </w:p>
    <w:p w14:paraId="48F62C1A" w14:textId="0875A553" w:rsidR="00835824" w:rsidRDefault="00775F5F" w:rsidP="00835824">
      <w:pPr>
        <w:pStyle w:val="ListBullet"/>
      </w:pPr>
      <w:r>
        <w:t>Participated in the Directorate</w:t>
      </w:r>
      <w:r w:rsidR="005B79D4">
        <w:t>’</w:t>
      </w:r>
      <w:r>
        <w:t>s Early Years Literacy project</w:t>
      </w:r>
      <w:r w:rsidR="006A3A81">
        <w:t xml:space="preserve"> and embedded core elements of this in our classroom practice</w:t>
      </w:r>
      <w:r w:rsidR="005B79D4">
        <w:t>.</w:t>
      </w:r>
    </w:p>
    <w:p w14:paraId="74B195EB" w14:textId="24541D52" w:rsidR="00775F5F" w:rsidRDefault="00775F5F" w:rsidP="00835824">
      <w:pPr>
        <w:pStyle w:val="ListBullet"/>
      </w:pPr>
      <w:r>
        <w:t>Continue to develop the capacity to use effective, evidence-based strategies in the teaching of English</w:t>
      </w:r>
      <w:r w:rsidR="005B79D4">
        <w:t>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005F8ED1" w:rsidR="00300F72" w:rsidRPr="00132917" w:rsidRDefault="00300F72" w:rsidP="00132917">
      <w:pPr>
        <w:pStyle w:val="BodyText"/>
      </w:pPr>
      <w:r w:rsidRPr="00132917">
        <w:t>In 20</w:t>
      </w:r>
      <w:r w:rsidR="00775F5F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Priority X (see reporting for detail):</w:t>
      </w:r>
    </w:p>
    <w:p w14:paraId="0D6D7FD5" w14:textId="77777777" w:rsidR="006A3A81" w:rsidRDefault="006A3A81" w:rsidP="006A3A81">
      <w:pPr>
        <w:pStyle w:val="ListBullet"/>
        <w:numPr>
          <w:ilvl w:val="0"/>
          <w:numId w:val="0"/>
        </w:numPr>
        <w:ind w:left="360" w:hanging="360"/>
      </w:pPr>
    </w:p>
    <w:p w14:paraId="7B2C4868" w14:textId="7DFD9426" w:rsidR="006A3A81" w:rsidRPr="00300F72" w:rsidRDefault="006A3A81" w:rsidP="007C704B">
      <w:pPr>
        <w:pStyle w:val="ListBullet"/>
        <w:numPr>
          <w:ilvl w:val="0"/>
          <w:numId w:val="20"/>
        </w:numPr>
        <w:ind w:left="284" w:hanging="284"/>
      </w:pPr>
      <w:r>
        <w:t>Enhanced our PLC structure and built teacher capacity in data analysis to inform planning and targeted teaching to strengthen outcomes for all students</w:t>
      </w:r>
      <w:r w:rsidR="005B79D4">
        <w:t>.</w:t>
      </w:r>
    </w:p>
    <w:p w14:paraId="200F6B8B" w14:textId="0A9D8240" w:rsidR="0093040B" w:rsidRDefault="0093040B" w:rsidP="00C46F91">
      <w:pPr>
        <w:pStyle w:val="ListBullet"/>
        <w:numPr>
          <w:ilvl w:val="0"/>
          <w:numId w:val="0"/>
        </w:numPr>
      </w:pP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60F6F987" w14:textId="77777777" w:rsidR="006A3A81" w:rsidRPr="000F0410" w:rsidRDefault="00837137" w:rsidP="006A3A81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6A3A81">
        <w:t>Maximise growth in learning for all children</w:t>
      </w:r>
    </w:p>
    <w:p w14:paraId="255A28BA" w14:textId="7DCFA201" w:rsidR="004D5E45" w:rsidRPr="00837137" w:rsidRDefault="006D2F6B" w:rsidP="006A3A81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316A5283" w14:textId="3EB9DCE7" w:rsidR="006A3A81" w:rsidRDefault="006A3A81" w:rsidP="006A3A81">
      <w:pPr>
        <w:pStyle w:val="BodyText"/>
      </w:pPr>
      <w:r>
        <w:t>By the end of 2022:</w:t>
      </w:r>
    </w:p>
    <w:p w14:paraId="56EC2F2D" w14:textId="77777777" w:rsidR="006A3A81" w:rsidRPr="00462C51" w:rsidRDefault="006A3A81" w:rsidP="006A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color w:val="000000"/>
          <w:lang w:eastAsia="en-AU"/>
        </w:rPr>
      </w:pPr>
      <w:r w:rsidRPr="00462C51">
        <w:rPr>
          <w:rFonts w:ascii="Calibri" w:eastAsia="Calibri" w:hAnsi="Calibri" w:cs="Calibri"/>
          <w:color w:val="000000"/>
          <w:lang w:eastAsia="en-AU"/>
        </w:rPr>
        <w:t xml:space="preserve">All children will achieve a minimum of one band of growth in the </w:t>
      </w:r>
      <w:r w:rsidRPr="00462C51">
        <w:rPr>
          <w:rFonts w:ascii="Calibri" w:eastAsia="Calibri" w:hAnsi="Calibri" w:cs="Calibri"/>
          <w:i/>
          <w:color w:val="000000"/>
          <w:lang w:eastAsia="en-AU"/>
        </w:rPr>
        <w:t>Creola and Devine Oral Language Assessment</w:t>
      </w:r>
      <w:r w:rsidRPr="00462C51">
        <w:rPr>
          <w:rFonts w:ascii="Calibri" w:eastAsia="Calibri" w:hAnsi="Calibri" w:cs="Calibri"/>
          <w:color w:val="000000"/>
          <w:lang w:eastAsia="en-AU"/>
        </w:rPr>
        <w:t xml:space="preserve"> at the end of their preschool year. Aspirationally they will all finish preschool in the top band.</w:t>
      </w:r>
    </w:p>
    <w:p w14:paraId="3DDAA50B" w14:textId="77777777" w:rsidR="006A3A81" w:rsidRPr="00462C51" w:rsidRDefault="006A3A81" w:rsidP="006A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color w:val="000000"/>
          <w:lang w:eastAsia="en-AU"/>
        </w:rPr>
      </w:pPr>
      <w:r w:rsidRPr="00462C51">
        <w:rPr>
          <w:rFonts w:ascii="Calibri" w:eastAsia="Calibri" w:hAnsi="Calibri" w:cs="Calibri"/>
          <w:color w:val="000000"/>
          <w:lang w:eastAsia="en-AU"/>
        </w:rPr>
        <w:t>All children K-2 will achieve the ACT ED Benchmark in Reading for their year level.  Aspirationally, all children will exceed the benchmark.</w:t>
      </w:r>
    </w:p>
    <w:p w14:paraId="07FA6CB8" w14:textId="77777777" w:rsidR="006A3A81" w:rsidRPr="00462C51" w:rsidRDefault="006A3A81" w:rsidP="006A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color w:val="000000"/>
          <w:lang w:eastAsia="en-AU"/>
        </w:rPr>
      </w:pPr>
      <w:r w:rsidRPr="00462C51">
        <w:rPr>
          <w:rFonts w:ascii="Calibri" w:eastAsia="Calibri" w:hAnsi="Calibri" w:cs="Calibri"/>
          <w:color w:val="000000"/>
          <w:lang w:eastAsia="en-AU"/>
        </w:rPr>
        <w:t>All children K-2 will demonstrate growth in reading at a consistent rate with feeder schools (Bonython, Richardson, Monash). Aspirationally, we would like to see all our graduates achieve a higher rate of growth.</w:t>
      </w:r>
    </w:p>
    <w:p w14:paraId="2D297A87" w14:textId="77777777" w:rsidR="006A3A81" w:rsidRPr="00462C51" w:rsidRDefault="006A3A81" w:rsidP="006A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color w:val="000000"/>
          <w:lang w:eastAsia="en-AU"/>
        </w:rPr>
      </w:pPr>
      <w:r w:rsidRPr="00462C51">
        <w:rPr>
          <w:rFonts w:ascii="Calibri" w:eastAsia="Calibri" w:hAnsi="Calibri" w:cs="Calibri"/>
          <w:color w:val="000000"/>
          <w:lang w:eastAsia="en-AU"/>
        </w:rPr>
        <w:t xml:space="preserve">All children will achieve the grade level outcomes of the Writing Assessment Tool. Aspirationally, 20% of children will achieve above the expected grade level outcomes. </w:t>
      </w:r>
    </w:p>
    <w:p w14:paraId="2B4E62EA" w14:textId="77777777" w:rsidR="006A3A81" w:rsidRPr="00462C51" w:rsidRDefault="006A3A81" w:rsidP="006A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color w:val="000000"/>
          <w:lang w:eastAsia="en-AU"/>
        </w:rPr>
      </w:pPr>
      <w:r w:rsidRPr="00462C51">
        <w:rPr>
          <w:rFonts w:ascii="Calibri" w:eastAsia="Calibri" w:hAnsi="Calibri" w:cs="Calibri"/>
          <w:color w:val="000000"/>
          <w:lang w:eastAsia="en-AU"/>
        </w:rPr>
        <w:t xml:space="preserve">All children will retain the same grade year to year in English. Aspirationally, we would like 20% of our students transitioning to higher grades.  </w:t>
      </w:r>
    </w:p>
    <w:p w14:paraId="793564A0" w14:textId="77777777" w:rsidR="006A3A81" w:rsidRPr="00462C51" w:rsidRDefault="006A3A81" w:rsidP="006A3A8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color w:val="000000"/>
          <w:lang w:eastAsia="en-AU"/>
        </w:rPr>
      </w:pPr>
      <w:r w:rsidRPr="00462C51">
        <w:rPr>
          <w:rFonts w:ascii="Calibri" w:eastAsia="Calibri" w:hAnsi="Calibri" w:cs="Calibri"/>
          <w:color w:val="000000"/>
          <w:lang w:eastAsia="en-AU"/>
        </w:rPr>
        <w:t xml:space="preserve">All children will retain the same grade year to year in Mathematics. Aspirationally, we would like 20% of our students transitioning to higher grades.   </w:t>
      </w:r>
    </w:p>
    <w:p w14:paraId="3A8F86FE" w14:textId="77777777" w:rsidR="006A3A81" w:rsidRDefault="006A3A81" w:rsidP="00837137">
      <w:pPr>
        <w:pStyle w:val="BodyText"/>
      </w:pPr>
    </w:p>
    <w:p w14:paraId="1319DBFF" w14:textId="1D49D1E0" w:rsidR="004D5E45" w:rsidRPr="00373DC0" w:rsidRDefault="004D5E45" w:rsidP="00837137">
      <w:pPr>
        <w:pStyle w:val="BodyText"/>
      </w:pPr>
      <w:r w:rsidRPr="00373DC0">
        <w:t>In 20</w:t>
      </w:r>
      <w:r w:rsidR="006A3A81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62197C55" w14:textId="354C3EF0" w:rsidR="00997CD0" w:rsidRDefault="0030111C" w:rsidP="00837137">
      <w:pPr>
        <w:pStyle w:val="ListBullet"/>
      </w:pPr>
      <w:r>
        <w:t xml:space="preserve">Development of English curriculum plan </w:t>
      </w:r>
    </w:p>
    <w:p w14:paraId="06C3B9A6" w14:textId="16B6B152" w:rsidR="00997CD0" w:rsidRDefault="0030111C" w:rsidP="00837137">
      <w:pPr>
        <w:pStyle w:val="ListBullet"/>
      </w:pPr>
      <w:r>
        <w:t>Embedding assessment tracking and processes across the school</w:t>
      </w:r>
    </w:p>
    <w:p w14:paraId="1DB5D6F2" w14:textId="7B5C4E19" w:rsidR="00997CD0" w:rsidRDefault="0030111C" w:rsidP="00837137">
      <w:pPr>
        <w:pStyle w:val="ListBullet"/>
      </w:pPr>
      <w:r>
        <w:t xml:space="preserve">Implementation of PRIDE reading across </w:t>
      </w:r>
      <w:r w:rsidR="005B79D4">
        <w:t>K</w:t>
      </w:r>
      <w:r>
        <w:t>-2 learning spaces</w:t>
      </w:r>
    </w:p>
    <w:p w14:paraId="1D4DF30D" w14:textId="4BA06A8D" w:rsidR="00260EA4" w:rsidRDefault="0030111C" w:rsidP="006A3A81">
      <w:pPr>
        <w:pStyle w:val="ListBullet"/>
      </w:pPr>
      <w:r>
        <w:t xml:space="preserve">Regular </w:t>
      </w:r>
      <w:r w:rsidR="005B79D4">
        <w:t>‘</w:t>
      </w:r>
      <w:r>
        <w:t>learning walk and talks</w:t>
      </w:r>
      <w:r w:rsidR="005B79D4">
        <w:t>’</w:t>
      </w:r>
      <w:r>
        <w:t xml:space="preserve"> undertaken with feedback provided and electronically tracked through a school wide form</w:t>
      </w:r>
    </w:p>
    <w:p w14:paraId="2154BEBE" w14:textId="4474A632" w:rsidR="0030111C" w:rsidRDefault="00260EA4" w:rsidP="006A3A81">
      <w:pPr>
        <w:pStyle w:val="ListBullet"/>
      </w:pPr>
      <w:r>
        <w:t>Assessment database has been updated</w:t>
      </w:r>
      <w:r w:rsidR="0030111C">
        <w:t xml:space="preserve"> </w:t>
      </w:r>
    </w:p>
    <w:p w14:paraId="159CB0F5" w14:textId="77777777" w:rsidR="0030111C" w:rsidRDefault="0030111C" w:rsidP="0030111C">
      <w:pPr>
        <w:pStyle w:val="ListBullet"/>
        <w:numPr>
          <w:ilvl w:val="0"/>
          <w:numId w:val="0"/>
        </w:numPr>
        <w:ind w:left="360"/>
      </w:pPr>
    </w:p>
    <w:p w14:paraId="48014FA4" w14:textId="244F7572" w:rsidR="0030111C" w:rsidRPr="00997CD0" w:rsidRDefault="006A3A81" w:rsidP="007C704B">
      <w:pPr>
        <w:pStyle w:val="ListBullet"/>
        <w:numPr>
          <w:ilvl w:val="0"/>
          <w:numId w:val="0"/>
        </w:numPr>
        <w:rPr>
          <w:noProof/>
        </w:rPr>
      </w:pPr>
      <w:r>
        <w:t>Below is our p</w:t>
      </w:r>
      <w:r w:rsidRPr="00997CD0">
        <w:t xml:space="preserve">rogress towards </w:t>
      </w:r>
      <w:r>
        <w:t xml:space="preserve">our </w:t>
      </w:r>
      <w:r w:rsidRPr="00997CD0">
        <w:t>five-year targets with an emphasis on the accumulation and</w:t>
      </w:r>
      <w:r w:rsidR="00C46F91">
        <w:t xml:space="preserve"> </w:t>
      </w:r>
      <w:r w:rsidRPr="00997CD0">
        <w:t xml:space="preserve">analysis of evidence over the term of </w:t>
      </w:r>
      <w:r>
        <w:t>our</w:t>
      </w:r>
      <w:r w:rsidRPr="00997CD0">
        <w:t xml:space="preserve"> plan.</w:t>
      </w:r>
      <w:r w:rsidRPr="002F4184">
        <w:rPr>
          <w:noProof/>
        </w:rPr>
        <w:t xml:space="preserve"> </w:t>
      </w:r>
    </w:p>
    <w:p w14:paraId="1C7AF96A" w14:textId="77777777" w:rsidR="006A3A81" w:rsidRPr="00C0648C" w:rsidRDefault="006A3A81" w:rsidP="007C704B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A3A81" w14:paraId="6578744D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34BF1639" w14:textId="77777777" w:rsidR="006A3A81" w:rsidRPr="00D03B0C" w:rsidRDefault="006A3A81" w:rsidP="00EA69A3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1C463D2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06364456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6AE850EF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6D75DBC7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D7D6457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E7F51F8" w14:textId="77777777" w:rsidR="006A3A81" w:rsidRPr="00D03B0C" w:rsidRDefault="006A3A81" w:rsidP="00EA69A3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A3A81" w14:paraId="5A84976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5912ACAD" w14:textId="77777777" w:rsidR="006A3A81" w:rsidRPr="00D03B0C" w:rsidRDefault="006A3A81" w:rsidP="00EA69A3">
            <w:pPr>
              <w:pStyle w:val="PlainText"/>
            </w:pPr>
            <w:bookmarkStart w:id="0" w:name="_Hlk59085051"/>
            <w:r w:rsidRPr="00462C51">
              <w:t>Creola and Devine Oral Language Assessment</w:t>
            </w:r>
            <w:r>
              <w:t xml:space="preserve"> – percentage of children achieving one year of growth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C77489B" w14:textId="77777777" w:rsidR="006A3A81" w:rsidRPr="00D03B0C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7294164" w14:textId="77777777" w:rsidR="006A3A81" w:rsidRPr="00D03B0C" w:rsidRDefault="006A3A81" w:rsidP="00EA69A3">
            <w:pPr>
              <w:jc w:val="center"/>
            </w:pPr>
            <w:r>
              <w:t>65%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4BE866D" w14:textId="77777777" w:rsidR="006A3A81" w:rsidRPr="00D03B0C" w:rsidRDefault="006A3A81" w:rsidP="00EA69A3">
            <w:pPr>
              <w:jc w:val="center"/>
            </w:pPr>
            <w:r>
              <w:t>58%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37C90E" w14:textId="69E691AB" w:rsidR="006A3A81" w:rsidRPr="00D03B0C" w:rsidRDefault="00BD165F" w:rsidP="00EA69A3">
            <w:pPr>
              <w:jc w:val="center"/>
            </w:pPr>
            <w:r>
              <w:t>54%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3290689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7EC97B3" w14:textId="77777777" w:rsidR="006A3A81" w:rsidRPr="00D03B0C" w:rsidRDefault="006A3A81" w:rsidP="00EA69A3">
            <w:pPr>
              <w:jc w:val="center"/>
            </w:pPr>
          </w:p>
        </w:tc>
      </w:tr>
      <w:tr w:rsidR="006A3A81" w14:paraId="6D99C115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2BB0268D" w14:textId="77777777" w:rsidR="006A3A81" w:rsidRPr="00D03B0C" w:rsidRDefault="006A3A81" w:rsidP="00EA69A3">
            <w:r>
              <w:t>Reading benchmarks – percentage of K-2 children at or above reading benchmark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FC3BF8C" w14:textId="77777777" w:rsidR="006A3A81" w:rsidRPr="00D03B0C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3982CE9" w14:textId="77777777" w:rsidR="006A3A81" w:rsidRPr="00D03B0C" w:rsidRDefault="006A3A81" w:rsidP="00EA69A3">
            <w:pPr>
              <w:jc w:val="center"/>
            </w:pPr>
            <w:r>
              <w:t>89%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FFFB252" w14:textId="77777777" w:rsidR="006A3A81" w:rsidRPr="00D03B0C" w:rsidRDefault="006A3A81" w:rsidP="00EA69A3">
            <w:pPr>
              <w:jc w:val="center"/>
            </w:pPr>
            <w:r>
              <w:t>64%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F68DF29" w14:textId="74C8AC27" w:rsidR="006A3A81" w:rsidRPr="00D03B0C" w:rsidRDefault="009904CF" w:rsidP="00EA69A3">
            <w:pPr>
              <w:jc w:val="center"/>
            </w:pPr>
            <w:r>
              <w:t>70%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5460CF9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B6C8792" w14:textId="77777777" w:rsidR="006A3A81" w:rsidRPr="00D03B0C" w:rsidRDefault="006A3A81" w:rsidP="00EA69A3">
            <w:pPr>
              <w:jc w:val="center"/>
            </w:pPr>
          </w:p>
        </w:tc>
      </w:tr>
      <w:tr w:rsidR="006A3A81" w14:paraId="4F0CBAFC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3E9122B0" w14:textId="77777777" w:rsidR="006A3A81" w:rsidRDefault="006A3A81" w:rsidP="00EA69A3">
            <w:r w:rsidRPr="00462C51">
              <w:rPr>
                <w:rFonts w:ascii="Calibri" w:eastAsia="Calibri" w:hAnsi="Calibri" w:cs="Calibri"/>
                <w:color w:val="000000"/>
                <w:lang w:eastAsia="en-AU"/>
              </w:rPr>
              <w:t>All children will achieve the grade level outcomes of the Writing Assessment Tool.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0EC8EAE" w14:textId="77777777" w:rsidR="006A3A81" w:rsidRPr="00D03B0C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2A93C2" w14:textId="77777777" w:rsidR="006A3A81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2735E8D" w14:textId="77777777" w:rsidR="006A3A81" w:rsidRDefault="006A3A81" w:rsidP="00EA69A3">
            <w:r>
              <w:t>K: 46%</w:t>
            </w:r>
          </w:p>
          <w:p w14:paraId="4EFF48C6" w14:textId="77777777" w:rsidR="006A3A81" w:rsidRDefault="006A3A81" w:rsidP="00EA69A3">
            <w:r>
              <w:t>1: 55%</w:t>
            </w:r>
          </w:p>
          <w:p w14:paraId="3297B005" w14:textId="17594E17" w:rsidR="006A3A81" w:rsidRPr="00D03B0C" w:rsidRDefault="006A3A81" w:rsidP="00EA69A3">
            <w:r>
              <w:t>2: 55%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0486C5D" w14:textId="43F56321" w:rsidR="006A3A81" w:rsidRPr="00D03B0C" w:rsidRDefault="00637C9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71D644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B35EE89" w14:textId="77777777" w:rsidR="006A3A81" w:rsidRPr="00D03B0C" w:rsidRDefault="006A3A81" w:rsidP="00EA69A3">
            <w:pPr>
              <w:jc w:val="center"/>
            </w:pPr>
          </w:p>
        </w:tc>
      </w:tr>
      <w:bookmarkEnd w:id="0"/>
      <w:tr w:rsidR="006A3A81" w14:paraId="79A716E9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366E3EBF" w14:textId="77777777" w:rsidR="006A3A81" w:rsidRDefault="006A3A81" w:rsidP="00EA69A3">
            <w:r>
              <w:rPr>
                <w:rFonts w:ascii="Calibri" w:eastAsia="Calibri" w:hAnsi="Calibri" w:cs="Calibri"/>
                <w:color w:val="000000"/>
                <w:lang w:eastAsia="en-AU"/>
              </w:rPr>
              <w:t xml:space="preserve">Percentage of year 1 children who achieved a C grade or higher in English*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E6A0020" w14:textId="77777777" w:rsidR="006A3A81" w:rsidRDefault="006A3A81" w:rsidP="00EA69A3">
            <w:pPr>
              <w:jc w:val="center"/>
            </w:pPr>
            <w:r>
              <w:t>80%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93A432" w14:textId="77777777" w:rsidR="006A3A81" w:rsidRDefault="006A3A81" w:rsidP="00EA69A3">
            <w:pPr>
              <w:jc w:val="center"/>
            </w:pPr>
            <w:r>
              <w:t>60%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0EBA1A" w14:textId="77777777" w:rsidR="006A3A81" w:rsidRPr="00D03B0C" w:rsidRDefault="006A3A81" w:rsidP="00EA69A3">
            <w:pPr>
              <w:jc w:val="center"/>
            </w:pPr>
            <w:r>
              <w:t>76%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A064A2B" w14:textId="314E45C6" w:rsidR="006A3A81" w:rsidRPr="00D03B0C" w:rsidRDefault="002213FA" w:rsidP="00EA69A3">
            <w:pPr>
              <w:jc w:val="center"/>
            </w:pPr>
            <w:r>
              <w:t>86%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E581B79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522F895" w14:textId="77777777" w:rsidR="006A3A81" w:rsidRPr="00D03B0C" w:rsidRDefault="006A3A81" w:rsidP="00EA69A3">
            <w:pPr>
              <w:jc w:val="center"/>
            </w:pPr>
          </w:p>
        </w:tc>
      </w:tr>
      <w:tr w:rsidR="006A3A81" w14:paraId="20C4CCAB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1A26DDFC" w14:textId="0B9FE713" w:rsidR="006A3A81" w:rsidRPr="00462C51" w:rsidRDefault="006A3A81" w:rsidP="00EA69A3">
            <w:pPr>
              <w:rPr>
                <w:rFonts w:ascii="Calibri" w:eastAsia="Calibri" w:hAnsi="Calibri" w:cs="Calibri"/>
                <w:color w:val="000000"/>
                <w:lang w:eastAsia="en-AU"/>
              </w:rPr>
            </w:pPr>
            <w:r>
              <w:rPr>
                <w:rFonts w:ascii="Calibri" w:eastAsia="Calibri" w:hAnsi="Calibri" w:cs="Calibri"/>
                <w:color w:val="000000"/>
                <w:lang w:eastAsia="en-AU"/>
              </w:rPr>
              <w:lastRenderedPageBreak/>
              <w:t xml:space="preserve">Percentage of year 2 children who achieved a C grade or higher in </w:t>
            </w:r>
            <w:r w:rsidR="00F3160E">
              <w:rPr>
                <w:rFonts w:ascii="Calibri" w:eastAsia="Calibri" w:hAnsi="Calibri" w:cs="Calibri"/>
                <w:color w:val="000000"/>
                <w:lang w:eastAsia="en-AU"/>
              </w:rPr>
              <w:t>English</w:t>
            </w:r>
            <w:r>
              <w:rPr>
                <w:rFonts w:ascii="Calibri" w:eastAsia="Calibri" w:hAnsi="Calibri" w:cs="Calibri"/>
                <w:color w:val="000000"/>
                <w:lang w:eastAsia="en-AU"/>
              </w:rPr>
              <w:t>*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01ED168" w14:textId="77777777" w:rsidR="006A3A81" w:rsidRDefault="006A3A81" w:rsidP="00EA69A3">
            <w:pPr>
              <w:jc w:val="center"/>
            </w:pPr>
            <w:r>
              <w:t>88%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95459DA" w14:textId="77777777" w:rsidR="006A3A81" w:rsidRDefault="006A3A81" w:rsidP="00EA69A3">
            <w:pPr>
              <w:jc w:val="center"/>
            </w:pPr>
            <w:r>
              <w:t>69%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407B638" w14:textId="77777777" w:rsidR="006A3A81" w:rsidRPr="00D03B0C" w:rsidRDefault="006A3A81" w:rsidP="00EA69A3">
            <w:pPr>
              <w:jc w:val="center"/>
            </w:pPr>
            <w:r>
              <w:t>83%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E65AC2" w14:textId="3DA782AE" w:rsidR="006A3A81" w:rsidRPr="00D03B0C" w:rsidRDefault="002213FA" w:rsidP="00EA69A3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E34AB35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598C4DB" w14:textId="77777777" w:rsidR="006A3A81" w:rsidRPr="00D03B0C" w:rsidRDefault="006A3A81" w:rsidP="00EA69A3">
            <w:pPr>
              <w:jc w:val="center"/>
            </w:pPr>
          </w:p>
        </w:tc>
      </w:tr>
      <w:tr w:rsidR="006A3A81" w14:paraId="63633A64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38EC7E0F" w14:textId="77777777" w:rsidR="006A3A81" w:rsidRDefault="006A3A81" w:rsidP="00EA69A3">
            <w:pPr>
              <w:rPr>
                <w:rFonts w:ascii="Calibri" w:eastAsia="Calibri" w:hAnsi="Calibri" w:cs="Calibri"/>
                <w:color w:val="000000"/>
                <w:lang w:eastAsia="en-AU"/>
              </w:rPr>
            </w:pPr>
            <w:r>
              <w:rPr>
                <w:rFonts w:ascii="Calibri" w:eastAsia="Calibri" w:hAnsi="Calibri" w:cs="Calibri"/>
                <w:color w:val="000000"/>
                <w:lang w:eastAsia="en-AU"/>
              </w:rPr>
              <w:t>Percentage of year 1 children who achieved a C grade or higher in Mathematics*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3ACD94B" w14:textId="77777777" w:rsidR="006A3A81" w:rsidRDefault="006A3A81" w:rsidP="00EA69A3">
            <w:pPr>
              <w:jc w:val="center"/>
            </w:pPr>
            <w:r>
              <w:t>73%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918F5E6" w14:textId="77777777" w:rsidR="006A3A81" w:rsidRDefault="006A3A81" w:rsidP="00EA69A3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D9E68B9" w14:textId="77777777" w:rsidR="006A3A81" w:rsidRPr="00D03B0C" w:rsidRDefault="006A3A81" w:rsidP="00EA69A3">
            <w:pPr>
              <w:jc w:val="center"/>
            </w:pPr>
            <w:r>
              <w:t>86%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12457E6" w14:textId="76AE0A42" w:rsidR="006A3A81" w:rsidRPr="00D03B0C" w:rsidRDefault="00F3160E" w:rsidP="00EA69A3">
            <w:pPr>
              <w:jc w:val="center"/>
            </w:pPr>
            <w:r>
              <w:t>100</w:t>
            </w:r>
            <w:r w:rsidR="003866D3">
              <w:t>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A4CF276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74FE85E3" w14:textId="77777777" w:rsidR="006A3A81" w:rsidRPr="00D03B0C" w:rsidRDefault="006A3A81" w:rsidP="00EA69A3">
            <w:pPr>
              <w:jc w:val="center"/>
            </w:pPr>
          </w:p>
        </w:tc>
      </w:tr>
      <w:tr w:rsidR="006A3A81" w14:paraId="7504614A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70C401F1" w14:textId="77777777" w:rsidR="006A3A81" w:rsidRDefault="006A3A81" w:rsidP="00EA69A3">
            <w:pPr>
              <w:rPr>
                <w:rFonts w:ascii="Calibri" w:eastAsia="Calibri" w:hAnsi="Calibri" w:cs="Calibri"/>
                <w:color w:val="000000"/>
                <w:lang w:eastAsia="en-AU"/>
              </w:rPr>
            </w:pPr>
            <w:r>
              <w:rPr>
                <w:rFonts w:ascii="Calibri" w:eastAsia="Calibri" w:hAnsi="Calibri" w:cs="Calibri"/>
                <w:color w:val="000000"/>
                <w:lang w:eastAsia="en-AU"/>
              </w:rPr>
              <w:t>Percentage of year 2 children who achieved a C grade or higher in Mathematics*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A8B5ECE" w14:textId="77777777" w:rsidR="006A3A81" w:rsidRDefault="006A3A81" w:rsidP="00EA69A3">
            <w:pPr>
              <w:jc w:val="center"/>
            </w:pPr>
            <w:r>
              <w:t>73%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FC0E02D" w14:textId="77777777" w:rsidR="006A3A81" w:rsidRDefault="006A3A81" w:rsidP="00EA69A3">
            <w:pPr>
              <w:jc w:val="center"/>
            </w:pPr>
            <w:r>
              <w:t>100%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564E1EE" w14:textId="77777777" w:rsidR="006A3A81" w:rsidRPr="00D03B0C" w:rsidRDefault="006A3A81" w:rsidP="00EA69A3">
            <w:pPr>
              <w:jc w:val="center"/>
            </w:pPr>
            <w:r>
              <w:t>91%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3C6184" w14:textId="6FF037F9" w:rsidR="006A3A81" w:rsidRPr="00D03B0C" w:rsidRDefault="003866D3" w:rsidP="00EA69A3">
            <w:pPr>
              <w:jc w:val="center"/>
            </w:pPr>
            <w:r>
              <w:t>100%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9760109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F128851" w14:textId="77777777" w:rsidR="006A3A81" w:rsidRPr="00D03B0C" w:rsidRDefault="006A3A81" w:rsidP="00EA69A3">
            <w:pPr>
              <w:jc w:val="center"/>
            </w:pPr>
          </w:p>
        </w:tc>
      </w:tr>
      <w:tr w:rsidR="006A3A81" w14:paraId="4DA07285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44155A3B" w14:textId="77777777" w:rsidR="006A3A81" w:rsidRDefault="006A3A81" w:rsidP="00EA69A3">
            <w:pPr>
              <w:rPr>
                <w:rFonts w:ascii="Calibri" w:eastAsia="Calibri" w:hAnsi="Calibri" w:cs="Calibri"/>
                <w:color w:val="000000"/>
                <w:lang w:eastAsia="en-AU"/>
              </w:rPr>
            </w:pPr>
            <w:r>
              <w:rPr>
                <w:rFonts w:ascii="Calibri" w:eastAsia="Calibri" w:hAnsi="Calibri" w:cs="Calibri"/>
                <w:color w:val="000000"/>
                <w:lang w:eastAsia="en-AU"/>
              </w:rPr>
              <w:t>Percentage of kindergarten children achieving average or better growth in PIPS reading**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2335723" w14:textId="77777777" w:rsidR="006A3A81" w:rsidRDefault="006A3A81" w:rsidP="00EA69A3">
            <w:pPr>
              <w:jc w:val="center"/>
            </w:pPr>
            <w:r>
              <w:t>75%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6A29B0E" w14:textId="77777777" w:rsidR="006A3A81" w:rsidRDefault="006A3A81" w:rsidP="00EA69A3">
            <w:pPr>
              <w:jc w:val="center"/>
            </w:pPr>
            <w:r>
              <w:t>69%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7232A8D" w14:textId="77777777" w:rsidR="006A3A81" w:rsidRDefault="006A3A81" w:rsidP="00EA69A3">
            <w:pPr>
              <w:jc w:val="center"/>
            </w:pPr>
            <w:r>
              <w:t>61%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B24321E" w14:textId="2786DC6D" w:rsidR="006A3A81" w:rsidRPr="00D03B0C" w:rsidRDefault="00C46F91" w:rsidP="00EA69A3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6A35765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35C7926" w14:textId="77777777" w:rsidR="006A3A81" w:rsidRPr="00D03B0C" w:rsidRDefault="006A3A81" w:rsidP="00EA69A3">
            <w:pPr>
              <w:jc w:val="center"/>
            </w:pPr>
          </w:p>
        </w:tc>
      </w:tr>
      <w:tr w:rsidR="006A3A81" w14:paraId="560485EA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1F563408" w14:textId="77777777" w:rsidR="006A3A81" w:rsidRDefault="006A3A81" w:rsidP="00EA69A3">
            <w:pPr>
              <w:rPr>
                <w:rFonts w:ascii="Calibri" w:eastAsia="Calibri" w:hAnsi="Calibri" w:cs="Calibri"/>
                <w:color w:val="000000"/>
                <w:lang w:eastAsia="en-AU"/>
              </w:rPr>
            </w:pPr>
            <w:r>
              <w:rPr>
                <w:rFonts w:ascii="Calibri" w:eastAsia="Calibri" w:hAnsi="Calibri" w:cs="Calibri"/>
                <w:color w:val="000000"/>
                <w:lang w:eastAsia="en-AU"/>
              </w:rPr>
              <w:t>Percentage of kindergarten children achieving average or better growth in PIPS numeracy**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916D6F8" w14:textId="77777777" w:rsidR="006A3A81" w:rsidRDefault="006A3A81" w:rsidP="00EA69A3">
            <w:pPr>
              <w:jc w:val="center"/>
            </w:pPr>
            <w:r>
              <w:t>68%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C41CD8D" w14:textId="77777777" w:rsidR="006A3A81" w:rsidRDefault="006A3A81" w:rsidP="00EA69A3">
            <w:pPr>
              <w:jc w:val="center"/>
            </w:pPr>
            <w:r>
              <w:t>65%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3774B73" w14:textId="77777777" w:rsidR="006A3A81" w:rsidRDefault="006A3A81" w:rsidP="00EA69A3">
            <w:pPr>
              <w:jc w:val="center"/>
            </w:pPr>
            <w:r>
              <w:t>72%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966195" w14:textId="792D9255" w:rsidR="006A3A81" w:rsidRPr="00D03B0C" w:rsidRDefault="00C46F91" w:rsidP="00EA69A3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E2A4CB2" w14:textId="77777777" w:rsidR="006A3A81" w:rsidRPr="00D03B0C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7CD3204" w14:textId="77777777" w:rsidR="006A3A81" w:rsidRPr="00D03B0C" w:rsidRDefault="006A3A81" w:rsidP="00EA69A3">
            <w:pPr>
              <w:jc w:val="center"/>
            </w:pPr>
          </w:p>
        </w:tc>
      </w:tr>
    </w:tbl>
    <w:p w14:paraId="06924045" w14:textId="77777777" w:rsidR="006A3A81" w:rsidRDefault="006A3A81" w:rsidP="006A3A81">
      <w:pPr>
        <w:pStyle w:val="ListBullet"/>
        <w:rPr>
          <w:i/>
        </w:rPr>
      </w:pPr>
      <w:r>
        <w:t>*</w:t>
      </w:r>
      <w:r w:rsidRPr="00A921A1">
        <w:t xml:space="preserve"> Targets have been adjusted to allow for simplified reporting</w:t>
      </w:r>
    </w:p>
    <w:p w14:paraId="33B85DE0" w14:textId="77777777" w:rsidR="006A3A81" w:rsidRPr="00AD5D91" w:rsidRDefault="006A3A81" w:rsidP="007C704B">
      <w:pPr>
        <w:pStyle w:val="ListBullet"/>
        <w:pBdr>
          <w:bottom w:val="single" w:sz="4" w:space="1" w:color="auto"/>
        </w:pBdr>
      </w:pPr>
      <w:r>
        <w:t>** Additional target added to 2019 Action Plan</w:t>
      </w:r>
    </w:p>
    <w:p w14:paraId="48E45112" w14:textId="77777777" w:rsidR="007C704B" w:rsidRDefault="007C704B" w:rsidP="007C704B">
      <w:pPr>
        <w:pStyle w:val="ListBullet"/>
        <w:numPr>
          <w:ilvl w:val="0"/>
          <w:numId w:val="0"/>
        </w:numPr>
      </w:pPr>
    </w:p>
    <w:p w14:paraId="42F626CD" w14:textId="42DD8FD9" w:rsidR="006A3A81" w:rsidRPr="008A01DA" w:rsidRDefault="006A3A81" w:rsidP="007C704B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A3A81" w14:paraId="22595351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783B6ACC" w14:textId="77777777" w:rsidR="006A3A81" w:rsidRPr="006D2F6B" w:rsidRDefault="006A3A81" w:rsidP="00EA69A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A7D1CA2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CC02487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246394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B10BB73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2BF41661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E0B4B6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A3A81" w14:paraId="0F9E84BC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57DDFF2D" w14:textId="77777777" w:rsidR="006A3A81" w:rsidRPr="002F238B" w:rsidRDefault="006A3A81" w:rsidP="00EA69A3">
            <w:pPr>
              <w:pStyle w:val="PlainText"/>
              <w:rPr>
                <w:color w:val="000000" w:themeColor="text1"/>
              </w:rPr>
            </w:pPr>
            <w:r w:rsidRPr="002F238B">
              <w:rPr>
                <w:color w:val="000000" w:themeColor="text1"/>
              </w:rPr>
              <w:t>Increase the proportion of staff who indicate that they strongly agree/agree that “Staff get quality feedback on their performance” from 84% in 2018 to 95% in 2019.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A933663" w14:textId="77777777" w:rsidR="006A3A81" w:rsidRPr="006D2F6B" w:rsidRDefault="006A3A81" w:rsidP="00EA69A3">
            <w:pPr>
              <w:jc w:val="center"/>
            </w:pPr>
            <w:r>
              <w:t>88%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C9A7A62" w14:textId="77777777" w:rsidR="006A3A81" w:rsidRPr="006D2F6B" w:rsidRDefault="006A3A81" w:rsidP="00EA69A3">
            <w:pPr>
              <w:jc w:val="center"/>
            </w:pPr>
            <w:r>
              <w:t>84%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D55FCB5" w14:textId="77777777" w:rsidR="006A3A81" w:rsidRPr="006D2F6B" w:rsidRDefault="006A3A81" w:rsidP="00EA69A3">
            <w:pPr>
              <w:jc w:val="center"/>
            </w:pPr>
            <w:r>
              <w:t>55%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6CC9660" w14:textId="0F5B74D2" w:rsidR="006A3A81" w:rsidRPr="006D2F6B" w:rsidRDefault="006A524F" w:rsidP="00EA69A3">
            <w:pPr>
              <w:jc w:val="center"/>
            </w:pPr>
            <w:r>
              <w:t>81%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1B1CCEC" w14:textId="77777777" w:rsidR="006A3A81" w:rsidRPr="006D2F6B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D0F50E0" w14:textId="77777777" w:rsidR="006A3A81" w:rsidRPr="006D2F6B" w:rsidRDefault="006A3A81" w:rsidP="00EA69A3">
            <w:pPr>
              <w:jc w:val="center"/>
            </w:pPr>
          </w:p>
        </w:tc>
      </w:tr>
      <w:tr w:rsidR="006A3A81" w14:paraId="255096E9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50326E2C" w14:textId="58157A42" w:rsidR="006A3A81" w:rsidRPr="002F238B" w:rsidRDefault="006A3A81" w:rsidP="007C704B">
            <w:pPr>
              <w:pStyle w:val="TableBodyLeft"/>
              <w:rPr>
                <w:color w:val="000000" w:themeColor="text1"/>
              </w:rPr>
            </w:pPr>
            <w:r w:rsidRPr="002F238B">
              <w:rPr>
                <w:color w:val="000000" w:themeColor="text1"/>
              </w:rPr>
              <w:t>Increase the proportion of parents/</w:t>
            </w:r>
            <w:proofErr w:type="spellStart"/>
            <w:r w:rsidRPr="002F238B">
              <w:rPr>
                <w:color w:val="000000" w:themeColor="text1"/>
              </w:rPr>
              <w:t>carers</w:t>
            </w:r>
            <w:proofErr w:type="spellEnd"/>
            <w:r w:rsidRPr="002F238B">
              <w:rPr>
                <w:color w:val="000000" w:themeColor="text1"/>
              </w:rPr>
              <w:t xml:space="preserve"> who indicate that they strongly agree/agree that “Parents/</w:t>
            </w:r>
            <w:proofErr w:type="spellStart"/>
            <w:r w:rsidRPr="002F238B">
              <w:rPr>
                <w:color w:val="000000" w:themeColor="text1"/>
              </w:rPr>
              <w:t>carers</w:t>
            </w:r>
            <w:proofErr w:type="spellEnd"/>
            <w:r w:rsidRPr="002F238B">
              <w:rPr>
                <w:color w:val="000000" w:themeColor="text1"/>
              </w:rPr>
              <w:t xml:space="preserve"> get information from this school on how to support their children to improve their learning” from 90% in 2018 to 95% in 2019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9B9656D" w14:textId="77777777" w:rsidR="006A3A81" w:rsidRPr="006D2F6B" w:rsidRDefault="006A3A81" w:rsidP="00EA69A3">
            <w:pPr>
              <w:jc w:val="center"/>
            </w:pPr>
            <w:r>
              <w:t>91%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874DF77" w14:textId="77777777" w:rsidR="006A3A81" w:rsidRPr="006D2F6B" w:rsidRDefault="006A3A81" w:rsidP="00EA69A3">
            <w:pPr>
              <w:jc w:val="center"/>
            </w:pPr>
            <w:r>
              <w:t>91%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6AD9C0A" w14:textId="77777777" w:rsidR="006A3A81" w:rsidRPr="006D2F6B" w:rsidRDefault="006A3A81" w:rsidP="00EA69A3">
            <w:pPr>
              <w:jc w:val="center"/>
            </w:pPr>
            <w:r>
              <w:t>86%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D48143B" w14:textId="3B63230D" w:rsidR="006A3A81" w:rsidRPr="006D2F6B" w:rsidRDefault="006A524F" w:rsidP="00EA69A3">
            <w:pPr>
              <w:jc w:val="center"/>
            </w:pPr>
            <w:r>
              <w:t>84%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13D0B27" w14:textId="77777777" w:rsidR="006A3A81" w:rsidRPr="006D2F6B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DE1AA57" w14:textId="77777777" w:rsidR="006A3A81" w:rsidRPr="006D2F6B" w:rsidRDefault="006A3A81" w:rsidP="00EA69A3">
            <w:pPr>
              <w:jc w:val="center"/>
            </w:pPr>
          </w:p>
        </w:tc>
      </w:tr>
      <w:tr w:rsidR="006A3A81" w14:paraId="2F8FD91D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44FD5E98" w14:textId="6A526B24" w:rsidR="006A3A81" w:rsidRPr="002F238B" w:rsidRDefault="006A3A81" w:rsidP="00EA69A3">
            <w:pPr>
              <w:pStyle w:val="TableBodyLeft"/>
              <w:rPr>
                <w:color w:val="000000" w:themeColor="text1"/>
              </w:rPr>
            </w:pPr>
            <w:r w:rsidRPr="002F238B">
              <w:rPr>
                <w:color w:val="000000" w:themeColor="text1"/>
              </w:rPr>
              <w:t>Increase the proportion of parents who strongly agree/agree that “Children’s learning need are being met at this school” from 85 in 2018 to 90% in 2019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722BF7D" w14:textId="77777777" w:rsidR="006A3A81" w:rsidRPr="006D2F6B" w:rsidRDefault="006A3A81" w:rsidP="00EA69A3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B190930" w14:textId="77777777" w:rsidR="006A3A81" w:rsidRPr="006D2F6B" w:rsidRDefault="006A3A81" w:rsidP="00EA69A3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A8223B2" w14:textId="77777777" w:rsidR="006A3A81" w:rsidRPr="006D2F6B" w:rsidRDefault="006A3A81" w:rsidP="00EA69A3">
            <w:pPr>
              <w:jc w:val="center"/>
            </w:pPr>
            <w:r>
              <w:t>88%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DA0326A" w14:textId="05D68D08" w:rsidR="006A3A81" w:rsidRPr="006D2F6B" w:rsidRDefault="006A524F" w:rsidP="00EA69A3">
            <w:pPr>
              <w:jc w:val="center"/>
            </w:pPr>
            <w:r>
              <w:t>90%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5BAE2AC" w14:textId="77777777" w:rsidR="006A3A81" w:rsidRPr="006D2F6B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4D96DC57" w14:textId="77777777" w:rsidR="006A3A81" w:rsidRPr="006D2F6B" w:rsidRDefault="006A3A81" w:rsidP="00EA69A3">
            <w:pPr>
              <w:jc w:val="center"/>
            </w:pPr>
          </w:p>
        </w:tc>
      </w:tr>
      <w:tr w:rsidR="006A3A81" w14:paraId="7457059D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6B6EF346" w14:textId="76E53C7C" w:rsidR="006A3A81" w:rsidRPr="002F238B" w:rsidRDefault="006A3A81" w:rsidP="00EA69A3">
            <w:pPr>
              <w:pStyle w:val="TableBodyLeft"/>
              <w:rPr>
                <w:color w:val="000000" w:themeColor="text1"/>
              </w:rPr>
            </w:pPr>
            <w:r w:rsidRPr="002F238B">
              <w:rPr>
                <w:color w:val="000000" w:themeColor="text1"/>
              </w:rPr>
              <w:t>Increase the proportion of parents/</w:t>
            </w:r>
            <w:proofErr w:type="spellStart"/>
            <w:r w:rsidRPr="002F238B">
              <w:rPr>
                <w:color w:val="000000" w:themeColor="text1"/>
              </w:rPr>
              <w:t>carers</w:t>
            </w:r>
            <w:proofErr w:type="spellEnd"/>
            <w:r w:rsidRPr="002F238B">
              <w:rPr>
                <w:color w:val="000000" w:themeColor="text1"/>
              </w:rPr>
              <w:t xml:space="preserve"> who strongly agree/agree that “Community partnerships are valued and maintained” from 92% in 2018 to 95% in 2019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A77C2FC" w14:textId="77777777" w:rsidR="006A3A81" w:rsidRPr="006D2F6B" w:rsidRDefault="006A3A81" w:rsidP="00EA69A3">
            <w:pPr>
              <w:jc w:val="center"/>
            </w:pPr>
            <w:r>
              <w:t>89%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F800F71" w14:textId="77777777" w:rsidR="006A3A81" w:rsidRPr="006D2F6B" w:rsidRDefault="006A3A81" w:rsidP="00EA69A3">
            <w:pPr>
              <w:jc w:val="center"/>
            </w:pPr>
            <w:r>
              <w:t>92%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DD5058" w14:textId="77777777" w:rsidR="006A3A81" w:rsidRPr="006D2F6B" w:rsidRDefault="006A3A81" w:rsidP="00EA69A3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B602832" w14:textId="7CB82A3D" w:rsidR="006A3A81" w:rsidRPr="006D2F6B" w:rsidRDefault="006A524F" w:rsidP="00EA69A3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2F2D31D" w14:textId="77777777" w:rsidR="006A3A81" w:rsidRPr="006D2F6B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899EE47" w14:textId="77777777" w:rsidR="006A3A81" w:rsidRPr="006D2F6B" w:rsidRDefault="006A3A81" w:rsidP="00EA69A3">
            <w:pPr>
              <w:jc w:val="center"/>
            </w:pPr>
          </w:p>
        </w:tc>
      </w:tr>
    </w:tbl>
    <w:p w14:paraId="497F407C" w14:textId="77777777" w:rsidR="006A3A81" w:rsidRPr="008A01DA" w:rsidRDefault="006A3A81" w:rsidP="007C704B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A3A81" w14:paraId="14E086CD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31D9B6FB" w14:textId="77777777" w:rsidR="006A3A81" w:rsidRPr="006D2F6B" w:rsidRDefault="006A3A81" w:rsidP="00EA69A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084D7E2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FEE204C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59D3F0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A2446E0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6CBFCB0D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4DD9D19" w14:textId="77777777" w:rsidR="006A3A81" w:rsidRPr="006D2F6B" w:rsidRDefault="006A3A81" w:rsidP="00EA69A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A3A81" w14:paraId="0556934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04A01B3A" w14:textId="77777777" w:rsidR="006A3A81" w:rsidRPr="006D2F6B" w:rsidRDefault="006A3A81" w:rsidP="00EA69A3">
            <w:pPr>
              <w:pStyle w:val="PlainText"/>
            </w:pPr>
            <w:r>
              <w:t>Learning walk and talks (staff confidence interval)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D412EC1" w14:textId="77777777" w:rsidR="006A3A81" w:rsidRPr="006D2F6B" w:rsidRDefault="006A3A81" w:rsidP="00EA69A3">
            <w:pPr>
              <w:jc w:val="center"/>
            </w:pPr>
            <w:r>
              <w:t>1.8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8AB5BD0" w14:textId="77777777" w:rsidR="006A3A81" w:rsidRPr="006D2F6B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0EDE8CC" w14:textId="77777777" w:rsidR="006A3A81" w:rsidRPr="006D2F6B" w:rsidRDefault="006A3A81" w:rsidP="00EA69A3">
            <w:pPr>
              <w:jc w:val="center"/>
            </w:pPr>
            <w:r>
              <w:t>2.4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208905C" w14:textId="36527628" w:rsidR="006A3A81" w:rsidRPr="006D2F6B" w:rsidRDefault="00743A2D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D96E061" w14:textId="77777777" w:rsidR="006A3A81" w:rsidRPr="006D2F6B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02ACF12" w14:textId="77777777" w:rsidR="006A3A81" w:rsidRPr="006D2F6B" w:rsidRDefault="006A3A81" w:rsidP="00EA69A3">
            <w:pPr>
              <w:jc w:val="center"/>
            </w:pPr>
          </w:p>
        </w:tc>
      </w:tr>
      <w:tr w:rsidR="006A3A81" w14:paraId="4ECAF28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655BAA15" w14:textId="77777777" w:rsidR="006A3A81" w:rsidRPr="006D2F6B" w:rsidRDefault="006A3A81" w:rsidP="00EA69A3">
            <w:r>
              <w:t>Spirals of inquiry (staff confidence interval)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898D9CF" w14:textId="77777777" w:rsidR="006A3A81" w:rsidRPr="006D2F6B" w:rsidRDefault="006A3A81" w:rsidP="00EA69A3">
            <w:pPr>
              <w:jc w:val="center"/>
            </w:pPr>
            <w:r>
              <w:t>1.5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E8964A" w14:textId="77777777" w:rsidR="006A3A81" w:rsidRPr="006D2F6B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7DA88A5" w14:textId="77777777" w:rsidR="006A3A81" w:rsidRPr="006D2F6B" w:rsidRDefault="006A3A81" w:rsidP="00EA69A3">
            <w:pPr>
              <w:jc w:val="center"/>
            </w:pPr>
            <w:r>
              <w:t>1.9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5B91436" w14:textId="4B31569A" w:rsidR="006A3A81" w:rsidRPr="006D2F6B" w:rsidRDefault="00743A2D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8490F3D" w14:textId="77777777" w:rsidR="006A3A81" w:rsidRPr="006D2F6B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5DA9D22" w14:textId="77777777" w:rsidR="006A3A81" w:rsidRPr="006D2F6B" w:rsidRDefault="006A3A81" w:rsidP="00EA69A3">
            <w:pPr>
              <w:jc w:val="center"/>
            </w:pPr>
          </w:p>
        </w:tc>
      </w:tr>
      <w:tr w:rsidR="006A3A81" w14:paraId="7894F5B0" w14:textId="77777777" w:rsidTr="00EA69A3">
        <w:trPr>
          <w:jc w:val="center"/>
        </w:trPr>
        <w:tc>
          <w:tcPr>
            <w:tcW w:w="4297" w:type="dxa"/>
            <w:shd w:val="clear" w:color="auto" w:fill="auto"/>
          </w:tcPr>
          <w:p w14:paraId="5AC5E779" w14:textId="77777777" w:rsidR="006A3A81" w:rsidRDefault="006A3A81" w:rsidP="00EA69A3">
            <w:r>
              <w:t>Data analysis (staff confidence interval)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54DF807" w14:textId="77777777" w:rsidR="006A3A81" w:rsidRPr="006D2F6B" w:rsidRDefault="006A3A81" w:rsidP="00EA69A3">
            <w:pPr>
              <w:jc w:val="center"/>
            </w:pPr>
            <w:r>
              <w:t>2.3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B311409" w14:textId="77777777" w:rsidR="006A3A81" w:rsidRPr="006D2F6B" w:rsidRDefault="006A3A81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4DA81E6" w14:textId="77777777" w:rsidR="006A3A81" w:rsidRPr="006D2F6B" w:rsidRDefault="006A3A81" w:rsidP="00EA69A3">
            <w:pPr>
              <w:jc w:val="center"/>
            </w:pPr>
            <w:r>
              <w:t>2.6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DB62C39" w14:textId="6DE840F2" w:rsidR="006A3A81" w:rsidRPr="006D2F6B" w:rsidRDefault="00743A2D" w:rsidP="00EA69A3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0CB4E1E" w14:textId="77777777" w:rsidR="006A3A81" w:rsidRPr="006D2F6B" w:rsidRDefault="006A3A81" w:rsidP="00EA69A3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62808C58" w14:textId="77777777" w:rsidR="006A3A81" w:rsidRPr="006D2F6B" w:rsidRDefault="006A3A81" w:rsidP="00EA69A3">
            <w:pPr>
              <w:jc w:val="center"/>
            </w:pPr>
          </w:p>
        </w:tc>
      </w:tr>
    </w:tbl>
    <w:p w14:paraId="139DE5A0" w14:textId="65D24D6F" w:rsidR="003C69DC" w:rsidRPr="00E061B8" w:rsidRDefault="00997CD0" w:rsidP="005C7432">
      <w:pPr>
        <w:pStyle w:val="Heading3"/>
      </w:pPr>
      <w:r w:rsidRPr="00E061B8">
        <w:lastRenderedPageBreak/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7894D8BC" w14:textId="21BEFB03" w:rsidR="002244B7" w:rsidRDefault="0089573E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During 2020 there has been an increase in the percentage of children achieving at or above</w:t>
            </w:r>
            <w:r w:rsidR="00416CC4">
              <w:t xml:space="preserve"> C grade</w:t>
            </w:r>
            <w:r>
              <w:t xml:space="preserve"> in </w:t>
            </w:r>
            <w:r w:rsidR="002244B7">
              <w:t>English although this was only a 2% rise for children in year 2</w:t>
            </w:r>
            <w:r>
              <w:t xml:space="preserve"> </w:t>
            </w:r>
          </w:p>
          <w:p w14:paraId="0E61B6B6" w14:textId="70419264" w:rsidR="0089573E" w:rsidRDefault="00AB2CA3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100% of</w:t>
            </w:r>
            <w:r w:rsidR="002244B7">
              <w:t xml:space="preserve"> year 1 and year 2</w:t>
            </w:r>
            <w:r>
              <w:t xml:space="preserve"> children achieved a </w:t>
            </w:r>
            <w:r w:rsidR="00847839">
              <w:t>C</w:t>
            </w:r>
            <w:r>
              <w:t xml:space="preserve"> grade or above in </w:t>
            </w:r>
            <w:r w:rsidR="00847839">
              <w:t>Mathematics</w:t>
            </w:r>
            <w:r w:rsidR="00490D37">
              <w:t xml:space="preserve">. </w:t>
            </w:r>
          </w:p>
          <w:p w14:paraId="50B43730" w14:textId="5488BC92" w:rsidR="00416CC4" w:rsidRDefault="00416CC4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There has been significant growth </w:t>
            </w:r>
            <w:r w:rsidR="00AB2CA3">
              <w:t xml:space="preserve">(26%) </w:t>
            </w:r>
            <w:r>
              <w:t>in the percentage of teacher</w:t>
            </w:r>
            <w:r w:rsidR="00AB2CA3">
              <w:t>s</w:t>
            </w:r>
            <w:r>
              <w:t xml:space="preserve"> who feel they receive quality feedback</w:t>
            </w:r>
          </w:p>
          <w:p w14:paraId="26588266" w14:textId="133EE082" w:rsidR="004D1D1C" w:rsidRDefault="00416CC4" w:rsidP="004D1D1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Program and process data sets were unable to be reported on due to the disruption of the year due to </w:t>
            </w:r>
            <w:proofErr w:type="spellStart"/>
            <w:r w:rsidR="00847839">
              <w:t>C</w:t>
            </w:r>
            <w:r>
              <w:t>ovid</w:t>
            </w:r>
            <w:proofErr w:type="spellEnd"/>
            <w:r>
              <w:t xml:space="preserve"> this measure will be reintroduced and reported on in 2021</w:t>
            </w:r>
            <w:r w:rsidR="004D1D1C">
              <w:t>.</w:t>
            </w:r>
          </w:p>
          <w:p w14:paraId="3A85DE07" w14:textId="6E379239" w:rsidR="004D1D1C" w:rsidRPr="00151510" w:rsidRDefault="004D1D1C" w:rsidP="004D1D1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There has been a 2% decrease in the number of parents</w:t>
            </w:r>
            <w:r w:rsidRPr="002F238B">
              <w:rPr>
                <w:color w:val="000000" w:themeColor="text1"/>
              </w:rPr>
              <w:t>/carers</w:t>
            </w:r>
            <w:r>
              <w:rPr>
                <w:color w:val="000000" w:themeColor="text1"/>
              </w:rPr>
              <w:t xml:space="preserve"> who believe they</w:t>
            </w:r>
            <w:r w:rsidRPr="002F238B">
              <w:rPr>
                <w:color w:val="000000" w:themeColor="text1"/>
              </w:rPr>
              <w:t xml:space="preserve"> get information from this school on how to support their children to improve their learning</w:t>
            </w:r>
            <w:r>
              <w:rPr>
                <w:color w:val="000000" w:themeColor="text1"/>
              </w:rPr>
              <w:t>. This area was addressed in term 4 through a parent workshop and will be a priority for 2021</w:t>
            </w:r>
            <w:r w:rsidR="00847839">
              <w:rPr>
                <w:color w:val="000000" w:themeColor="text1"/>
              </w:rPr>
              <w:t>.</w:t>
            </w:r>
          </w:p>
          <w:p w14:paraId="2DFB70DA" w14:textId="3401DA74" w:rsidR="00161E50" w:rsidRDefault="00151510" w:rsidP="00E67955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data reflects a 6% rise in the number of </w:t>
            </w:r>
            <w:r w:rsidR="00847839">
              <w:t>K</w:t>
            </w:r>
            <w:r>
              <w:t>-2 children who have achieved benchmark in reading</w:t>
            </w:r>
            <w:r w:rsidR="00847839">
              <w:t>.</w:t>
            </w:r>
          </w:p>
        </w:tc>
      </w:tr>
    </w:tbl>
    <w:p w14:paraId="113E7E85" w14:textId="0172AC88" w:rsidR="002F4184" w:rsidRDefault="00937D6F" w:rsidP="002F4184">
      <w:pPr>
        <w:pStyle w:val="Heading3"/>
      </w:pPr>
      <w:r>
        <w:t>Our achievements for this priority</w:t>
      </w:r>
    </w:p>
    <w:p w14:paraId="1BF67E71" w14:textId="36667A1C" w:rsidR="00706379" w:rsidRDefault="00706379" w:rsidP="00490D37">
      <w:pPr>
        <w:pStyle w:val="ListBullet"/>
        <w:numPr>
          <w:ilvl w:val="0"/>
          <w:numId w:val="17"/>
        </w:numPr>
      </w:pPr>
      <w:r>
        <w:t>Development of English curriculum plan</w:t>
      </w:r>
      <w:r w:rsidR="00847839">
        <w:t>.</w:t>
      </w:r>
      <w:r>
        <w:t xml:space="preserve"> </w:t>
      </w:r>
    </w:p>
    <w:p w14:paraId="5A5D660D" w14:textId="146765F5" w:rsidR="00706379" w:rsidRDefault="00706379" w:rsidP="00490D37">
      <w:pPr>
        <w:pStyle w:val="ListBullet"/>
        <w:numPr>
          <w:ilvl w:val="0"/>
          <w:numId w:val="17"/>
        </w:numPr>
      </w:pPr>
      <w:r>
        <w:t>Embedding assessment tracking and processes across the school</w:t>
      </w:r>
      <w:r w:rsidR="00847839">
        <w:t>.</w:t>
      </w:r>
    </w:p>
    <w:p w14:paraId="4C20F8FB" w14:textId="5DBF1D0D" w:rsidR="00706379" w:rsidRDefault="00706379" w:rsidP="00490D37">
      <w:pPr>
        <w:pStyle w:val="ListBullet"/>
        <w:numPr>
          <w:ilvl w:val="0"/>
          <w:numId w:val="17"/>
        </w:numPr>
      </w:pPr>
      <w:r>
        <w:t xml:space="preserve">Implementation of PRIDE reading across </w:t>
      </w:r>
      <w:r w:rsidR="00847839">
        <w:t>K</w:t>
      </w:r>
      <w:r>
        <w:t>-2 learning spaces</w:t>
      </w:r>
      <w:r w:rsidR="00847839">
        <w:t>.</w:t>
      </w:r>
    </w:p>
    <w:p w14:paraId="27FCA37B" w14:textId="07CA6CA5" w:rsidR="00706379" w:rsidRDefault="00706379" w:rsidP="00490D37">
      <w:pPr>
        <w:pStyle w:val="ListBullet"/>
        <w:numPr>
          <w:ilvl w:val="0"/>
          <w:numId w:val="17"/>
        </w:numPr>
      </w:pPr>
      <w:r>
        <w:t xml:space="preserve">Regular </w:t>
      </w:r>
      <w:r w:rsidR="00847839">
        <w:t>‘</w:t>
      </w:r>
      <w:r>
        <w:t>learning walk and talks</w:t>
      </w:r>
      <w:r w:rsidR="00847839">
        <w:t>’</w:t>
      </w:r>
      <w:r>
        <w:t xml:space="preserve"> undertaken with feedback provided and electronically tracked through a school </w:t>
      </w:r>
      <w:r w:rsidR="00FC1BB5">
        <w:t>system</w:t>
      </w:r>
      <w:r w:rsidR="00847839">
        <w:t>.</w:t>
      </w:r>
    </w:p>
    <w:p w14:paraId="53530C31" w14:textId="7BB69F26" w:rsidR="00937D6F" w:rsidRDefault="00706379" w:rsidP="00490D37">
      <w:pPr>
        <w:pStyle w:val="ListBullet"/>
        <w:numPr>
          <w:ilvl w:val="0"/>
          <w:numId w:val="17"/>
        </w:numPr>
      </w:pPr>
      <w:r>
        <w:t>Assessment database has been updated</w:t>
      </w:r>
      <w:r w:rsidR="00847839">
        <w:t>.</w:t>
      </w:r>
      <w:r>
        <w:t xml:space="preserve"> </w:t>
      </w: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2F481699" w14:textId="587716C8" w:rsidR="00FC1BB5" w:rsidRDefault="00FC1BB5" w:rsidP="00FC1BB5">
      <w:pPr>
        <w:pStyle w:val="ListParagraph"/>
        <w:numPr>
          <w:ilvl w:val="0"/>
          <w:numId w:val="19"/>
        </w:numPr>
      </w:pPr>
      <w:r>
        <w:t xml:space="preserve">Continued focus on reading in 2021 to continue to build the percentage of children achieving </w:t>
      </w:r>
      <w:r w:rsidR="00847839">
        <w:t>C</w:t>
      </w:r>
      <w:r>
        <w:t xml:space="preserve"> grade or above</w:t>
      </w:r>
      <w:r w:rsidR="00151510">
        <w:t xml:space="preserve"> and to increase the overall percentage of children who reach benchmark</w:t>
      </w:r>
      <w:r w:rsidR="00847839">
        <w:t>.</w:t>
      </w:r>
    </w:p>
    <w:p w14:paraId="0705E120" w14:textId="6BB1D464" w:rsidR="00FC1BB5" w:rsidRPr="008A01DA" w:rsidRDefault="006242DD" w:rsidP="00FC1BB5">
      <w:pPr>
        <w:pStyle w:val="ListParagraph"/>
        <w:numPr>
          <w:ilvl w:val="0"/>
          <w:numId w:val="19"/>
        </w:numPr>
      </w:pPr>
      <w:r>
        <w:t>Ensure s</w:t>
      </w:r>
      <w:r w:rsidR="00FC1BB5">
        <w:t>chool program and process data</w:t>
      </w:r>
      <w:r>
        <w:t xml:space="preserve"> is a priority in 2021</w:t>
      </w:r>
      <w:r w:rsidR="00847839">
        <w:t>.</w:t>
      </w:r>
    </w:p>
    <w:p w14:paraId="3444FCC0" w14:textId="202DE316" w:rsidR="00FC1BB5" w:rsidRDefault="006242DD" w:rsidP="00FC1BB5">
      <w:pPr>
        <w:pStyle w:val="ListParagraph"/>
        <w:numPr>
          <w:ilvl w:val="0"/>
          <w:numId w:val="19"/>
        </w:numPr>
      </w:pPr>
      <w:r>
        <w:t>Continue to refine staff feedback processes to ensure they are effectively embedded across the school</w:t>
      </w:r>
      <w:r w:rsidR="00847839">
        <w:t>.</w:t>
      </w:r>
    </w:p>
    <w:p w14:paraId="0A35CD0D" w14:textId="1B6D860E" w:rsidR="00637C91" w:rsidRDefault="00637C91" w:rsidP="00FC1BB5">
      <w:pPr>
        <w:pStyle w:val="ListParagraph"/>
        <w:numPr>
          <w:ilvl w:val="0"/>
          <w:numId w:val="19"/>
        </w:numPr>
      </w:pPr>
      <w:r>
        <w:t>Refine data tracking tools across the school</w:t>
      </w:r>
      <w:r w:rsidR="00847839">
        <w:t>.</w:t>
      </w:r>
    </w:p>
    <w:p w14:paraId="2D65791D" w14:textId="77777777" w:rsidR="00FC1BB5" w:rsidRPr="005611F4" w:rsidRDefault="00FC1BB5" w:rsidP="005611F4"/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2E15DECA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743A2D" w:rsidRPr="00567592">
        <w:rPr>
          <w:color w:val="auto"/>
        </w:rPr>
        <w:t>Maximise growth for all students in learning assets, skills and dispositions required for 21st century global citizens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44BF1B0E" w14:textId="77777777" w:rsidR="00424438" w:rsidRDefault="00424438" w:rsidP="00424438">
      <w:pPr>
        <w:pStyle w:val="BodyText"/>
      </w:pPr>
      <w:r>
        <w:t>By the end of 2022 we will achieve:</w:t>
      </w:r>
    </w:p>
    <w:p w14:paraId="727DB3B0" w14:textId="52366D54" w:rsidR="00424438" w:rsidRDefault="00424438" w:rsidP="004244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Year to year, all children will retain or aspirationally exceed the level of competence as denoted in their previous school report in recognising and expressing emotions appropriately</w:t>
      </w:r>
      <w:r w:rsidR="005876F8">
        <w:t>.</w:t>
      </w:r>
      <w:r>
        <w:t xml:space="preserve"> </w:t>
      </w:r>
    </w:p>
    <w:p w14:paraId="5B634B57" w14:textId="0D0D1BCA" w:rsidR="00424438" w:rsidRDefault="00424438" w:rsidP="004244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Year to year, all children will retain or aspirationally exceed the level of competence as denoted in the school report in demonstrating resilience appropriately</w:t>
      </w:r>
      <w:r w:rsidR="005876F8">
        <w:t>.</w:t>
      </w:r>
      <w:r>
        <w:t xml:space="preserve"> </w:t>
      </w:r>
    </w:p>
    <w:p w14:paraId="0B4E31BC" w14:textId="4AEFD9EA" w:rsidR="00424438" w:rsidRDefault="00424438" w:rsidP="004244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Year to year, all children will retain or aspirationally exceed the level of competence as denoted in the school report in demonstrating respect for others appropriately</w:t>
      </w:r>
      <w:r w:rsidR="005876F8">
        <w:t>.</w:t>
      </w:r>
      <w:r>
        <w:t xml:space="preserve"> </w:t>
      </w:r>
    </w:p>
    <w:p w14:paraId="51D6A6B4" w14:textId="6E87D56C" w:rsidR="00424438" w:rsidRDefault="00424438" w:rsidP="004244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Year to year, all children will retain or aspirationally exceed the level of competence as denoted in the school report in negotiating and resolving conflict appropriately</w:t>
      </w:r>
      <w:r w:rsidR="005876F8">
        <w:t>.</w:t>
      </w:r>
      <w:r>
        <w:t xml:space="preserve"> </w:t>
      </w:r>
    </w:p>
    <w:p w14:paraId="32C62414" w14:textId="6C139441" w:rsidR="00424438" w:rsidRDefault="00424438" w:rsidP="004244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There will be less than 10 reportable playground incidents per term and all students will report satisfaction with the outdoor learning environment</w:t>
      </w:r>
      <w:r w:rsidR="005876F8">
        <w:t>.</w:t>
      </w:r>
      <w:r>
        <w:t xml:space="preserve"> </w:t>
      </w:r>
    </w:p>
    <w:p w14:paraId="7662E130" w14:textId="77777777" w:rsidR="00424438" w:rsidRDefault="00424438" w:rsidP="004244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An increase in agreement with the statement ‘The use of learning technologies is an integral part of teaching and learning’ in both the parent and staff satisfaction surveys. Staff (</w:t>
      </w:r>
      <w:r w:rsidRPr="00CB10FB">
        <w:t>88%</w:t>
      </w:r>
      <w:r>
        <w:t xml:space="preserve"> in 2017) up by 7 percentage points. Parents </w:t>
      </w:r>
      <w:r w:rsidRPr="00CB10FB">
        <w:t>(87%</w:t>
      </w:r>
      <w:r>
        <w:t xml:space="preserve"> in 2017) up by 5 percentage points. Aspirationally, all staff and parents will agree or strongly agree with this statement.</w:t>
      </w:r>
    </w:p>
    <w:p w14:paraId="613FC26D" w14:textId="1ADCFC8E" w:rsidR="00424438" w:rsidRDefault="00424438" w:rsidP="004244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 xml:space="preserve">Growth across all domains within the Cultural Integrity Continuum, advancing from 2017 benchmark of ‘culturally aware’ to </w:t>
      </w:r>
      <w:r w:rsidR="005876F8">
        <w:t>‘d</w:t>
      </w:r>
      <w:r>
        <w:t>eveloping</w:t>
      </w:r>
      <w:r w:rsidR="005876F8">
        <w:t>’</w:t>
      </w:r>
      <w:r>
        <w:t xml:space="preserve">. Aspirationally we would achieve ‘practising’ in all domains. </w:t>
      </w:r>
    </w:p>
    <w:p w14:paraId="49D3C5EB" w14:textId="77777777" w:rsidR="00424438" w:rsidRDefault="00424438" w:rsidP="004244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</w:pPr>
    </w:p>
    <w:p w14:paraId="6BF90988" w14:textId="62BE59E2" w:rsidR="00EB70CE" w:rsidRPr="00373DC0" w:rsidRDefault="00EB70CE" w:rsidP="00EB70CE">
      <w:pPr>
        <w:pStyle w:val="BodyText"/>
      </w:pPr>
      <w:r w:rsidRPr="00373DC0">
        <w:t>In 20</w:t>
      </w:r>
      <w:r w:rsidR="00424438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7B428E66" w14:textId="30250B93" w:rsidR="00424438" w:rsidRPr="00424438" w:rsidRDefault="00424438" w:rsidP="00EB70CE">
      <w:pPr>
        <w:pStyle w:val="ListBullet"/>
      </w:pPr>
      <w:r>
        <w:rPr>
          <w:bCs/>
          <w:color w:val="000000" w:themeColor="text1"/>
        </w:rPr>
        <w:t>Explore the impl</w:t>
      </w:r>
      <w:r w:rsidR="005876F8">
        <w:rPr>
          <w:bCs/>
          <w:color w:val="000000" w:themeColor="text1"/>
        </w:rPr>
        <w:t>emen</w:t>
      </w:r>
      <w:r>
        <w:rPr>
          <w:bCs/>
          <w:color w:val="000000" w:themeColor="text1"/>
        </w:rPr>
        <w:t>tation of PBL including whole school PL, staff survey and training for identified PBL team</w:t>
      </w:r>
      <w:r w:rsidR="005876F8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</w:p>
    <w:p w14:paraId="7D390C0E" w14:textId="1839CD5D" w:rsidR="00424438" w:rsidRDefault="00424438" w:rsidP="00EB70CE">
      <w:pPr>
        <w:pStyle w:val="ListBullet"/>
      </w:pPr>
      <w:r>
        <w:rPr>
          <w:color w:val="000000" w:themeColor="text1"/>
        </w:rPr>
        <w:t>Establish a three-year-old preschool community of practice</w:t>
      </w:r>
      <w:r w:rsidR="005876F8">
        <w:rPr>
          <w:color w:val="000000" w:themeColor="text1"/>
        </w:rPr>
        <w:t>.</w:t>
      </w:r>
      <w:r>
        <w:t xml:space="preserve"> </w:t>
      </w:r>
    </w:p>
    <w:p w14:paraId="13F17F2B" w14:textId="7C881CC8" w:rsidR="00EB70CE" w:rsidRPr="00424438" w:rsidRDefault="00424438" w:rsidP="00EB70CE">
      <w:pPr>
        <w:pStyle w:val="ListBullet"/>
      </w:pPr>
      <w:r w:rsidRPr="00424438">
        <w:rPr>
          <w:color w:val="000000" w:themeColor="text1"/>
        </w:rPr>
        <w:t>Engage with the University of Canberra Affiliated Schools Teachers as Research Program focused on enhancing transition practices</w:t>
      </w:r>
      <w:r w:rsidR="005876F8">
        <w:rPr>
          <w:color w:val="000000" w:themeColor="text1"/>
        </w:rPr>
        <w:t>.</w:t>
      </w:r>
      <w:r w:rsidRPr="00424438">
        <w:rPr>
          <w:color w:val="000000" w:themeColor="text1"/>
        </w:rPr>
        <w:t xml:space="preserve">  </w:t>
      </w:r>
    </w:p>
    <w:p w14:paraId="1257B964" w14:textId="0CC5271C" w:rsidR="00424438" w:rsidRPr="0021578D" w:rsidRDefault="00424438" w:rsidP="00EB70CE">
      <w:pPr>
        <w:pStyle w:val="ListBullet"/>
      </w:pPr>
      <w:r>
        <w:rPr>
          <w:color w:val="000000" w:themeColor="text1"/>
        </w:rPr>
        <w:t>Continue to review and evaluate community programs to determine their impact on student learning outcomes</w:t>
      </w:r>
      <w:r w:rsidR="005876F8">
        <w:rPr>
          <w:color w:val="000000" w:themeColor="text1"/>
        </w:rPr>
        <w:t>.</w:t>
      </w:r>
    </w:p>
    <w:p w14:paraId="364E3534" w14:textId="027A19CB" w:rsidR="0021578D" w:rsidRDefault="0021578D" w:rsidP="00EB70CE">
      <w:pPr>
        <w:pStyle w:val="ListBullet"/>
      </w:pPr>
      <w:r>
        <w:t>Develop a Cultural Integrity Plan</w:t>
      </w:r>
      <w:r w:rsidR="005876F8">
        <w:t>.</w:t>
      </w:r>
    </w:p>
    <w:p w14:paraId="32A84660" w14:textId="2F117063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599F8126" w14:textId="77777777" w:rsidR="0021578D" w:rsidRPr="00C0648C" w:rsidRDefault="0021578D" w:rsidP="0021578D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21578D" w14:paraId="510EA911" w14:textId="77777777" w:rsidTr="00947722">
        <w:trPr>
          <w:jc w:val="center"/>
        </w:trPr>
        <w:tc>
          <w:tcPr>
            <w:tcW w:w="4297" w:type="dxa"/>
            <w:shd w:val="clear" w:color="auto" w:fill="auto"/>
          </w:tcPr>
          <w:p w14:paraId="572A7322" w14:textId="77777777" w:rsidR="0021578D" w:rsidRPr="00D03B0C" w:rsidRDefault="0021578D" w:rsidP="00947722">
            <w:pPr>
              <w:rPr>
                <w:b/>
              </w:rPr>
            </w:pPr>
            <w:bookmarkStart w:id="1" w:name="_Hlk26448759"/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28FC183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FFF701E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757D0B35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923E810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18A98BC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D1245DA" w14:textId="77777777" w:rsidR="0021578D" w:rsidRPr="00D03B0C" w:rsidRDefault="0021578D" w:rsidP="00947722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21578D" w14:paraId="231BB8BC" w14:textId="77777777" w:rsidTr="005876F8">
        <w:trPr>
          <w:jc w:val="center"/>
        </w:trPr>
        <w:tc>
          <w:tcPr>
            <w:tcW w:w="4297" w:type="dxa"/>
            <w:shd w:val="clear" w:color="auto" w:fill="auto"/>
          </w:tcPr>
          <w:p w14:paraId="3A78C818" w14:textId="77777777" w:rsidR="0021578D" w:rsidRPr="00D03B0C" w:rsidRDefault="0021578D" w:rsidP="00947722">
            <w:pPr>
              <w:pStyle w:val="PlainText"/>
            </w:pPr>
            <w:r>
              <w:t>Recognising and expressing emotions appropriately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A10F2B" w14:textId="77777777" w:rsidR="0021578D" w:rsidRPr="00D03B0C" w:rsidRDefault="0021578D" w:rsidP="00947722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BCFC548" w14:textId="77777777" w:rsidR="0021578D" w:rsidRPr="00D03B0C" w:rsidRDefault="0021578D" w:rsidP="00947722">
            <w:pPr>
              <w:jc w:val="center"/>
            </w:pPr>
            <w:r>
              <w:t>85%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CD01AC5" w14:textId="77777777" w:rsidR="0021578D" w:rsidRPr="00D03B0C" w:rsidRDefault="0021578D" w:rsidP="00947722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69FD993" w14:textId="36B59096" w:rsidR="0021578D" w:rsidRPr="00D03B0C" w:rsidRDefault="00072326" w:rsidP="005876F8">
            <w:pPr>
              <w:jc w:val="center"/>
            </w:pPr>
            <w:r>
              <w:t>82%</w:t>
            </w:r>
          </w:p>
        </w:tc>
        <w:tc>
          <w:tcPr>
            <w:tcW w:w="790" w:type="dxa"/>
            <w:shd w:val="clear" w:color="auto" w:fill="auto"/>
          </w:tcPr>
          <w:p w14:paraId="2D6AA65C" w14:textId="77777777" w:rsidR="0021578D" w:rsidRPr="00D03B0C" w:rsidRDefault="0021578D" w:rsidP="00947722"/>
        </w:tc>
        <w:tc>
          <w:tcPr>
            <w:tcW w:w="791" w:type="dxa"/>
            <w:shd w:val="clear" w:color="auto" w:fill="auto"/>
          </w:tcPr>
          <w:p w14:paraId="6F7CD59C" w14:textId="77777777" w:rsidR="0021578D" w:rsidRPr="00D03B0C" w:rsidRDefault="0021578D" w:rsidP="00947722"/>
        </w:tc>
      </w:tr>
      <w:tr w:rsidR="0021578D" w14:paraId="5D993868" w14:textId="77777777" w:rsidTr="005876F8">
        <w:trPr>
          <w:jc w:val="center"/>
        </w:trPr>
        <w:tc>
          <w:tcPr>
            <w:tcW w:w="4297" w:type="dxa"/>
            <w:shd w:val="clear" w:color="auto" w:fill="auto"/>
          </w:tcPr>
          <w:p w14:paraId="798ACFE5" w14:textId="77777777" w:rsidR="0021578D" w:rsidRDefault="0021578D" w:rsidP="009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 xml:space="preserve">Demonstrating resilience appropriately </w:t>
            </w:r>
          </w:p>
          <w:p w14:paraId="5D568EF5" w14:textId="77777777" w:rsidR="0021578D" w:rsidRPr="00D03B0C" w:rsidRDefault="0021578D" w:rsidP="00947722"/>
        </w:tc>
        <w:tc>
          <w:tcPr>
            <w:tcW w:w="790" w:type="dxa"/>
            <w:shd w:val="clear" w:color="auto" w:fill="auto"/>
            <w:vAlign w:val="center"/>
          </w:tcPr>
          <w:p w14:paraId="5CB73620" w14:textId="77777777" w:rsidR="0021578D" w:rsidRPr="00D03B0C" w:rsidRDefault="0021578D" w:rsidP="005876F8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BA463C1" w14:textId="77777777" w:rsidR="0021578D" w:rsidRPr="00D03B0C" w:rsidRDefault="0021578D" w:rsidP="005876F8">
            <w:pPr>
              <w:jc w:val="center"/>
            </w:pPr>
            <w:r>
              <w:t>81%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93E629" w14:textId="77777777" w:rsidR="0021578D" w:rsidRPr="00D03B0C" w:rsidRDefault="0021578D" w:rsidP="005876F8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0F1A743" w14:textId="52C18E95" w:rsidR="00072326" w:rsidRPr="00D03B0C" w:rsidRDefault="005876F8" w:rsidP="005876F8">
            <w:r>
              <w:t xml:space="preserve">   </w:t>
            </w:r>
            <w:r w:rsidR="00072326">
              <w:t>NA</w:t>
            </w:r>
          </w:p>
        </w:tc>
        <w:tc>
          <w:tcPr>
            <w:tcW w:w="790" w:type="dxa"/>
            <w:shd w:val="clear" w:color="auto" w:fill="auto"/>
          </w:tcPr>
          <w:p w14:paraId="51AA6C43" w14:textId="77777777" w:rsidR="0021578D" w:rsidRPr="00D03B0C" w:rsidRDefault="0021578D" w:rsidP="00947722"/>
        </w:tc>
        <w:tc>
          <w:tcPr>
            <w:tcW w:w="791" w:type="dxa"/>
            <w:shd w:val="clear" w:color="auto" w:fill="auto"/>
          </w:tcPr>
          <w:p w14:paraId="120825A7" w14:textId="77777777" w:rsidR="0021578D" w:rsidRPr="00D03B0C" w:rsidRDefault="0021578D" w:rsidP="00947722"/>
        </w:tc>
      </w:tr>
      <w:tr w:rsidR="0021578D" w14:paraId="5ADE00E8" w14:textId="77777777" w:rsidTr="005876F8">
        <w:trPr>
          <w:jc w:val="center"/>
        </w:trPr>
        <w:tc>
          <w:tcPr>
            <w:tcW w:w="4297" w:type="dxa"/>
            <w:shd w:val="clear" w:color="auto" w:fill="auto"/>
          </w:tcPr>
          <w:p w14:paraId="5A15C539" w14:textId="77777777" w:rsidR="0021578D" w:rsidRDefault="0021578D" w:rsidP="009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 xml:space="preserve">Demonstrating respect for others appropriately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03BF493" w14:textId="77777777" w:rsidR="0021578D" w:rsidRPr="00D03B0C" w:rsidRDefault="0021578D" w:rsidP="00947722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7226F36" w14:textId="77777777" w:rsidR="0021578D" w:rsidRPr="00D03B0C" w:rsidRDefault="0021578D" w:rsidP="00947722">
            <w:pPr>
              <w:jc w:val="center"/>
            </w:pPr>
            <w:r>
              <w:t>94%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F115338" w14:textId="77777777" w:rsidR="0021578D" w:rsidRPr="00D03B0C" w:rsidRDefault="0021578D" w:rsidP="00947722">
            <w:pPr>
              <w:jc w:val="center"/>
            </w:pPr>
            <w:r>
              <w:t>94%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B254B3" w14:textId="21EB498D" w:rsidR="0021578D" w:rsidRPr="00D03B0C" w:rsidRDefault="005876F8" w:rsidP="005876F8">
            <w:r>
              <w:t xml:space="preserve">  </w:t>
            </w:r>
            <w:r w:rsidR="00072326">
              <w:t>85%</w:t>
            </w:r>
          </w:p>
        </w:tc>
        <w:tc>
          <w:tcPr>
            <w:tcW w:w="790" w:type="dxa"/>
            <w:shd w:val="clear" w:color="auto" w:fill="auto"/>
          </w:tcPr>
          <w:p w14:paraId="42682A33" w14:textId="77777777" w:rsidR="0021578D" w:rsidRPr="00D03B0C" w:rsidRDefault="0021578D" w:rsidP="00947722"/>
        </w:tc>
        <w:tc>
          <w:tcPr>
            <w:tcW w:w="791" w:type="dxa"/>
            <w:shd w:val="clear" w:color="auto" w:fill="auto"/>
          </w:tcPr>
          <w:p w14:paraId="3127B1D5" w14:textId="77777777" w:rsidR="0021578D" w:rsidRPr="00D03B0C" w:rsidRDefault="0021578D" w:rsidP="00947722"/>
        </w:tc>
      </w:tr>
      <w:tr w:rsidR="0021578D" w14:paraId="14B81E5A" w14:textId="77777777" w:rsidTr="005876F8">
        <w:trPr>
          <w:jc w:val="center"/>
        </w:trPr>
        <w:tc>
          <w:tcPr>
            <w:tcW w:w="4297" w:type="dxa"/>
            <w:shd w:val="clear" w:color="auto" w:fill="auto"/>
          </w:tcPr>
          <w:p w14:paraId="11D5BDE5" w14:textId="77777777" w:rsidR="0021578D" w:rsidRDefault="0021578D" w:rsidP="009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lastRenderedPageBreak/>
              <w:t xml:space="preserve">Negotiating and resolving conflict appropriately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FE2A619" w14:textId="77777777" w:rsidR="0021578D" w:rsidRPr="00D03B0C" w:rsidRDefault="0021578D" w:rsidP="00947722">
            <w:pPr>
              <w:jc w:val="center"/>
            </w:pPr>
            <w:r>
              <w:t>NA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50AF7DB" w14:textId="77777777" w:rsidR="0021578D" w:rsidRPr="00D03B0C" w:rsidRDefault="0021578D" w:rsidP="00947722">
            <w:pPr>
              <w:jc w:val="center"/>
            </w:pPr>
            <w:r>
              <w:t>80%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0D3602E" w14:textId="77777777" w:rsidR="0021578D" w:rsidRPr="00D03B0C" w:rsidRDefault="0021578D" w:rsidP="00947722">
            <w:pPr>
              <w:jc w:val="center"/>
            </w:pPr>
            <w:r>
              <w:t>80%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81D9376" w14:textId="5A7173ED" w:rsidR="0021578D" w:rsidRPr="00D03B0C" w:rsidRDefault="00072326" w:rsidP="005876F8">
            <w:pPr>
              <w:jc w:val="center"/>
            </w:pPr>
            <w:r>
              <w:t>73%</w:t>
            </w:r>
          </w:p>
        </w:tc>
        <w:tc>
          <w:tcPr>
            <w:tcW w:w="790" w:type="dxa"/>
            <w:shd w:val="clear" w:color="auto" w:fill="auto"/>
          </w:tcPr>
          <w:p w14:paraId="01AEEC0A" w14:textId="77777777" w:rsidR="0021578D" w:rsidRPr="00D03B0C" w:rsidRDefault="0021578D" w:rsidP="00947722"/>
        </w:tc>
        <w:tc>
          <w:tcPr>
            <w:tcW w:w="791" w:type="dxa"/>
            <w:shd w:val="clear" w:color="auto" w:fill="auto"/>
          </w:tcPr>
          <w:p w14:paraId="2EA1EAC4" w14:textId="77777777" w:rsidR="0021578D" w:rsidRPr="00D03B0C" w:rsidRDefault="0021578D" w:rsidP="00947722"/>
        </w:tc>
      </w:tr>
    </w:tbl>
    <w:bookmarkEnd w:id="1"/>
    <w:p w14:paraId="730114D3" w14:textId="77777777" w:rsidR="0021578D" w:rsidRPr="008A01DA" w:rsidRDefault="0021578D" w:rsidP="0021578D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21578D" w14:paraId="15E37714" w14:textId="77777777" w:rsidTr="00947722">
        <w:trPr>
          <w:jc w:val="center"/>
        </w:trPr>
        <w:tc>
          <w:tcPr>
            <w:tcW w:w="4297" w:type="dxa"/>
            <w:shd w:val="clear" w:color="auto" w:fill="auto"/>
          </w:tcPr>
          <w:p w14:paraId="0B88C8EF" w14:textId="77777777" w:rsidR="0021578D" w:rsidRPr="006D2F6B" w:rsidRDefault="0021578D" w:rsidP="00947722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9912A0E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1071B86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8B7C59D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7D24DB18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09F6175E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0EB1723" w14:textId="77777777" w:rsidR="0021578D" w:rsidRPr="006D2F6B" w:rsidRDefault="0021578D" w:rsidP="00947722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21578D" w14:paraId="799B11A1" w14:textId="77777777" w:rsidTr="008670C5">
        <w:trPr>
          <w:jc w:val="center"/>
        </w:trPr>
        <w:tc>
          <w:tcPr>
            <w:tcW w:w="4297" w:type="dxa"/>
            <w:shd w:val="clear" w:color="auto" w:fill="auto"/>
          </w:tcPr>
          <w:p w14:paraId="525BFA2E" w14:textId="77777777" w:rsidR="0021578D" w:rsidRPr="006D2F6B" w:rsidRDefault="0021578D" w:rsidP="00947722">
            <w:pPr>
              <w:pStyle w:val="PlainText"/>
            </w:pPr>
            <w:r w:rsidRPr="007A02EE">
              <w:t>An increase in agreement with the statement ‘The use of learning technologies is an integral part of teaching and learning’ in the parent and satisfaction survey. Parents (87% in 2017) up by 5 percentage points.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D998E3B" w14:textId="77777777" w:rsidR="0021578D" w:rsidRPr="006D2F6B" w:rsidRDefault="0021578D" w:rsidP="00947722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6F226E7" w14:textId="77777777" w:rsidR="0021578D" w:rsidRPr="006D2F6B" w:rsidRDefault="0021578D" w:rsidP="00947722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2CB51F8" w14:textId="77777777" w:rsidR="0021578D" w:rsidRPr="006D2F6B" w:rsidRDefault="0021578D" w:rsidP="00947722">
            <w:pPr>
              <w:jc w:val="center"/>
            </w:pPr>
            <w:r>
              <w:t>87%</w:t>
            </w:r>
          </w:p>
        </w:tc>
        <w:tc>
          <w:tcPr>
            <w:tcW w:w="790" w:type="dxa"/>
            <w:shd w:val="clear" w:color="auto" w:fill="auto"/>
          </w:tcPr>
          <w:p w14:paraId="65C51316" w14:textId="77777777" w:rsidR="0021578D" w:rsidRDefault="0021578D" w:rsidP="008670C5">
            <w:pPr>
              <w:jc w:val="center"/>
            </w:pPr>
          </w:p>
          <w:p w14:paraId="6AD4E755" w14:textId="77777777" w:rsidR="00E040EF" w:rsidRDefault="00E040EF" w:rsidP="008670C5">
            <w:pPr>
              <w:jc w:val="center"/>
            </w:pPr>
          </w:p>
          <w:p w14:paraId="0D148039" w14:textId="3C5B7CE3" w:rsidR="00E040EF" w:rsidRPr="006D2F6B" w:rsidRDefault="00E040EF" w:rsidP="008670C5">
            <w:pPr>
              <w:jc w:val="center"/>
            </w:pPr>
            <w:r>
              <w:t>72%</w:t>
            </w:r>
          </w:p>
        </w:tc>
        <w:tc>
          <w:tcPr>
            <w:tcW w:w="790" w:type="dxa"/>
            <w:shd w:val="clear" w:color="auto" w:fill="auto"/>
          </w:tcPr>
          <w:p w14:paraId="6687B81D" w14:textId="77777777" w:rsidR="0021578D" w:rsidRPr="006D2F6B" w:rsidRDefault="0021578D" w:rsidP="00947722"/>
        </w:tc>
        <w:tc>
          <w:tcPr>
            <w:tcW w:w="791" w:type="dxa"/>
            <w:shd w:val="clear" w:color="auto" w:fill="auto"/>
          </w:tcPr>
          <w:p w14:paraId="7FAF0D38" w14:textId="77777777" w:rsidR="0021578D" w:rsidRPr="006D2F6B" w:rsidRDefault="0021578D" w:rsidP="00947722"/>
        </w:tc>
      </w:tr>
      <w:tr w:rsidR="0021578D" w14:paraId="5C947FC5" w14:textId="77777777" w:rsidTr="008670C5">
        <w:trPr>
          <w:jc w:val="center"/>
        </w:trPr>
        <w:tc>
          <w:tcPr>
            <w:tcW w:w="4297" w:type="dxa"/>
            <w:shd w:val="clear" w:color="auto" w:fill="auto"/>
          </w:tcPr>
          <w:p w14:paraId="4D004A18" w14:textId="77777777" w:rsidR="0021578D" w:rsidRPr="006D2F6B" w:rsidRDefault="0021578D" w:rsidP="00947722">
            <w:r w:rsidRPr="007A02EE">
              <w:t xml:space="preserve">An increase in agreement with the statement ‘The use of learning technologies is an integral part of teaching and learning’ in the </w:t>
            </w:r>
            <w:r>
              <w:t>staff</w:t>
            </w:r>
            <w:r w:rsidRPr="007A02EE">
              <w:t xml:space="preserve"> and satisfaction survey Staff (88% in 2017) up by 7 percentage points.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F275742" w14:textId="77777777" w:rsidR="0021578D" w:rsidRPr="006D2F6B" w:rsidRDefault="0021578D" w:rsidP="00947722">
            <w:pPr>
              <w:jc w:val="center"/>
            </w:pPr>
            <w:r>
              <w:t>88%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34B3EF7" w14:textId="77777777" w:rsidR="0021578D" w:rsidRPr="006D2F6B" w:rsidRDefault="0021578D" w:rsidP="00947722">
            <w:pPr>
              <w:jc w:val="center"/>
            </w:pPr>
            <w:r>
              <w:t>96%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8BB6837" w14:textId="77777777" w:rsidR="0021578D" w:rsidRPr="006D2F6B" w:rsidRDefault="0021578D" w:rsidP="00947722">
            <w:pPr>
              <w:jc w:val="center"/>
            </w:pPr>
            <w:r>
              <w:t>82%</w:t>
            </w:r>
          </w:p>
        </w:tc>
        <w:tc>
          <w:tcPr>
            <w:tcW w:w="790" w:type="dxa"/>
            <w:shd w:val="clear" w:color="auto" w:fill="auto"/>
          </w:tcPr>
          <w:p w14:paraId="7F5B0F13" w14:textId="77777777" w:rsidR="00E040EF" w:rsidRDefault="00E040EF" w:rsidP="008670C5">
            <w:pPr>
              <w:jc w:val="center"/>
            </w:pPr>
          </w:p>
          <w:p w14:paraId="31729263" w14:textId="77777777" w:rsidR="00E040EF" w:rsidRDefault="00E040EF" w:rsidP="008670C5">
            <w:pPr>
              <w:jc w:val="center"/>
            </w:pPr>
          </w:p>
          <w:p w14:paraId="0899E1B2" w14:textId="635E3DB7" w:rsidR="0021578D" w:rsidRPr="006D2F6B" w:rsidRDefault="00E040EF" w:rsidP="008670C5">
            <w:pPr>
              <w:jc w:val="center"/>
            </w:pPr>
            <w:r>
              <w:t>63%</w:t>
            </w:r>
          </w:p>
        </w:tc>
        <w:tc>
          <w:tcPr>
            <w:tcW w:w="790" w:type="dxa"/>
            <w:shd w:val="clear" w:color="auto" w:fill="auto"/>
          </w:tcPr>
          <w:p w14:paraId="127429BB" w14:textId="77777777" w:rsidR="0021578D" w:rsidRPr="006D2F6B" w:rsidRDefault="0021578D" w:rsidP="00947722"/>
        </w:tc>
        <w:tc>
          <w:tcPr>
            <w:tcW w:w="791" w:type="dxa"/>
            <w:shd w:val="clear" w:color="auto" w:fill="auto"/>
          </w:tcPr>
          <w:p w14:paraId="0D71AA07" w14:textId="77777777" w:rsidR="0021578D" w:rsidRPr="006D2F6B" w:rsidRDefault="0021578D" w:rsidP="00947722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E085537" w14:textId="40886F60" w:rsidR="00EB70CE" w:rsidRDefault="00054EF2" w:rsidP="00054EF2">
            <w:pPr>
              <w:pStyle w:val="PlainText"/>
              <w:numPr>
                <w:ilvl w:val="0"/>
                <w:numId w:val="17"/>
              </w:numPr>
            </w:pPr>
            <w:r>
              <w:t>In 2020 there has been a reduction of agreement in both the staff</w:t>
            </w:r>
            <w:r w:rsidR="00BD165F">
              <w:t xml:space="preserve"> (</w:t>
            </w:r>
            <w:r w:rsidR="008670C5">
              <w:t>19</w:t>
            </w:r>
            <w:r w:rsidR="00BD165F">
              <w:t>%)</w:t>
            </w:r>
            <w:r>
              <w:t xml:space="preserve"> and parent</w:t>
            </w:r>
            <w:r w:rsidR="00BD165F">
              <w:t xml:space="preserve"> (15%)</w:t>
            </w:r>
            <w:r>
              <w:t xml:space="preserve"> satisfaction survey on the perception that the use of learning technologies is an integral part of teaching and learning. </w:t>
            </w:r>
          </w:p>
          <w:p w14:paraId="756EC5A9" w14:textId="4D259A5A" w:rsidR="00054EF2" w:rsidRDefault="003A5EDD" w:rsidP="00054EF2">
            <w:pPr>
              <w:pStyle w:val="PlainText"/>
              <w:numPr>
                <w:ilvl w:val="0"/>
                <w:numId w:val="17"/>
              </w:numPr>
            </w:pPr>
            <w:r>
              <w:t>Student learning data has dropped in all reported domains</w:t>
            </w:r>
            <w:r w:rsidR="00125E88">
              <w:t xml:space="preserve"> during 2020</w:t>
            </w:r>
            <w:r w:rsidR="008670C5">
              <w:t>.</w:t>
            </w:r>
          </w:p>
          <w:p w14:paraId="17DDC188" w14:textId="582BA93C" w:rsidR="00054EF2" w:rsidRDefault="00054EF2" w:rsidP="00E040EF">
            <w:pPr>
              <w:pStyle w:val="PlainText"/>
              <w:ind w:left="426"/>
            </w:pPr>
          </w:p>
        </w:tc>
      </w:tr>
    </w:tbl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A61D95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631F031F" w14:textId="369F5ECA" w:rsidR="00937D6F" w:rsidRPr="00A61D95" w:rsidRDefault="00A61D95" w:rsidP="00CA26FB">
            <w:pPr>
              <w:pStyle w:val="ListBullet"/>
            </w:pPr>
            <w:r>
              <w:rPr>
                <w:color w:val="000000" w:themeColor="text1"/>
              </w:rPr>
              <w:t>Established a three-year-old preschool community of practice</w:t>
            </w:r>
            <w:r w:rsidR="008670C5">
              <w:rPr>
                <w:color w:val="000000" w:themeColor="text1"/>
              </w:rPr>
              <w:t>.</w:t>
            </w:r>
          </w:p>
          <w:p w14:paraId="301F1189" w14:textId="1B043B09" w:rsidR="00A61D95" w:rsidRPr="00A61D95" w:rsidRDefault="00A61D95" w:rsidP="00CA26FB">
            <w:pPr>
              <w:pStyle w:val="ListBullet"/>
            </w:pPr>
            <w:r>
              <w:rPr>
                <w:color w:val="000000" w:themeColor="text1"/>
              </w:rPr>
              <w:t>Engaged with the University of Canberra Affiliated Schools Teachers as Research Program focused on enhancing transition practices</w:t>
            </w:r>
            <w:r w:rsidR="008670C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</w:p>
          <w:p w14:paraId="4F19C6D9" w14:textId="0C597EF8" w:rsidR="00A61D95" w:rsidRPr="00CA26FB" w:rsidRDefault="00A61D95" w:rsidP="00CA26FB">
            <w:pPr>
              <w:pStyle w:val="ListBullet"/>
            </w:pPr>
            <w:r>
              <w:rPr>
                <w:bCs/>
                <w:color w:val="000000" w:themeColor="text1"/>
              </w:rPr>
              <w:t>Explored the implantation of PBL including whole school PL, staff survey and training for identified PBL team</w:t>
            </w:r>
            <w:r w:rsidR="008670C5">
              <w:rPr>
                <w:bCs/>
                <w:color w:val="000000" w:themeColor="text1"/>
              </w:rPr>
              <w:t>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231905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65BF0C18" w14:textId="6068BA7F" w:rsidR="00937D6F" w:rsidRDefault="0069141C" w:rsidP="0069141C">
            <w:pPr>
              <w:pStyle w:val="ListBullet"/>
            </w:pPr>
            <w:r>
              <w:t xml:space="preserve">Increase the proportion of parents and staff who </w:t>
            </w:r>
            <w:r w:rsidR="00231905">
              <w:t>agree</w:t>
            </w:r>
            <w:r>
              <w:t xml:space="preserve"> with the statement </w:t>
            </w:r>
            <w:r w:rsidR="00231905">
              <w:t>‘t</w:t>
            </w:r>
            <w:r w:rsidR="00231905" w:rsidRPr="007A02EE">
              <w:t>he use of learning technologies is an integral part of teaching and learning’</w:t>
            </w:r>
            <w:r w:rsidR="003F2B50">
              <w:t xml:space="preserve"> through PL and parent workshops</w:t>
            </w:r>
            <w:r w:rsidR="008670C5">
              <w:t>.</w:t>
            </w:r>
          </w:p>
          <w:p w14:paraId="0AE1E8CE" w14:textId="2CC78224" w:rsidR="003A5EDD" w:rsidRDefault="003A5EDD" w:rsidP="0069141C">
            <w:pPr>
              <w:pStyle w:val="ListBullet"/>
            </w:pPr>
            <w:r>
              <w:t>Continue with planned PBL implementation to address drop in student learning data around social and emotional learning</w:t>
            </w:r>
            <w:r w:rsidR="008670C5">
              <w:t>.</w:t>
            </w:r>
          </w:p>
          <w:p w14:paraId="4D0D0527" w14:textId="7CD8570C" w:rsidR="00231905" w:rsidRDefault="003A5EDD" w:rsidP="003F2B50">
            <w:pPr>
              <w:pStyle w:val="ListBullet"/>
            </w:pPr>
            <w:r>
              <w:t xml:space="preserve">Focus on </w:t>
            </w:r>
            <w:r w:rsidR="00125E88">
              <w:t>implem</w:t>
            </w:r>
            <w:r w:rsidR="00984449">
              <w:t>en</w:t>
            </w:r>
            <w:r w:rsidR="00125E88">
              <w:t>ting</w:t>
            </w:r>
            <w:r>
              <w:t xml:space="preserve"> Seasons for Growth and </w:t>
            </w:r>
            <w:r w:rsidR="00125E88">
              <w:t>Bungee Drumming program for selected children in 2021</w:t>
            </w:r>
            <w:r w:rsidR="008670C5">
              <w:t>.</w:t>
            </w:r>
            <w:r w:rsidR="00134C1E">
              <w:t xml:space="preserve"> 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294EE590" w14:textId="0746B026" w:rsidR="0059350F" w:rsidRPr="003A44D0" w:rsidRDefault="00EB70CE" w:rsidP="003A44D0">
      <w:pPr>
        <w:rPr>
          <w:b/>
        </w:rPr>
      </w:pPr>
      <w:r>
        <w:rPr>
          <w:b/>
        </w:rPr>
        <w:br w:type="page"/>
      </w:r>
    </w:p>
    <w:p w14:paraId="05A9A145" w14:textId="77777777" w:rsidR="00271528" w:rsidRPr="00557F65" w:rsidRDefault="00271528" w:rsidP="00E061B8">
      <w:pPr>
        <w:pStyle w:val="Heading2"/>
      </w:pPr>
      <w:r>
        <w:lastRenderedPageBreak/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61FB4C4A" w14:textId="77777777" w:rsidR="00271528" w:rsidRDefault="005B1B6B" w:rsidP="005B1B6B">
            <w:pPr>
              <w:pStyle w:val="ListBullet"/>
            </w:pPr>
            <w:r>
              <w:t>Upgrade of preschool furniture to align with remainder of the school</w:t>
            </w:r>
          </w:p>
          <w:p w14:paraId="01843866" w14:textId="77777777" w:rsidR="005B1B6B" w:rsidRDefault="005B1B6B" w:rsidP="005B1B6B">
            <w:pPr>
              <w:pStyle w:val="ListBullet"/>
            </w:pPr>
            <w:r>
              <w:t>Worked in partnership with the University of Canberra on a Teachers as Researchers project focusing on transitions. Through out this project we reviewed our processes and implemented new practices in relation to transitions.</w:t>
            </w:r>
          </w:p>
          <w:p w14:paraId="03A40488" w14:textId="2698185D" w:rsidR="005B1B6B" w:rsidRDefault="005B1B6B" w:rsidP="005B1B6B">
            <w:pPr>
              <w:pStyle w:val="ListBullet"/>
            </w:pPr>
            <w:r>
              <w:t xml:space="preserve">Worked in partnership with </w:t>
            </w:r>
            <w:proofErr w:type="spellStart"/>
            <w:r>
              <w:t>communities@work</w:t>
            </w:r>
            <w:proofErr w:type="spellEnd"/>
            <w:r>
              <w:t xml:space="preserve"> on the implementation of </w:t>
            </w:r>
            <w:r w:rsidR="002473BB">
              <w:t>3-year-old preschool</w:t>
            </w:r>
          </w:p>
          <w:p w14:paraId="679D2510" w14:textId="77777777" w:rsidR="002473BB" w:rsidRDefault="002473BB" w:rsidP="005B1B6B">
            <w:pPr>
              <w:pStyle w:val="ListBullet"/>
            </w:pPr>
            <w:r>
              <w:t xml:space="preserve">Incorporated the Early Years Literacy project outcomes into daily programming focusing on the 10 essential practices </w:t>
            </w:r>
          </w:p>
          <w:p w14:paraId="3162A498" w14:textId="77777777" w:rsidR="002473BB" w:rsidRDefault="002473BB" w:rsidP="005B1B6B">
            <w:pPr>
              <w:pStyle w:val="ListBullet"/>
            </w:pPr>
            <w:r>
              <w:t xml:space="preserve">Supported children and families with online learning throughout the </w:t>
            </w:r>
            <w:proofErr w:type="spellStart"/>
            <w:r>
              <w:t>covid</w:t>
            </w:r>
            <w:proofErr w:type="spellEnd"/>
            <w:r>
              <w:t xml:space="preserve"> shut down period</w:t>
            </w:r>
          </w:p>
          <w:p w14:paraId="0F1B3529" w14:textId="77777777" w:rsidR="002473BB" w:rsidRDefault="002473BB" w:rsidP="005B1B6B">
            <w:pPr>
              <w:pStyle w:val="ListBullet"/>
            </w:pPr>
            <w:r>
              <w:t xml:space="preserve">Undertook </w:t>
            </w:r>
            <w:proofErr w:type="spellStart"/>
            <w:r>
              <w:t>self reflections</w:t>
            </w:r>
            <w:proofErr w:type="spellEnd"/>
            <w:r>
              <w:t xml:space="preserve"> on practice and compliance </w:t>
            </w:r>
          </w:p>
          <w:p w14:paraId="6D7302F3" w14:textId="77777777" w:rsidR="002473BB" w:rsidRDefault="002473BB" w:rsidP="005B1B6B">
            <w:pPr>
              <w:pStyle w:val="ListBullet"/>
            </w:pPr>
            <w:r>
              <w:t>Reviewed first aid procedures</w:t>
            </w:r>
          </w:p>
          <w:p w14:paraId="614E47A1" w14:textId="77777777" w:rsidR="002473BB" w:rsidRDefault="002473BB" w:rsidP="005B1B6B">
            <w:pPr>
              <w:pStyle w:val="ListBullet"/>
            </w:pPr>
            <w:r>
              <w:t xml:space="preserve">Undertook minor repairs on outdoor environment </w:t>
            </w:r>
          </w:p>
          <w:p w14:paraId="29B5806E" w14:textId="52075E92" w:rsidR="002473BB" w:rsidRDefault="002473BB" w:rsidP="005B1B6B">
            <w:pPr>
              <w:pStyle w:val="ListBullet"/>
            </w:pPr>
            <w:r>
              <w:t>Included a sustainability focus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E70F" w14:textId="77777777" w:rsidR="00FB4595" w:rsidRDefault="00FB4595" w:rsidP="00CA0BAD">
      <w:pPr>
        <w:spacing w:after="0" w:line="240" w:lineRule="auto"/>
      </w:pPr>
      <w:r>
        <w:separator/>
      </w:r>
    </w:p>
  </w:endnote>
  <w:endnote w:type="continuationSeparator" w:id="0">
    <w:p w14:paraId="65C510CD" w14:textId="77777777" w:rsidR="00FB4595" w:rsidRDefault="00FB4595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1FBBA22B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926F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17 December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2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2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D8B9" w14:textId="77777777" w:rsidR="00FB4595" w:rsidRDefault="00FB4595" w:rsidP="00CA0BAD">
      <w:pPr>
        <w:spacing w:after="0" w:line="240" w:lineRule="auto"/>
      </w:pPr>
      <w:r>
        <w:separator/>
      </w:r>
    </w:p>
  </w:footnote>
  <w:footnote w:type="continuationSeparator" w:id="0">
    <w:p w14:paraId="142BCEC0" w14:textId="77777777" w:rsidR="00FB4595" w:rsidRDefault="00FB4595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16E"/>
    <w:multiLevelType w:val="hybridMultilevel"/>
    <w:tmpl w:val="3D3EC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97574"/>
    <w:multiLevelType w:val="hybridMultilevel"/>
    <w:tmpl w:val="566A97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D3B22"/>
    <w:multiLevelType w:val="hybridMultilevel"/>
    <w:tmpl w:val="CFCC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1DB7"/>
    <w:multiLevelType w:val="multilevel"/>
    <w:tmpl w:val="5778FAD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4EF2"/>
    <w:rsid w:val="00057DAD"/>
    <w:rsid w:val="00072326"/>
    <w:rsid w:val="000F7E7C"/>
    <w:rsid w:val="00107AE2"/>
    <w:rsid w:val="00115AA9"/>
    <w:rsid w:val="00125E88"/>
    <w:rsid w:val="00127C5E"/>
    <w:rsid w:val="00132917"/>
    <w:rsid w:val="00134C1E"/>
    <w:rsid w:val="00151510"/>
    <w:rsid w:val="00161E50"/>
    <w:rsid w:val="00163579"/>
    <w:rsid w:val="00183DE5"/>
    <w:rsid w:val="001B26EA"/>
    <w:rsid w:val="001B2E33"/>
    <w:rsid w:val="001C4222"/>
    <w:rsid w:val="002145F7"/>
    <w:rsid w:val="0021578D"/>
    <w:rsid w:val="002213FA"/>
    <w:rsid w:val="002244B7"/>
    <w:rsid w:val="00231905"/>
    <w:rsid w:val="002473BB"/>
    <w:rsid w:val="0024781C"/>
    <w:rsid w:val="00260EA4"/>
    <w:rsid w:val="00266E77"/>
    <w:rsid w:val="00271528"/>
    <w:rsid w:val="00282D2C"/>
    <w:rsid w:val="002E5284"/>
    <w:rsid w:val="002F2C6F"/>
    <w:rsid w:val="002F4184"/>
    <w:rsid w:val="00300F72"/>
    <w:rsid w:val="0030111C"/>
    <w:rsid w:val="00334BBF"/>
    <w:rsid w:val="00342B3F"/>
    <w:rsid w:val="00365890"/>
    <w:rsid w:val="00365A1C"/>
    <w:rsid w:val="00373DC0"/>
    <w:rsid w:val="00377F0F"/>
    <w:rsid w:val="003866D3"/>
    <w:rsid w:val="003A44D0"/>
    <w:rsid w:val="003A5EDD"/>
    <w:rsid w:val="003B5E3D"/>
    <w:rsid w:val="003C2864"/>
    <w:rsid w:val="003C69DC"/>
    <w:rsid w:val="003E1EFB"/>
    <w:rsid w:val="003F2B50"/>
    <w:rsid w:val="003F2BB8"/>
    <w:rsid w:val="00416CC4"/>
    <w:rsid w:val="00424438"/>
    <w:rsid w:val="00435AB7"/>
    <w:rsid w:val="00435C6B"/>
    <w:rsid w:val="00436626"/>
    <w:rsid w:val="00461D07"/>
    <w:rsid w:val="00481BD2"/>
    <w:rsid w:val="00490D37"/>
    <w:rsid w:val="00492440"/>
    <w:rsid w:val="004B7B1A"/>
    <w:rsid w:val="004C32E2"/>
    <w:rsid w:val="004D00F4"/>
    <w:rsid w:val="004D1D1C"/>
    <w:rsid w:val="004D5E45"/>
    <w:rsid w:val="00520A86"/>
    <w:rsid w:val="00557F65"/>
    <w:rsid w:val="005611F4"/>
    <w:rsid w:val="0057672E"/>
    <w:rsid w:val="0058339C"/>
    <w:rsid w:val="005876F8"/>
    <w:rsid w:val="0059350F"/>
    <w:rsid w:val="005A4749"/>
    <w:rsid w:val="005B1B6B"/>
    <w:rsid w:val="005B79D4"/>
    <w:rsid w:val="005C7432"/>
    <w:rsid w:val="005E76E4"/>
    <w:rsid w:val="005F3B55"/>
    <w:rsid w:val="00610A38"/>
    <w:rsid w:val="006242DD"/>
    <w:rsid w:val="00631663"/>
    <w:rsid w:val="00637C91"/>
    <w:rsid w:val="006648F5"/>
    <w:rsid w:val="0066643F"/>
    <w:rsid w:val="00674E1D"/>
    <w:rsid w:val="006830C3"/>
    <w:rsid w:val="0069141C"/>
    <w:rsid w:val="006A31D6"/>
    <w:rsid w:val="006A3A81"/>
    <w:rsid w:val="006A5062"/>
    <w:rsid w:val="006A524F"/>
    <w:rsid w:val="006D2F6B"/>
    <w:rsid w:val="00706379"/>
    <w:rsid w:val="00733263"/>
    <w:rsid w:val="007347A7"/>
    <w:rsid w:val="007375B4"/>
    <w:rsid w:val="00743A2D"/>
    <w:rsid w:val="00752390"/>
    <w:rsid w:val="00775F5F"/>
    <w:rsid w:val="007B0189"/>
    <w:rsid w:val="007C704B"/>
    <w:rsid w:val="007D407C"/>
    <w:rsid w:val="008300DD"/>
    <w:rsid w:val="00835824"/>
    <w:rsid w:val="00837137"/>
    <w:rsid w:val="00846E51"/>
    <w:rsid w:val="00847839"/>
    <w:rsid w:val="008670C5"/>
    <w:rsid w:val="008679D5"/>
    <w:rsid w:val="00874C10"/>
    <w:rsid w:val="0089573E"/>
    <w:rsid w:val="00896B58"/>
    <w:rsid w:val="008A01DA"/>
    <w:rsid w:val="00915ADE"/>
    <w:rsid w:val="0093040B"/>
    <w:rsid w:val="00932E67"/>
    <w:rsid w:val="00937D6F"/>
    <w:rsid w:val="0095310D"/>
    <w:rsid w:val="00984449"/>
    <w:rsid w:val="009904CF"/>
    <w:rsid w:val="00997CD0"/>
    <w:rsid w:val="009B454E"/>
    <w:rsid w:val="009B7107"/>
    <w:rsid w:val="009E2D26"/>
    <w:rsid w:val="00A112C4"/>
    <w:rsid w:val="00A1525D"/>
    <w:rsid w:val="00A61D95"/>
    <w:rsid w:val="00A967A3"/>
    <w:rsid w:val="00AB2CA3"/>
    <w:rsid w:val="00AB3505"/>
    <w:rsid w:val="00AD7D38"/>
    <w:rsid w:val="00AE1CAD"/>
    <w:rsid w:val="00AE2FBD"/>
    <w:rsid w:val="00AE3C70"/>
    <w:rsid w:val="00AF0BBA"/>
    <w:rsid w:val="00B06296"/>
    <w:rsid w:val="00B10319"/>
    <w:rsid w:val="00B36AF4"/>
    <w:rsid w:val="00B41802"/>
    <w:rsid w:val="00B443AD"/>
    <w:rsid w:val="00B53B59"/>
    <w:rsid w:val="00B734D8"/>
    <w:rsid w:val="00BD165F"/>
    <w:rsid w:val="00BD4A43"/>
    <w:rsid w:val="00C0648C"/>
    <w:rsid w:val="00C06492"/>
    <w:rsid w:val="00C36B48"/>
    <w:rsid w:val="00C46F91"/>
    <w:rsid w:val="00C63CC4"/>
    <w:rsid w:val="00C77B0A"/>
    <w:rsid w:val="00C91C8E"/>
    <w:rsid w:val="00C926FC"/>
    <w:rsid w:val="00CA0BAD"/>
    <w:rsid w:val="00CA26FB"/>
    <w:rsid w:val="00CA4658"/>
    <w:rsid w:val="00CF3F40"/>
    <w:rsid w:val="00D03B0C"/>
    <w:rsid w:val="00D101DD"/>
    <w:rsid w:val="00D21886"/>
    <w:rsid w:val="00D340DF"/>
    <w:rsid w:val="00D56F59"/>
    <w:rsid w:val="00D66148"/>
    <w:rsid w:val="00D731BD"/>
    <w:rsid w:val="00DA09ED"/>
    <w:rsid w:val="00DA4480"/>
    <w:rsid w:val="00DB037A"/>
    <w:rsid w:val="00DE43E6"/>
    <w:rsid w:val="00DE75EB"/>
    <w:rsid w:val="00DF0245"/>
    <w:rsid w:val="00DF695B"/>
    <w:rsid w:val="00E040EF"/>
    <w:rsid w:val="00E061B8"/>
    <w:rsid w:val="00E14A54"/>
    <w:rsid w:val="00E434FA"/>
    <w:rsid w:val="00E528A6"/>
    <w:rsid w:val="00E56876"/>
    <w:rsid w:val="00E67955"/>
    <w:rsid w:val="00EA1B8A"/>
    <w:rsid w:val="00EB70CE"/>
    <w:rsid w:val="00ED5E3F"/>
    <w:rsid w:val="00EF2574"/>
    <w:rsid w:val="00F05C79"/>
    <w:rsid w:val="00F3160E"/>
    <w:rsid w:val="00F43658"/>
    <w:rsid w:val="00F536D7"/>
    <w:rsid w:val="00F87A19"/>
    <w:rsid w:val="00FA6811"/>
    <w:rsid w:val="00FA6A61"/>
    <w:rsid w:val="00FB31F0"/>
    <w:rsid w:val="00FB4595"/>
    <w:rsid w:val="00FC1BB5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TableBodyLeft">
    <w:name w:val="TableBodyLeft"/>
    <w:rsid w:val="006A3A81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5A7B8D"/>
    <w:rsid w:val="008B6DE0"/>
    <w:rsid w:val="008F4B21"/>
    <w:rsid w:val="00C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Props1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7ACD1-F65A-44FA-9447-D8C9216A371C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1907</Words>
  <Characters>10872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Kelly, Kathleen</cp:lastModifiedBy>
  <cp:revision>2</cp:revision>
  <cp:lastPrinted>2018-11-20T01:48:00Z</cp:lastPrinted>
  <dcterms:created xsi:type="dcterms:W3CDTF">2020-12-17T23:45:00Z</dcterms:created>
  <dcterms:modified xsi:type="dcterms:W3CDTF">2020-12-17T23:45:00Z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