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6F" w:rsidRDefault="00D50949" w:rsidP="001619BA">
      <w:pPr>
        <w:rPr>
          <w:rStyle w:val="TitleChar"/>
        </w:rPr>
      </w:pPr>
      <w:bookmarkStart w:id="0" w:name="_GoBack"/>
      <w:bookmarkEnd w:id="0"/>
      <w:r>
        <w:rPr>
          <w:rStyle w:val="TitleChar"/>
        </w:rPr>
        <w:t>AMAROO</w:t>
      </w:r>
      <w:r w:rsidR="00A20F6F">
        <w:rPr>
          <w:rStyle w:val="TitleChar"/>
        </w:rPr>
        <w:t xml:space="preserve"> SCHOOL </w:t>
      </w:r>
    </w:p>
    <w:p w:rsidR="00662881" w:rsidRPr="00820E01" w:rsidRDefault="002636B7" w:rsidP="00A765C4">
      <w:pPr>
        <w:pStyle w:val="Title"/>
      </w:pPr>
      <w:r w:rsidRPr="00C35789">
        <w:rPr>
          <w:rStyle w:val="TitleChar"/>
        </w:rPr>
        <w:t xml:space="preserve">Annual </w:t>
      </w:r>
      <w:r w:rsidR="000443D7" w:rsidRPr="00C35789">
        <w:rPr>
          <w:rStyle w:val="TitleChar"/>
        </w:rPr>
        <w:t>Action Plan Report</w:t>
      </w:r>
      <w:r w:rsidR="00D50949">
        <w:rPr>
          <w:rStyle w:val="TitleChar"/>
        </w:rPr>
        <w:t xml:space="preserve"> 2017</w:t>
      </w:r>
    </w:p>
    <w:p w:rsidR="000443D7" w:rsidRPr="007D36B1" w:rsidRDefault="000443D7" w:rsidP="00A20F6F">
      <w:pPr>
        <w:pStyle w:val="Heading1"/>
        <w:rPr>
          <w:lang w:val="en-AU"/>
        </w:rPr>
      </w:pPr>
      <w:r w:rsidRPr="00A20F6F">
        <w:t>Contex</w:t>
      </w:r>
      <w:r w:rsidR="003E22DD" w:rsidRPr="00A20F6F">
        <w:t>t</w:t>
      </w:r>
      <w:r w:rsidR="007D36B1">
        <w:rPr>
          <w:lang w:val="en-AU"/>
        </w:rPr>
        <w:t xml:space="preserve"> </w:t>
      </w:r>
    </w:p>
    <w:p w:rsidR="005F0822" w:rsidRDefault="005F0822" w:rsidP="005F0822">
      <w:pPr>
        <w:tabs>
          <w:tab w:val="left" w:pos="9026"/>
        </w:tabs>
        <w:spacing w:line="240" w:lineRule="auto"/>
        <w:ind w:right="-46"/>
        <w:jc w:val="both"/>
        <w:rPr>
          <w:sz w:val="23"/>
          <w:szCs w:val="23"/>
        </w:rPr>
      </w:pPr>
      <w:r w:rsidRPr="00DB5340">
        <w:rPr>
          <w:rFonts w:eastAsia="Times New Roman"/>
          <w:color w:val="000000"/>
          <w:sz w:val="23"/>
          <w:szCs w:val="23"/>
          <w:lang w:eastAsia="en-AU"/>
        </w:rPr>
        <w:t>Amaroo School</w:t>
      </w:r>
      <w:r>
        <w:rPr>
          <w:rFonts w:eastAsia="Times New Roman"/>
          <w:color w:val="000000"/>
          <w:sz w:val="23"/>
          <w:szCs w:val="23"/>
          <w:lang w:eastAsia="en-AU"/>
        </w:rPr>
        <w:t xml:space="preserve"> is located in the Gungahlin region</w:t>
      </w:r>
      <w:r w:rsidRPr="00DB5340">
        <w:rPr>
          <w:rFonts w:eastAsia="Times New Roman"/>
          <w:color w:val="000000"/>
          <w:sz w:val="23"/>
          <w:szCs w:val="23"/>
          <w:lang w:eastAsia="en-AU"/>
        </w:rPr>
        <w:t xml:space="preserve"> </w:t>
      </w:r>
      <w:r>
        <w:rPr>
          <w:rFonts w:eastAsia="Times New Roman"/>
          <w:color w:val="000000"/>
          <w:sz w:val="23"/>
          <w:szCs w:val="23"/>
          <w:lang w:eastAsia="en-AU"/>
        </w:rPr>
        <w:t xml:space="preserve">and </w:t>
      </w:r>
      <w:r w:rsidRPr="00DB5340">
        <w:rPr>
          <w:rFonts w:eastAsia="Times New Roman"/>
          <w:color w:val="000000"/>
          <w:sz w:val="23"/>
          <w:szCs w:val="23"/>
          <w:lang w:eastAsia="en-AU"/>
        </w:rPr>
        <w:t>is the largest ACT</w:t>
      </w:r>
      <w:r>
        <w:rPr>
          <w:rFonts w:eastAsia="Times New Roman"/>
          <w:color w:val="000000"/>
          <w:sz w:val="23"/>
          <w:szCs w:val="23"/>
          <w:lang w:eastAsia="en-AU"/>
        </w:rPr>
        <w:t xml:space="preserve"> public school.</w:t>
      </w:r>
      <w:r w:rsidRPr="00DB5340">
        <w:rPr>
          <w:rFonts w:eastAsia="Times New Roman"/>
          <w:color w:val="000000"/>
          <w:sz w:val="23"/>
          <w:szCs w:val="23"/>
          <w:lang w:eastAsia="en-AU"/>
        </w:rPr>
        <w:t xml:space="preserve"> Our student enr</w:t>
      </w:r>
      <w:r>
        <w:rPr>
          <w:rFonts w:eastAsia="Times New Roman"/>
          <w:color w:val="000000"/>
          <w:sz w:val="23"/>
          <w:szCs w:val="23"/>
          <w:lang w:eastAsia="en-AU"/>
        </w:rPr>
        <w:t>olment in February 2017 was 1,807</w:t>
      </w:r>
      <w:r w:rsidRPr="00DB5340">
        <w:rPr>
          <w:rFonts w:eastAsia="Times New Roman"/>
          <w:color w:val="000000"/>
          <w:sz w:val="23"/>
          <w:szCs w:val="23"/>
          <w:lang w:eastAsia="en-AU"/>
        </w:rPr>
        <w:t xml:space="preserve">. Our student profile represents a highly diverse and multicultural background. We have </w:t>
      </w:r>
      <w:r>
        <w:rPr>
          <w:rFonts w:eastAsia="Times New Roman"/>
          <w:color w:val="000000"/>
          <w:sz w:val="23"/>
          <w:szCs w:val="23"/>
          <w:lang w:eastAsia="en-AU"/>
        </w:rPr>
        <w:t xml:space="preserve">a significant number of </w:t>
      </w:r>
      <w:r w:rsidRPr="00DB5340">
        <w:rPr>
          <w:rFonts w:eastAsia="Times New Roman"/>
          <w:color w:val="000000"/>
          <w:sz w:val="23"/>
          <w:szCs w:val="23"/>
          <w:lang w:eastAsia="en-AU"/>
        </w:rPr>
        <w:t>students that speak English as their Second Language</w:t>
      </w:r>
      <w:r>
        <w:rPr>
          <w:rFonts w:eastAsia="Times New Roman"/>
          <w:color w:val="000000"/>
          <w:sz w:val="23"/>
          <w:szCs w:val="23"/>
          <w:lang w:eastAsia="en-AU"/>
        </w:rPr>
        <w:t xml:space="preserve"> (EAL/D) in their homes. There are 30</w:t>
      </w:r>
      <w:r w:rsidRPr="00DB5340">
        <w:rPr>
          <w:rFonts w:eastAsia="Times New Roman"/>
          <w:color w:val="000000"/>
          <w:sz w:val="23"/>
          <w:szCs w:val="23"/>
          <w:lang w:eastAsia="en-AU"/>
        </w:rPr>
        <w:t xml:space="preserve"> Aboriginal and Torres Strait Islander students currently enrolled and we provide for </w:t>
      </w:r>
      <w:r>
        <w:rPr>
          <w:rFonts w:eastAsia="Times New Roman"/>
          <w:color w:val="000000"/>
          <w:sz w:val="23"/>
          <w:szCs w:val="23"/>
          <w:lang w:eastAsia="en-AU"/>
        </w:rPr>
        <w:t>95</w:t>
      </w:r>
      <w:r w:rsidRPr="00DB5340">
        <w:rPr>
          <w:rFonts w:eastAsia="Times New Roman"/>
          <w:color w:val="000000"/>
          <w:sz w:val="23"/>
          <w:szCs w:val="23"/>
          <w:lang w:eastAsia="en-AU"/>
        </w:rPr>
        <w:t xml:space="preserve"> students with diagnosed special needs including two learning support classrooms for students with autism</w:t>
      </w:r>
      <w:r>
        <w:rPr>
          <w:rFonts w:eastAsia="Times New Roman"/>
          <w:color w:val="000000"/>
          <w:sz w:val="23"/>
          <w:szCs w:val="23"/>
          <w:lang w:eastAsia="en-AU"/>
        </w:rPr>
        <w:t xml:space="preserve"> (LSUAs)</w:t>
      </w:r>
      <w:r w:rsidRPr="00DB5340">
        <w:rPr>
          <w:rFonts w:eastAsia="Times New Roman"/>
          <w:color w:val="000000"/>
          <w:sz w:val="23"/>
          <w:szCs w:val="23"/>
          <w:lang w:eastAsia="en-AU"/>
        </w:rPr>
        <w:t xml:space="preserve">. </w:t>
      </w:r>
      <w:r>
        <w:rPr>
          <w:rFonts w:eastAsia="Times New Roman"/>
          <w:color w:val="000000"/>
          <w:sz w:val="23"/>
          <w:szCs w:val="23"/>
          <w:lang w:eastAsia="en-AU"/>
        </w:rPr>
        <w:t xml:space="preserve">We have many students </w:t>
      </w:r>
      <w:r w:rsidRPr="00DB5340">
        <w:rPr>
          <w:rFonts w:eastAsia="Times New Roman"/>
          <w:color w:val="000000"/>
          <w:sz w:val="23"/>
          <w:szCs w:val="23"/>
          <w:lang w:eastAsia="en-AU"/>
        </w:rPr>
        <w:t>from Au</w:t>
      </w:r>
      <w:r>
        <w:rPr>
          <w:rFonts w:eastAsia="Times New Roman"/>
          <w:color w:val="000000"/>
          <w:sz w:val="23"/>
          <w:szCs w:val="23"/>
          <w:lang w:eastAsia="en-AU"/>
        </w:rPr>
        <w:t xml:space="preserve">stralian Defence Force families. </w:t>
      </w:r>
      <w:r w:rsidRPr="00DB5340">
        <w:rPr>
          <w:rFonts w:eastAsia="Times New Roman"/>
          <w:color w:val="000000"/>
          <w:sz w:val="23"/>
          <w:szCs w:val="23"/>
          <w:lang w:eastAsia="en-AU"/>
        </w:rPr>
        <w:t xml:space="preserve">We highly value our diversity as it represents the unique nature of the people in our school. </w:t>
      </w:r>
    </w:p>
    <w:p w:rsidR="005F0822" w:rsidRDefault="005F0822" w:rsidP="005F0822">
      <w:pPr>
        <w:pStyle w:val="Default"/>
        <w:rPr>
          <w:sz w:val="23"/>
          <w:szCs w:val="23"/>
        </w:rPr>
      </w:pPr>
      <w:r>
        <w:rPr>
          <w:sz w:val="23"/>
          <w:szCs w:val="23"/>
        </w:rPr>
        <w:t>The establishment of the new suburbs Moncrieff and Taylor in our school’s priority enrolment area has had significant impact on our growing school population. Student enrolments will continue to grow and are expected to increase significantly in the coming years. Currently under construction is a multipurpose learning area for 300 students and a second gymnasium ready for the start of the 2018 school year.</w:t>
      </w:r>
    </w:p>
    <w:p w:rsidR="005F0822" w:rsidRDefault="005F0822" w:rsidP="005F0822">
      <w:pPr>
        <w:pStyle w:val="Default"/>
        <w:rPr>
          <w:sz w:val="23"/>
          <w:szCs w:val="23"/>
        </w:rPr>
      </w:pPr>
      <w:r>
        <w:rPr>
          <w:sz w:val="23"/>
          <w:szCs w:val="23"/>
        </w:rPr>
        <w:t xml:space="preserve">In 2017 we had more students enrol in Year 7 from Neville Bonner Primary compared to 2016 and we expect the numbers to steadily increase. </w:t>
      </w:r>
      <w:r w:rsidR="00156D9A">
        <w:rPr>
          <w:sz w:val="23"/>
          <w:szCs w:val="23"/>
        </w:rPr>
        <w:t>During the 2017</w:t>
      </w:r>
      <w:r>
        <w:rPr>
          <w:sz w:val="23"/>
          <w:szCs w:val="23"/>
        </w:rPr>
        <w:t xml:space="preserve"> school year we </w:t>
      </w:r>
      <w:r w:rsidRPr="00561386">
        <w:rPr>
          <w:sz w:val="23"/>
          <w:szCs w:val="23"/>
        </w:rPr>
        <w:t xml:space="preserve">had </w:t>
      </w:r>
      <w:r w:rsidR="00561386" w:rsidRPr="00561386">
        <w:rPr>
          <w:sz w:val="23"/>
          <w:szCs w:val="23"/>
        </w:rPr>
        <w:t>1</w:t>
      </w:r>
      <w:r w:rsidRPr="00561386">
        <w:rPr>
          <w:sz w:val="23"/>
          <w:szCs w:val="23"/>
        </w:rPr>
        <w:t>1</w:t>
      </w:r>
      <w:r w:rsidR="00561386" w:rsidRPr="00561386">
        <w:rPr>
          <w:sz w:val="23"/>
          <w:szCs w:val="23"/>
        </w:rPr>
        <w:t>0</w:t>
      </w:r>
      <w:r w:rsidRPr="00561386">
        <w:rPr>
          <w:sz w:val="23"/>
          <w:szCs w:val="23"/>
        </w:rPr>
        <w:t xml:space="preserve"> ne</w:t>
      </w:r>
      <w:r w:rsidR="00561386" w:rsidRPr="00561386">
        <w:rPr>
          <w:sz w:val="23"/>
          <w:szCs w:val="23"/>
        </w:rPr>
        <w:t>w</w:t>
      </w:r>
      <w:r w:rsidR="00561386">
        <w:rPr>
          <w:sz w:val="23"/>
          <w:szCs w:val="23"/>
        </w:rPr>
        <w:t xml:space="preserve"> enrolments across the school.</w:t>
      </w:r>
      <w:r>
        <w:rPr>
          <w:sz w:val="23"/>
          <w:szCs w:val="23"/>
        </w:rPr>
        <w:t xml:space="preserve"> </w:t>
      </w:r>
    </w:p>
    <w:p w:rsidR="00156D9A" w:rsidRDefault="00156D9A" w:rsidP="005F0822">
      <w:pPr>
        <w:pStyle w:val="Default"/>
        <w:rPr>
          <w:sz w:val="23"/>
          <w:szCs w:val="23"/>
        </w:rPr>
      </w:pPr>
      <w:r>
        <w:rPr>
          <w:sz w:val="23"/>
          <w:szCs w:val="23"/>
        </w:rPr>
        <w:t>2017 was the first year of our new Strategic Plan 2017-21. The school dissolved the middle school structure and now operates as a “one school - two sector model”. The primary sector is Preschool to year 6 and the Secondary Sector is years 7 to 10.</w:t>
      </w:r>
    </w:p>
    <w:p w:rsidR="001205F6" w:rsidRPr="00820E01" w:rsidRDefault="001205F6" w:rsidP="00820E01">
      <w:pPr>
        <w:pStyle w:val="BodyText"/>
      </w:pPr>
    </w:p>
    <w:p w:rsidR="00EA5C81" w:rsidRPr="00820E01" w:rsidRDefault="003E22DD" w:rsidP="00FF5AEA">
      <w:pPr>
        <w:pStyle w:val="Heading1"/>
      </w:pPr>
      <w:r w:rsidRPr="00EA5C81">
        <w:t>Methodology</w:t>
      </w:r>
      <w:r w:rsidR="00FF5AEA">
        <w:rPr>
          <w:lang w:val="en-AU"/>
        </w:rPr>
        <w:t xml:space="preserve"> </w:t>
      </w:r>
    </w:p>
    <w:p w:rsidR="008F06C5" w:rsidRPr="008F06C5" w:rsidRDefault="00156D9A" w:rsidP="00156D9A">
      <w:pPr>
        <w:rPr>
          <w:sz w:val="23"/>
          <w:szCs w:val="23"/>
          <w:lang w:eastAsia="en-AU"/>
        </w:rPr>
      </w:pPr>
      <w:r>
        <w:rPr>
          <w:sz w:val="23"/>
          <w:szCs w:val="23"/>
          <w:lang w:eastAsia="en-AU"/>
        </w:rPr>
        <w:t>In designing our 2017</w:t>
      </w:r>
      <w:r w:rsidRPr="00D65EFE">
        <w:rPr>
          <w:sz w:val="23"/>
          <w:szCs w:val="23"/>
          <w:lang w:eastAsia="en-AU"/>
        </w:rPr>
        <w:t xml:space="preserve"> plan, we </w:t>
      </w:r>
      <w:r>
        <w:rPr>
          <w:sz w:val="23"/>
          <w:szCs w:val="23"/>
          <w:lang w:eastAsia="en-AU"/>
        </w:rPr>
        <w:t>incorporated the r</w:t>
      </w:r>
      <w:r w:rsidR="00FF5AEA">
        <w:rPr>
          <w:sz w:val="23"/>
          <w:szCs w:val="23"/>
          <w:lang w:eastAsia="en-AU"/>
        </w:rPr>
        <w:t>ecommendations from our School R</w:t>
      </w:r>
      <w:r>
        <w:rPr>
          <w:sz w:val="23"/>
          <w:szCs w:val="23"/>
          <w:lang w:eastAsia="en-AU"/>
        </w:rPr>
        <w:t xml:space="preserve">eview in </w:t>
      </w:r>
      <w:r w:rsidRPr="008F06C5">
        <w:rPr>
          <w:sz w:val="23"/>
          <w:szCs w:val="23"/>
          <w:lang w:eastAsia="en-AU"/>
        </w:rPr>
        <w:t>2016.</w:t>
      </w:r>
      <w:r w:rsidR="00FF5AEA" w:rsidRPr="008F06C5">
        <w:rPr>
          <w:sz w:val="23"/>
          <w:szCs w:val="23"/>
          <w:lang w:eastAsia="en-AU"/>
        </w:rPr>
        <w:t xml:space="preserve"> </w:t>
      </w:r>
      <w:r w:rsidR="008F06C5" w:rsidRPr="008F06C5">
        <w:rPr>
          <w:sz w:val="23"/>
          <w:szCs w:val="23"/>
        </w:rPr>
        <w:t xml:space="preserve">Five domains </w:t>
      </w:r>
      <w:r w:rsidR="008F06C5" w:rsidRPr="008F06C5">
        <w:rPr>
          <w:sz w:val="23"/>
          <w:szCs w:val="23"/>
          <w:lang w:eastAsia="en-AU"/>
        </w:rPr>
        <w:t xml:space="preserve">from the National School Improvement Tool </w:t>
      </w:r>
      <w:r w:rsidR="008F06C5" w:rsidRPr="008F06C5">
        <w:rPr>
          <w:sz w:val="23"/>
          <w:szCs w:val="23"/>
        </w:rPr>
        <w:t>were directly linked to our current key improvement strategies for 201</w:t>
      </w:r>
      <w:r w:rsidR="008F06C5">
        <w:rPr>
          <w:sz w:val="23"/>
          <w:szCs w:val="23"/>
        </w:rPr>
        <w:t>7:</w:t>
      </w:r>
    </w:p>
    <w:p w:rsidR="00FF5AEA" w:rsidRPr="00FF5AEA" w:rsidRDefault="00FF5AEA" w:rsidP="00FF5AEA">
      <w:pPr>
        <w:pStyle w:val="Default"/>
        <w:rPr>
          <w:rFonts w:ascii="GillSans Light" w:hAnsi="GillSans Light"/>
          <w:sz w:val="22"/>
          <w:szCs w:val="22"/>
        </w:rPr>
      </w:pPr>
      <w:r>
        <w:rPr>
          <w:sz w:val="23"/>
          <w:szCs w:val="23"/>
        </w:rPr>
        <w:t>Domain 1:</w:t>
      </w:r>
      <w:r w:rsidRPr="00FF5AEA">
        <w:t xml:space="preserve"> </w:t>
      </w:r>
      <w:r w:rsidRPr="00FF5AEA">
        <w:rPr>
          <w:rFonts w:ascii="GillSans Light" w:hAnsi="GillSans Light"/>
          <w:sz w:val="22"/>
          <w:szCs w:val="22"/>
        </w:rPr>
        <w:t>An explicit improvement agenda</w:t>
      </w:r>
    </w:p>
    <w:p w:rsidR="00FF5AEA" w:rsidRPr="00FF5AEA" w:rsidRDefault="00FF5AEA" w:rsidP="00FF5AEA">
      <w:pPr>
        <w:pStyle w:val="Default"/>
        <w:rPr>
          <w:rFonts w:ascii="GillSans Light" w:hAnsi="GillSans Light" w:cs="Times New Roman"/>
          <w:color w:val="auto"/>
          <w:sz w:val="22"/>
          <w:szCs w:val="22"/>
        </w:rPr>
      </w:pPr>
      <w:r>
        <w:rPr>
          <w:sz w:val="23"/>
          <w:szCs w:val="23"/>
        </w:rPr>
        <w:t>Domain 2:</w:t>
      </w:r>
      <w:r w:rsidRPr="00FF5AEA">
        <w:t xml:space="preserve"> </w:t>
      </w:r>
      <w:r w:rsidRPr="00FF5AEA">
        <w:rPr>
          <w:rFonts w:ascii="GillSans Light" w:hAnsi="GillSans Light" w:cs="Times New Roman"/>
          <w:color w:val="auto"/>
          <w:sz w:val="22"/>
          <w:szCs w:val="22"/>
        </w:rPr>
        <w:t>Analysis and discussion of data</w:t>
      </w:r>
    </w:p>
    <w:p w:rsidR="00FF5AEA" w:rsidRPr="00FF5AEA" w:rsidRDefault="00FF5AEA" w:rsidP="00FF5AEA">
      <w:pPr>
        <w:pStyle w:val="Default"/>
        <w:rPr>
          <w:rFonts w:ascii="GillSans Light" w:hAnsi="GillSans Light" w:cs="Times New Roman"/>
          <w:color w:val="auto"/>
          <w:sz w:val="22"/>
          <w:szCs w:val="22"/>
        </w:rPr>
      </w:pPr>
      <w:r>
        <w:rPr>
          <w:sz w:val="23"/>
          <w:szCs w:val="23"/>
        </w:rPr>
        <w:t>Domain 3:</w:t>
      </w:r>
      <w:r w:rsidRPr="00FF5AEA">
        <w:t xml:space="preserve"> </w:t>
      </w:r>
      <w:r w:rsidRPr="00FF5AEA">
        <w:rPr>
          <w:rFonts w:ascii="GillSans Light" w:hAnsi="GillSans Light" w:cs="Times New Roman"/>
          <w:color w:val="auto"/>
          <w:sz w:val="22"/>
          <w:szCs w:val="22"/>
        </w:rPr>
        <w:t>A culture that promotes learning</w:t>
      </w:r>
    </w:p>
    <w:p w:rsidR="00FF5AEA" w:rsidRPr="00FF5AEA" w:rsidRDefault="00FF5AEA" w:rsidP="00FF5AEA">
      <w:pPr>
        <w:pStyle w:val="Default"/>
        <w:rPr>
          <w:rFonts w:ascii="GillSans Light" w:hAnsi="GillSans Light" w:cs="Times New Roman"/>
          <w:color w:val="auto"/>
          <w:sz w:val="22"/>
          <w:szCs w:val="22"/>
        </w:rPr>
      </w:pPr>
      <w:r>
        <w:rPr>
          <w:sz w:val="23"/>
          <w:szCs w:val="23"/>
        </w:rPr>
        <w:t>Domain 5:</w:t>
      </w:r>
      <w:r w:rsidRPr="00FF5AEA">
        <w:t xml:space="preserve"> </w:t>
      </w:r>
      <w:r w:rsidRPr="00FF5AEA">
        <w:rPr>
          <w:rFonts w:ascii="GillSans Light" w:hAnsi="GillSans Light" w:cs="Times New Roman"/>
          <w:color w:val="auto"/>
          <w:sz w:val="22"/>
          <w:szCs w:val="22"/>
        </w:rPr>
        <w:t>An expert teaching team</w:t>
      </w:r>
    </w:p>
    <w:p w:rsidR="008F06C5" w:rsidRPr="008F06C5" w:rsidRDefault="00FF5AEA" w:rsidP="008F06C5">
      <w:pPr>
        <w:pStyle w:val="Default"/>
        <w:rPr>
          <w:rFonts w:ascii="GillSans Light" w:hAnsi="GillSans Light" w:cs="GillSans Light"/>
          <w:sz w:val="22"/>
          <w:szCs w:val="22"/>
        </w:rPr>
      </w:pPr>
      <w:r>
        <w:rPr>
          <w:sz w:val="23"/>
          <w:szCs w:val="23"/>
        </w:rPr>
        <w:t xml:space="preserve">Domain 8: </w:t>
      </w:r>
      <w:r w:rsidRPr="00FF5AEA">
        <w:rPr>
          <w:rFonts w:ascii="GillSans Light" w:hAnsi="GillSans Light" w:cs="Times New Roman"/>
          <w:color w:val="auto"/>
          <w:sz w:val="22"/>
          <w:szCs w:val="22"/>
        </w:rPr>
        <w:t>Effective pedagogical practices</w:t>
      </w:r>
    </w:p>
    <w:p w:rsidR="008F06C5" w:rsidRDefault="008F06C5" w:rsidP="00156D9A">
      <w:pPr>
        <w:rPr>
          <w:sz w:val="23"/>
          <w:szCs w:val="23"/>
          <w:lang w:eastAsia="en-AU"/>
        </w:rPr>
      </w:pPr>
      <w:r w:rsidRPr="008F06C5">
        <w:rPr>
          <w:sz w:val="23"/>
          <w:szCs w:val="23"/>
          <w:lang w:eastAsia="en-AU"/>
        </w:rPr>
        <w:t xml:space="preserve">Our strategic intent is to build teacher capacity to engage students in learning. We are committed to three core concepts underpinning our improvement agenda: peer coaching, formative assessment and professional learning communities (PLC). </w:t>
      </w:r>
    </w:p>
    <w:p w:rsidR="00156D9A" w:rsidRPr="00B207F4" w:rsidRDefault="00156D9A" w:rsidP="00156D9A">
      <w:pPr>
        <w:rPr>
          <w:sz w:val="23"/>
          <w:szCs w:val="23"/>
        </w:rPr>
      </w:pPr>
      <w:r w:rsidRPr="00B207F4">
        <w:rPr>
          <w:sz w:val="23"/>
          <w:szCs w:val="23"/>
        </w:rPr>
        <w:t xml:space="preserve">As part of the reflection process the evidence that has been considered includes: </w:t>
      </w:r>
    </w:p>
    <w:p w:rsidR="0020237C" w:rsidRDefault="0020237C" w:rsidP="0020237C">
      <w:pPr>
        <w:widowControl w:val="0"/>
        <w:numPr>
          <w:ilvl w:val="0"/>
          <w:numId w:val="14"/>
        </w:numPr>
        <w:spacing w:line="240" w:lineRule="auto"/>
        <w:rPr>
          <w:sz w:val="23"/>
          <w:szCs w:val="23"/>
        </w:rPr>
      </w:pPr>
      <w:r>
        <w:rPr>
          <w:sz w:val="23"/>
          <w:szCs w:val="23"/>
        </w:rPr>
        <w:t>School Climate Survey data</w:t>
      </w:r>
    </w:p>
    <w:p w:rsidR="0020237C" w:rsidRPr="00A856CB" w:rsidRDefault="0020237C" w:rsidP="0020237C">
      <w:pPr>
        <w:widowControl w:val="0"/>
        <w:numPr>
          <w:ilvl w:val="0"/>
          <w:numId w:val="14"/>
        </w:numPr>
        <w:spacing w:line="240" w:lineRule="auto"/>
        <w:rPr>
          <w:sz w:val="23"/>
          <w:szCs w:val="23"/>
        </w:rPr>
      </w:pPr>
      <w:r w:rsidRPr="00D65EFE">
        <w:rPr>
          <w:sz w:val="23"/>
          <w:szCs w:val="23"/>
        </w:rPr>
        <w:t xml:space="preserve">School </w:t>
      </w:r>
      <w:r w:rsidR="008F06C5">
        <w:rPr>
          <w:sz w:val="23"/>
          <w:szCs w:val="23"/>
        </w:rPr>
        <w:t>Satisfaction S</w:t>
      </w:r>
      <w:r w:rsidRPr="00D65EFE">
        <w:rPr>
          <w:sz w:val="23"/>
          <w:szCs w:val="23"/>
        </w:rPr>
        <w:t xml:space="preserve">urvey data </w:t>
      </w:r>
    </w:p>
    <w:p w:rsidR="00156D9A" w:rsidRDefault="00156D9A" w:rsidP="00156D9A">
      <w:pPr>
        <w:widowControl w:val="0"/>
        <w:numPr>
          <w:ilvl w:val="0"/>
          <w:numId w:val="14"/>
        </w:numPr>
        <w:spacing w:line="240" w:lineRule="auto"/>
        <w:rPr>
          <w:sz w:val="23"/>
          <w:szCs w:val="23"/>
        </w:rPr>
      </w:pPr>
      <w:r w:rsidRPr="00D65EFE">
        <w:rPr>
          <w:sz w:val="23"/>
          <w:szCs w:val="23"/>
        </w:rPr>
        <w:t xml:space="preserve">NAPLAN performance data </w:t>
      </w:r>
    </w:p>
    <w:p w:rsidR="008F06C5" w:rsidRPr="00A856CB" w:rsidRDefault="008F06C5" w:rsidP="008F06C5">
      <w:pPr>
        <w:widowControl w:val="0"/>
        <w:numPr>
          <w:ilvl w:val="0"/>
          <w:numId w:val="14"/>
        </w:numPr>
        <w:spacing w:line="240" w:lineRule="auto"/>
        <w:rPr>
          <w:sz w:val="23"/>
          <w:szCs w:val="23"/>
        </w:rPr>
      </w:pPr>
      <w:r>
        <w:rPr>
          <w:sz w:val="23"/>
          <w:szCs w:val="23"/>
        </w:rPr>
        <w:t>P</w:t>
      </w:r>
      <w:r w:rsidR="00A22F83">
        <w:rPr>
          <w:sz w:val="23"/>
          <w:szCs w:val="23"/>
        </w:rPr>
        <w:t>I</w:t>
      </w:r>
      <w:r>
        <w:rPr>
          <w:sz w:val="23"/>
          <w:szCs w:val="23"/>
        </w:rPr>
        <w:t>P</w:t>
      </w:r>
      <w:r w:rsidR="00A22F83">
        <w:rPr>
          <w:sz w:val="23"/>
          <w:szCs w:val="23"/>
        </w:rPr>
        <w:t>’</w:t>
      </w:r>
      <w:r>
        <w:rPr>
          <w:sz w:val="23"/>
          <w:szCs w:val="23"/>
        </w:rPr>
        <w:t>s P</w:t>
      </w:r>
      <w:r w:rsidRPr="00D65EFE">
        <w:rPr>
          <w:sz w:val="23"/>
          <w:szCs w:val="23"/>
        </w:rPr>
        <w:t xml:space="preserve">erformance data </w:t>
      </w:r>
    </w:p>
    <w:p w:rsidR="00156D9A" w:rsidRPr="008F06C5" w:rsidRDefault="00156D9A" w:rsidP="008F06C5">
      <w:pPr>
        <w:widowControl w:val="0"/>
        <w:numPr>
          <w:ilvl w:val="0"/>
          <w:numId w:val="14"/>
        </w:numPr>
        <w:spacing w:line="240" w:lineRule="auto"/>
        <w:rPr>
          <w:sz w:val="23"/>
          <w:szCs w:val="23"/>
        </w:rPr>
      </w:pPr>
      <w:r w:rsidRPr="008F06C5">
        <w:rPr>
          <w:sz w:val="23"/>
          <w:szCs w:val="23"/>
        </w:rPr>
        <w:t xml:space="preserve">NSIT Self-Assessment data, Evidence and Recommendations developed by </w:t>
      </w:r>
      <w:r w:rsidR="00C46246" w:rsidRPr="008F06C5">
        <w:rPr>
          <w:sz w:val="23"/>
          <w:szCs w:val="23"/>
        </w:rPr>
        <w:t xml:space="preserve">the Executive </w:t>
      </w:r>
      <w:r w:rsidR="00C46246" w:rsidRPr="008F06C5">
        <w:rPr>
          <w:sz w:val="23"/>
          <w:szCs w:val="23"/>
        </w:rPr>
        <w:lastRenderedPageBreak/>
        <w:t xml:space="preserve">team and School Review team </w:t>
      </w:r>
    </w:p>
    <w:p w:rsidR="00156D9A" w:rsidRPr="00B207F4" w:rsidRDefault="00156D9A" w:rsidP="00156D9A">
      <w:pPr>
        <w:widowControl w:val="0"/>
        <w:numPr>
          <w:ilvl w:val="0"/>
          <w:numId w:val="14"/>
        </w:numPr>
        <w:spacing w:line="240" w:lineRule="auto"/>
        <w:rPr>
          <w:sz w:val="23"/>
          <w:szCs w:val="23"/>
        </w:rPr>
      </w:pPr>
      <w:r w:rsidRPr="00D65EFE">
        <w:rPr>
          <w:sz w:val="23"/>
          <w:szCs w:val="23"/>
        </w:rPr>
        <w:t xml:space="preserve">Professional Learning Communities Continuum data </w:t>
      </w:r>
    </w:p>
    <w:p w:rsidR="00156D9A" w:rsidRDefault="00156D9A" w:rsidP="00156D9A">
      <w:pPr>
        <w:rPr>
          <w:sz w:val="23"/>
          <w:szCs w:val="23"/>
          <w:lang w:eastAsia="en-AU"/>
        </w:rPr>
      </w:pPr>
    </w:p>
    <w:p w:rsidR="00156D9A" w:rsidRPr="00B15D4D" w:rsidRDefault="00156D9A" w:rsidP="00156D9A">
      <w:pPr>
        <w:rPr>
          <w:sz w:val="23"/>
          <w:szCs w:val="23"/>
          <w:lang w:eastAsia="en-AU"/>
        </w:rPr>
      </w:pPr>
      <w:r>
        <w:rPr>
          <w:sz w:val="23"/>
          <w:szCs w:val="23"/>
          <w:lang w:eastAsia="en-AU"/>
        </w:rPr>
        <w:t xml:space="preserve">Additional aspects of the Annual Action Plan for 2017 included the use of </w:t>
      </w:r>
      <w:r w:rsidRPr="00212597">
        <w:rPr>
          <w:sz w:val="23"/>
          <w:szCs w:val="23"/>
          <w:lang w:eastAsia="en-AU"/>
        </w:rPr>
        <w:t>Sector plans</w:t>
      </w:r>
      <w:r>
        <w:rPr>
          <w:sz w:val="23"/>
          <w:szCs w:val="23"/>
          <w:lang w:eastAsia="en-AU"/>
        </w:rPr>
        <w:t xml:space="preserve">, whole school professional learning plans, consistent use of Understanding by Design (Ubd) documentation and a whole school approach to </w:t>
      </w:r>
      <w:r w:rsidR="008F06C5">
        <w:rPr>
          <w:sz w:val="23"/>
          <w:szCs w:val="23"/>
          <w:lang w:eastAsia="en-AU"/>
        </w:rPr>
        <w:t>staff P</w:t>
      </w:r>
      <w:r>
        <w:rPr>
          <w:sz w:val="23"/>
          <w:szCs w:val="23"/>
          <w:lang w:eastAsia="en-AU"/>
        </w:rPr>
        <w:t xml:space="preserve">rofessional </w:t>
      </w:r>
      <w:r w:rsidR="008F06C5">
        <w:rPr>
          <w:sz w:val="23"/>
          <w:szCs w:val="23"/>
          <w:lang w:eastAsia="en-AU"/>
        </w:rPr>
        <w:t>Development Plans</w:t>
      </w:r>
      <w:r>
        <w:rPr>
          <w:sz w:val="23"/>
          <w:szCs w:val="23"/>
          <w:lang w:eastAsia="en-AU"/>
        </w:rPr>
        <w:t>.</w:t>
      </w:r>
      <w:r w:rsidRPr="00212597">
        <w:rPr>
          <w:sz w:val="23"/>
          <w:szCs w:val="23"/>
          <w:lang w:eastAsia="en-AU"/>
        </w:rPr>
        <w:t xml:space="preserve"> </w:t>
      </w:r>
      <w:r>
        <w:rPr>
          <w:sz w:val="23"/>
          <w:szCs w:val="23"/>
          <w:lang w:eastAsia="en-AU"/>
        </w:rPr>
        <w:t xml:space="preserve">Each executive member has had the responsibility of ensuring these processes have been implemented and reflected upon throughout the year. </w:t>
      </w:r>
    </w:p>
    <w:p w:rsidR="00CD5632" w:rsidRPr="008F06C5" w:rsidRDefault="00156D9A" w:rsidP="008F06C5">
      <w:pPr>
        <w:rPr>
          <w:sz w:val="23"/>
          <w:szCs w:val="23"/>
          <w:lang w:eastAsia="en-AU"/>
        </w:rPr>
      </w:pPr>
      <w:r w:rsidRPr="008F06C5">
        <w:rPr>
          <w:sz w:val="23"/>
          <w:szCs w:val="23"/>
          <w:lang w:eastAsia="en-AU"/>
        </w:rPr>
        <w:t>A “teach meet” was held at the end of each semester, where teaching teams showcased their successes and SMART goal achievements over the semester</w:t>
      </w:r>
      <w:r w:rsidR="008F06C5">
        <w:rPr>
          <w:sz w:val="23"/>
          <w:szCs w:val="23"/>
          <w:lang w:eastAsia="en-AU"/>
        </w:rPr>
        <w:t>.</w:t>
      </w:r>
    </w:p>
    <w:p w:rsidR="00A876B2" w:rsidRDefault="00A876B2" w:rsidP="00820E01">
      <w:pPr>
        <w:pStyle w:val="BodyText"/>
      </w:pPr>
    </w:p>
    <w:p w:rsidR="0020237C" w:rsidRPr="008F06C5" w:rsidRDefault="0020237C" w:rsidP="008F06C5">
      <w:pPr>
        <w:pBdr>
          <w:top w:val="single" w:sz="4" w:space="1" w:color="auto"/>
          <w:left w:val="single" w:sz="4" w:space="4" w:color="auto"/>
          <w:bottom w:val="single" w:sz="4" w:space="1" w:color="auto"/>
          <w:right w:val="single" w:sz="4" w:space="4" w:color="auto"/>
        </w:pBdr>
        <w:rPr>
          <w:i/>
          <w:sz w:val="23"/>
          <w:szCs w:val="23"/>
        </w:rPr>
        <w:sectPr w:rsidR="0020237C" w:rsidRPr="008F06C5" w:rsidSect="00A003A0">
          <w:footerReference w:type="default" r:id="rId8"/>
          <w:pgSz w:w="11906" w:h="16838"/>
          <w:pgMar w:top="1440" w:right="1440" w:bottom="1440" w:left="1440" w:header="709" w:footer="709" w:gutter="0"/>
          <w:cols w:space="708"/>
          <w:docGrid w:linePitch="360"/>
        </w:sectPr>
      </w:pPr>
    </w:p>
    <w:p w:rsidR="00CD5632" w:rsidRPr="00BA5279" w:rsidRDefault="000443D7" w:rsidP="00BA5279">
      <w:pPr>
        <w:pStyle w:val="Heading1"/>
        <w:rPr>
          <w:lang w:val="en-AU"/>
        </w:rPr>
      </w:pPr>
      <w:r w:rsidRPr="00A20F6F">
        <w:lastRenderedPageBreak/>
        <w:t>Evaluation of Performance</w:t>
      </w:r>
      <w:r w:rsidR="007D36B1">
        <w:rPr>
          <w:lang w:val="en-AU"/>
        </w:rPr>
        <w:t xml:space="preserve"> </w:t>
      </w:r>
    </w:p>
    <w:p w:rsidR="00A876B2" w:rsidRPr="00BA5279" w:rsidRDefault="00EA5C81" w:rsidP="00BA5279">
      <w:pPr>
        <w:pStyle w:val="Heading2"/>
        <w:rPr>
          <w:lang w:val="en-AU"/>
        </w:rPr>
      </w:pPr>
      <w:r w:rsidRPr="00BA5279">
        <w:rPr>
          <w:sz w:val="28"/>
        </w:rPr>
        <w:t>Priority</w:t>
      </w:r>
      <w:r w:rsidR="00BA5279" w:rsidRPr="00BA5279">
        <w:rPr>
          <w:sz w:val="28"/>
          <w:lang w:val="en-AU"/>
        </w:rPr>
        <w:t xml:space="preserve"> </w:t>
      </w:r>
      <w:r w:rsidR="00A876B2" w:rsidRPr="00BA5279">
        <w:rPr>
          <w:sz w:val="28"/>
        </w:rPr>
        <w:t>1: Improve student’s levels of wellbeing and engagement</w:t>
      </w:r>
      <w:r w:rsidR="00A876B2" w:rsidRPr="00BF0FFB">
        <w:rPr>
          <w:rFonts w:ascii="Calibri" w:hAnsi="Calibri"/>
        </w:rPr>
        <w:t xml:space="preserve">. </w:t>
      </w:r>
    </w:p>
    <w:p w:rsidR="000443D7" w:rsidRPr="00BA5279" w:rsidRDefault="000443D7" w:rsidP="00E14542">
      <w:pPr>
        <w:pStyle w:val="Heading3"/>
        <w:rPr>
          <w:lang w:val="en-AU"/>
        </w:rPr>
      </w:pPr>
      <w:r w:rsidRPr="00E14542">
        <w:t>Target</w:t>
      </w:r>
      <w:r w:rsidR="006F45C9">
        <w:t>s</w:t>
      </w:r>
      <w:r w:rsidR="00BA5279">
        <w:rPr>
          <w:lang w:val="en-AU"/>
        </w:rPr>
        <w:t>:</w:t>
      </w:r>
    </w:p>
    <w:p w:rsidR="00A876B2" w:rsidRDefault="00A876B2" w:rsidP="00A876B2">
      <w:pPr>
        <w:numPr>
          <w:ilvl w:val="0"/>
          <w:numId w:val="16"/>
        </w:numPr>
        <w:spacing w:line="240" w:lineRule="auto"/>
        <w:rPr>
          <w:rFonts w:eastAsia="Times New Roman"/>
          <w:lang w:eastAsia="en-AU"/>
        </w:rPr>
      </w:pPr>
      <w:r>
        <w:rPr>
          <w:rFonts w:eastAsia="Times New Roman"/>
          <w:lang w:eastAsia="en-AU"/>
        </w:rPr>
        <w:t xml:space="preserve">Exceed the ACT “like schools” average in </w:t>
      </w:r>
      <w:r w:rsidRPr="000F008C">
        <w:rPr>
          <w:rFonts w:eastAsia="Times New Roman"/>
          <w:lang w:eastAsia="en-AU"/>
        </w:rPr>
        <w:t>the proportion of EXCELLENT (blue) responses of “Staff and Student Relations” in the Australian School Climate and School Identification Measurement Tool (ASCSIMT) (</w:t>
      </w:r>
      <w:r>
        <w:rPr>
          <w:rFonts w:eastAsia="Times New Roman"/>
          <w:lang w:eastAsia="en-AU"/>
        </w:rPr>
        <w:t>2016 Amaroo School 83%, ACT mean 81</w:t>
      </w:r>
      <w:r w:rsidRPr="000F008C">
        <w:rPr>
          <w:rFonts w:eastAsia="Times New Roman"/>
          <w:lang w:eastAsia="en-AU"/>
        </w:rPr>
        <w:t>%)</w:t>
      </w:r>
      <w:r w:rsidR="00BA5279">
        <w:rPr>
          <w:rFonts w:eastAsia="Times New Roman"/>
          <w:lang w:eastAsia="en-AU"/>
        </w:rPr>
        <w:t xml:space="preserve"> </w:t>
      </w:r>
    </w:p>
    <w:p w:rsidR="00CD5632" w:rsidRDefault="00A22F83" w:rsidP="00A22F83">
      <w:pPr>
        <w:spacing w:line="240" w:lineRule="auto"/>
        <w:ind w:left="720"/>
        <w:rPr>
          <w:rFonts w:eastAsia="Times New Roman"/>
          <w:lang w:eastAsia="en-AU"/>
        </w:rPr>
      </w:pPr>
      <w:r w:rsidRPr="00A22F83">
        <w:rPr>
          <w:rFonts w:eastAsia="Times New Roman"/>
          <w:highlight w:val="green"/>
          <w:lang w:eastAsia="en-AU"/>
        </w:rPr>
        <w:t>Target met</w:t>
      </w:r>
    </w:p>
    <w:p w:rsidR="00A22F83" w:rsidRDefault="00A22F83" w:rsidP="00A22F83">
      <w:pPr>
        <w:spacing w:line="240" w:lineRule="auto"/>
        <w:rPr>
          <w:rFonts w:eastAsia="Times New Roman"/>
          <w:lang w:eastAsia="en-AU"/>
        </w:rPr>
      </w:pPr>
    </w:p>
    <w:tbl>
      <w:tblPr>
        <w:tblStyle w:val="TableGrid"/>
        <w:tblW w:w="0" w:type="auto"/>
        <w:tblInd w:w="720" w:type="dxa"/>
        <w:tblLook w:val="04A0" w:firstRow="1" w:lastRow="0" w:firstColumn="1" w:lastColumn="0" w:noHBand="0" w:noVBand="1"/>
      </w:tblPr>
      <w:tblGrid>
        <w:gridCol w:w="4362"/>
        <w:gridCol w:w="4160"/>
      </w:tblGrid>
      <w:tr w:rsidR="00A22F83" w:rsidTr="00A22F83">
        <w:tc>
          <w:tcPr>
            <w:tcW w:w="4621" w:type="dxa"/>
          </w:tcPr>
          <w:p w:rsidR="00A22F83" w:rsidRDefault="00A22F83" w:rsidP="00A22F83">
            <w:pPr>
              <w:pStyle w:val="Heading2"/>
              <w:spacing w:before="0" w:after="0"/>
              <w:rPr>
                <w:sz w:val="24"/>
                <w:szCs w:val="24"/>
                <w:lang w:val="en-AU" w:eastAsia="en-AU"/>
              </w:rPr>
            </w:pPr>
            <w:r w:rsidRPr="00A22F83">
              <w:rPr>
                <w:sz w:val="24"/>
                <w:szCs w:val="24"/>
                <w:lang w:val="en-AU" w:eastAsia="en-AU"/>
              </w:rPr>
              <w:t xml:space="preserve">Staff response: </w:t>
            </w:r>
            <w:r w:rsidRPr="00A22F83">
              <w:rPr>
                <w:sz w:val="24"/>
                <w:szCs w:val="24"/>
                <w:lang w:eastAsia="en-AU"/>
              </w:rPr>
              <w:t>201</w:t>
            </w:r>
            <w:r w:rsidRPr="00A22F83">
              <w:rPr>
                <w:sz w:val="24"/>
                <w:szCs w:val="24"/>
                <w:lang w:val="en-AU" w:eastAsia="en-AU"/>
              </w:rPr>
              <w:t>7</w:t>
            </w:r>
            <w:r w:rsidRPr="00A22F83">
              <w:rPr>
                <w:sz w:val="24"/>
                <w:szCs w:val="24"/>
                <w:lang w:eastAsia="en-AU"/>
              </w:rPr>
              <w:t xml:space="preserve"> </w:t>
            </w:r>
          </w:p>
          <w:p w:rsidR="00A22F83" w:rsidRPr="00A22F83" w:rsidRDefault="00A22F83" w:rsidP="00A22F83">
            <w:pPr>
              <w:pStyle w:val="Heading2"/>
              <w:spacing w:before="0" w:after="0"/>
              <w:rPr>
                <w:sz w:val="24"/>
                <w:szCs w:val="24"/>
                <w:lang w:val="en-AU" w:eastAsia="en-AU"/>
              </w:rPr>
            </w:pPr>
            <w:r w:rsidRPr="00A22F83">
              <w:rPr>
                <w:sz w:val="24"/>
                <w:szCs w:val="24"/>
                <w:lang w:eastAsia="en-AU"/>
              </w:rPr>
              <w:t xml:space="preserve">Amaroo School </w:t>
            </w:r>
            <w:r w:rsidRPr="00A22F83">
              <w:rPr>
                <w:sz w:val="24"/>
                <w:szCs w:val="24"/>
                <w:lang w:val="en-AU" w:eastAsia="en-AU"/>
              </w:rPr>
              <w:t>79</w:t>
            </w:r>
            <w:r w:rsidRPr="00A22F83">
              <w:rPr>
                <w:sz w:val="24"/>
                <w:szCs w:val="24"/>
                <w:lang w:eastAsia="en-AU"/>
              </w:rPr>
              <w:t xml:space="preserve">%, ACT mean </w:t>
            </w:r>
            <w:r w:rsidRPr="00A22F83">
              <w:rPr>
                <w:sz w:val="24"/>
                <w:szCs w:val="24"/>
                <w:lang w:val="en-AU" w:eastAsia="en-AU"/>
              </w:rPr>
              <w:t>79</w:t>
            </w:r>
            <w:r w:rsidRPr="00A22F83">
              <w:rPr>
                <w:sz w:val="24"/>
                <w:szCs w:val="24"/>
                <w:lang w:eastAsia="en-AU"/>
              </w:rPr>
              <w:t>%)</w:t>
            </w:r>
          </w:p>
        </w:tc>
        <w:tc>
          <w:tcPr>
            <w:tcW w:w="4621" w:type="dxa"/>
          </w:tcPr>
          <w:p w:rsidR="00A22F83" w:rsidRPr="00A22F83" w:rsidRDefault="00A22F83" w:rsidP="00A22F83">
            <w:pPr>
              <w:pStyle w:val="Heading2"/>
              <w:spacing w:before="0" w:after="0"/>
              <w:rPr>
                <w:sz w:val="24"/>
                <w:szCs w:val="24"/>
                <w:lang w:val="en-AU" w:eastAsia="en-AU"/>
              </w:rPr>
            </w:pPr>
            <w:r w:rsidRPr="00A22F83">
              <w:rPr>
                <w:sz w:val="24"/>
                <w:szCs w:val="24"/>
                <w:lang w:eastAsia="en-AU"/>
              </w:rPr>
              <w:t>Student response: 2017 Amaroo School 25%, ACT mean 22%)</w:t>
            </w:r>
          </w:p>
        </w:tc>
      </w:tr>
      <w:tr w:rsidR="00A22F83" w:rsidTr="00A22F83">
        <w:tc>
          <w:tcPr>
            <w:tcW w:w="4621" w:type="dxa"/>
          </w:tcPr>
          <w:p w:rsidR="00A22F83" w:rsidRDefault="00A22F83" w:rsidP="00A22F83">
            <w:pPr>
              <w:spacing w:line="240" w:lineRule="auto"/>
              <w:rPr>
                <w:rFonts w:eastAsia="Times New Roman"/>
                <w:lang w:eastAsia="en-AU"/>
              </w:rPr>
            </w:pPr>
            <w:r>
              <w:rPr>
                <w:noProof/>
                <w:lang w:eastAsia="en-AU"/>
              </w:rPr>
              <w:drawing>
                <wp:inline distT="0" distB="0" distL="0" distR="0" wp14:anchorId="40FEC210" wp14:editId="0867B83B">
                  <wp:extent cx="2295525" cy="153869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95525" cy="1538690"/>
                          </a:xfrm>
                          <a:prstGeom prst="rect">
                            <a:avLst/>
                          </a:prstGeom>
                        </pic:spPr>
                      </pic:pic>
                    </a:graphicData>
                  </a:graphic>
                </wp:inline>
              </w:drawing>
            </w:r>
          </w:p>
        </w:tc>
        <w:tc>
          <w:tcPr>
            <w:tcW w:w="4621" w:type="dxa"/>
          </w:tcPr>
          <w:p w:rsidR="00A22F83" w:rsidRDefault="00A22F83" w:rsidP="00A22F83">
            <w:pPr>
              <w:spacing w:line="240" w:lineRule="auto"/>
              <w:jc w:val="center"/>
              <w:rPr>
                <w:rFonts w:eastAsia="Times New Roman"/>
                <w:lang w:eastAsia="en-AU"/>
              </w:rPr>
            </w:pPr>
            <w:r>
              <w:rPr>
                <w:noProof/>
                <w:lang w:eastAsia="en-AU"/>
              </w:rPr>
              <w:drawing>
                <wp:inline distT="0" distB="0" distL="0" distR="0" wp14:anchorId="01B87BDE" wp14:editId="1D74A82D">
                  <wp:extent cx="1899504" cy="1538287"/>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99695" cy="1538442"/>
                          </a:xfrm>
                          <a:prstGeom prst="rect">
                            <a:avLst/>
                          </a:prstGeom>
                        </pic:spPr>
                      </pic:pic>
                    </a:graphicData>
                  </a:graphic>
                </wp:inline>
              </w:drawing>
            </w:r>
          </w:p>
        </w:tc>
      </w:tr>
    </w:tbl>
    <w:p w:rsidR="00E07FAF" w:rsidRPr="00E07FAF" w:rsidRDefault="00E07FAF" w:rsidP="00E07FAF">
      <w:pPr>
        <w:pStyle w:val="BodyText"/>
        <w:rPr>
          <w:lang w:val="en-AU" w:eastAsia="en-AU"/>
        </w:rPr>
      </w:pPr>
    </w:p>
    <w:p w:rsidR="00A22F83" w:rsidRDefault="00A22F83" w:rsidP="00A22F83">
      <w:pPr>
        <w:numPr>
          <w:ilvl w:val="0"/>
          <w:numId w:val="16"/>
        </w:numPr>
        <w:spacing w:line="240" w:lineRule="auto"/>
        <w:rPr>
          <w:rFonts w:eastAsia="Times New Roman"/>
          <w:lang w:eastAsia="en-AU"/>
        </w:rPr>
      </w:pPr>
      <w:r>
        <w:rPr>
          <w:rFonts w:eastAsia="Times New Roman"/>
          <w:lang w:eastAsia="en-AU"/>
        </w:rPr>
        <w:t xml:space="preserve">An increase of 2% point improvement per annum in the </w:t>
      </w:r>
      <w:r w:rsidRPr="00D02B02">
        <w:rPr>
          <w:rFonts w:eastAsia="Times New Roman"/>
          <w:lang w:eastAsia="en-AU"/>
        </w:rPr>
        <w:t>Kids</w:t>
      </w:r>
      <w:r>
        <w:rPr>
          <w:rFonts w:eastAsia="Times New Roman"/>
          <w:lang w:eastAsia="en-AU"/>
        </w:rPr>
        <w:t xml:space="preserve">Matters &amp; </w:t>
      </w:r>
      <w:r w:rsidRPr="00D02B02">
        <w:rPr>
          <w:rFonts w:eastAsia="Times New Roman"/>
          <w:lang w:eastAsia="en-AU"/>
        </w:rPr>
        <w:t>Mind</w:t>
      </w:r>
      <w:r>
        <w:rPr>
          <w:rFonts w:eastAsia="Times New Roman"/>
          <w:lang w:eastAsia="en-AU"/>
        </w:rPr>
        <w:t>M</w:t>
      </w:r>
      <w:r w:rsidRPr="00D02B02">
        <w:rPr>
          <w:rFonts w:eastAsia="Times New Roman"/>
          <w:lang w:eastAsia="en-AU"/>
        </w:rPr>
        <w:t>atters</w:t>
      </w:r>
      <w:r>
        <w:rPr>
          <w:rFonts w:eastAsia="Times New Roman"/>
          <w:lang w:eastAsia="en-AU"/>
        </w:rPr>
        <w:t xml:space="preserve"> survey </w:t>
      </w:r>
      <w:r w:rsidRPr="00D02B02">
        <w:rPr>
          <w:rFonts w:eastAsia="Times New Roman"/>
          <w:lang w:eastAsia="en-AU"/>
        </w:rPr>
        <w:t>to</w:t>
      </w:r>
      <w:r>
        <w:rPr>
          <w:rFonts w:eastAsia="Times New Roman"/>
          <w:lang w:eastAsia="en-AU"/>
        </w:rPr>
        <w:t xml:space="preserve"> our student’s response to “Teachers and students at my school respect each other” rising from 45% in primary and 64% in secondary.  </w:t>
      </w:r>
    </w:p>
    <w:p w:rsidR="00A22F83" w:rsidRDefault="00A22F83" w:rsidP="00A22F83">
      <w:pPr>
        <w:pStyle w:val="BodyText"/>
        <w:ind w:firstLine="720"/>
        <w:rPr>
          <w:lang w:val="en-AU"/>
        </w:rPr>
      </w:pPr>
      <w:r w:rsidRPr="00A22F83">
        <w:rPr>
          <w:highlight w:val="green"/>
          <w:lang w:val="en-AU"/>
        </w:rPr>
        <w:t>Target met</w:t>
      </w:r>
      <w:r>
        <w:rPr>
          <w:lang w:val="en-AU"/>
        </w:rPr>
        <w:t xml:space="preserve"> - </w:t>
      </w:r>
      <w:r w:rsidRPr="00EC1600">
        <w:rPr>
          <w:highlight w:val="yellow"/>
          <w:lang w:val="en-AU"/>
        </w:rPr>
        <w:t xml:space="preserve">Survey data will </w:t>
      </w:r>
      <w:r w:rsidR="00AF19B9">
        <w:rPr>
          <w:highlight w:val="yellow"/>
          <w:lang w:val="en-AU"/>
        </w:rPr>
        <w:t xml:space="preserve">not </w:t>
      </w:r>
      <w:r w:rsidRPr="00EC1600">
        <w:rPr>
          <w:highlight w:val="yellow"/>
          <w:lang w:val="en-AU"/>
        </w:rPr>
        <w:t xml:space="preserve">be available </w:t>
      </w:r>
      <w:r w:rsidR="00AF19B9">
        <w:rPr>
          <w:highlight w:val="yellow"/>
          <w:lang w:val="en-AU"/>
        </w:rPr>
        <w:t>until late</w:t>
      </w:r>
      <w:r w:rsidRPr="00EC1600">
        <w:rPr>
          <w:highlight w:val="yellow"/>
          <w:lang w:val="en-AU"/>
        </w:rPr>
        <w:t xml:space="preserve"> term 1 2018 to measure actual growth</w:t>
      </w:r>
      <w:r>
        <w:rPr>
          <w:lang w:val="en-AU"/>
        </w:rPr>
        <w:t xml:space="preserve"> </w:t>
      </w:r>
    </w:p>
    <w:p w:rsidR="00BA5279" w:rsidRDefault="00BA5279" w:rsidP="00A22F83">
      <w:pPr>
        <w:pStyle w:val="Heading3"/>
      </w:pPr>
      <w:r>
        <w:t>Progress</w:t>
      </w:r>
    </w:p>
    <w:p w:rsidR="00AB7CBC" w:rsidRPr="00AB7CBC" w:rsidRDefault="00AB7CBC" w:rsidP="00AB7CB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Amaroo School has focused our educational improvement agenda towards behaviour management in which we aim to reshape our practice towards a proactive approach towards student engagement. There was a strong Action Research approach analysing our data, researching what is best practice across the country, what is working, what is not and what do the community want (staff, students and parents). From there we have built 98% support from teachers and 100% support from SLC’s for Positve Behaviours for Learning (PBL) which will be introduced in 2018. </w:t>
      </w:r>
    </w:p>
    <w:p w:rsidR="00AB7CBC" w:rsidRDefault="00AB7CBC" w:rsidP="00AB7CBC"/>
    <w:p w:rsidR="00AB7CBC" w:rsidRDefault="00AB7CBC" w:rsidP="00AB7CBC">
      <w:pPr>
        <w:pStyle w:val="NormalWeb"/>
        <w:spacing w:before="0" w:beforeAutospacing="0" w:after="0" w:afterAutospacing="0"/>
      </w:pPr>
      <w:r>
        <w:rPr>
          <w:rFonts w:ascii="Arial" w:hAnsi="Arial" w:cs="Arial"/>
          <w:color w:val="000000"/>
          <w:sz w:val="22"/>
          <w:szCs w:val="22"/>
        </w:rPr>
        <w:t xml:space="preserve">Amaroo School has established a wellbeing action research team, that has led our implementation of mindmatters/kidsmatter. We have undertaken modules in mental health in our youth and building resilience.   </w:t>
      </w:r>
    </w:p>
    <w:p w:rsidR="00AB7CBC" w:rsidRDefault="00AB7CBC" w:rsidP="00AB7CBC"/>
    <w:p w:rsidR="00AB7CBC" w:rsidRDefault="00AB7CBC" w:rsidP="00AB7CB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have established a shared accountability culture to monitor and address attendance concerns and issues this year. The new AmCares structure has allowed us to closely monitor and communicate with students and families and we have shown a significant improvement in quantitative attendance data. </w:t>
      </w:r>
    </w:p>
    <w:p w:rsidR="00AB7CBC" w:rsidRDefault="00AB7CBC" w:rsidP="00AB7CBC">
      <w:pPr>
        <w:pStyle w:val="NormalWeb"/>
        <w:spacing w:before="0" w:beforeAutospacing="0" w:after="0" w:afterAutospacing="0"/>
        <w:rPr>
          <w:rFonts w:ascii="Arial" w:hAnsi="Arial" w:cs="Arial"/>
          <w:color w:val="000000"/>
          <w:sz w:val="22"/>
          <w:szCs w:val="22"/>
        </w:rPr>
      </w:pPr>
    </w:p>
    <w:p w:rsidR="00773017" w:rsidRDefault="00773017" w:rsidP="0077301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The 9/10 Boys LEADAS program data was evaluated, with the following key improvement measures:</w:t>
      </w:r>
    </w:p>
    <w:p w:rsidR="00773017" w:rsidRPr="00A765C4" w:rsidRDefault="00773017" w:rsidP="00773017">
      <w:pPr>
        <w:pStyle w:val="ListParagraph"/>
        <w:numPr>
          <w:ilvl w:val="0"/>
          <w:numId w:val="20"/>
        </w:numPr>
        <w:rPr>
          <w:rFonts w:ascii="Arial" w:hAnsi="Arial" w:cs="Arial"/>
        </w:rPr>
      </w:pPr>
      <w:r w:rsidRPr="00A765C4">
        <w:rPr>
          <w:rFonts w:ascii="Arial" w:hAnsi="Arial" w:cs="Arial"/>
          <w:i/>
          <w:iCs/>
        </w:rPr>
        <w:t>My sense of self-worth, confidence and self-esteem is (before LEADAS &amp; after LEADAS)</w:t>
      </w:r>
      <w:r w:rsidRPr="00A765C4">
        <w:rPr>
          <w:rFonts w:ascii="Arial" w:hAnsi="Arial" w:cs="Arial"/>
        </w:rPr>
        <w:t xml:space="preserve"> : </w:t>
      </w:r>
      <w:r w:rsidRPr="00A765C4">
        <w:rPr>
          <w:rFonts w:ascii="Arial" w:hAnsi="Arial" w:cs="Arial"/>
          <w:bCs/>
        </w:rPr>
        <w:t>Before 41% ‘</w:t>
      </w:r>
      <w:r w:rsidRPr="00A765C4">
        <w:rPr>
          <w:rFonts w:ascii="Arial" w:hAnsi="Arial" w:cs="Arial"/>
        </w:rPr>
        <w:t>Good or Very Good’</w:t>
      </w:r>
      <w:r w:rsidRPr="00A765C4">
        <w:rPr>
          <w:rFonts w:ascii="Arial" w:hAnsi="Arial" w:cs="Arial"/>
          <w:bCs/>
        </w:rPr>
        <w:t xml:space="preserve"> After 78% </w:t>
      </w:r>
      <w:r w:rsidRPr="00A765C4">
        <w:rPr>
          <w:rFonts w:ascii="Arial" w:hAnsi="Arial" w:cs="Arial"/>
        </w:rPr>
        <w:t>said Good or Very Good</w:t>
      </w:r>
    </w:p>
    <w:p w:rsidR="00773017" w:rsidRPr="00A765C4" w:rsidRDefault="00773017" w:rsidP="00773017">
      <w:pPr>
        <w:pStyle w:val="ListParagraph"/>
        <w:numPr>
          <w:ilvl w:val="0"/>
          <w:numId w:val="20"/>
        </w:numPr>
        <w:rPr>
          <w:rFonts w:ascii="Arial" w:hAnsi="Arial" w:cs="Arial"/>
          <w:i/>
          <w:iCs/>
        </w:rPr>
      </w:pPr>
      <w:r w:rsidRPr="00A765C4">
        <w:rPr>
          <w:rFonts w:ascii="Arial" w:hAnsi="Arial" w:cs="Arial"/>
          <w:i/>
          <w:iCs/>
        </w:rPr>
        <w:t xml:space="preserve">My belief around my school performance: </w:t>
      </w:r>
    </w:p>
    <w:p w:rsidR="00773017" w:rsidRPr="00A765C4" w:rsidRDefault="00773017" w:rsidP="00773017">
      <w:pPr>
        <w:pStyle w:val="ListParagraph"/>
        <w:rPr>
          <w:rFonts w:ascii="Arial" w:hAnsi="Arial" w:cs="Arial"/>
        </w:rPr>
      </w:pPr>
      <w:r w:rsidRPr="00A765C4">
        <w:rPr>
          <w:rFonts w:ascii="Arial" w:hAnsi="Arial" w:cs="Arial"/>
          <w:bCs/>
        </w:rPr>
        <w:t>Before: 53%</w:t>
      </w:r>
      <w:r w:rsidRPr="00A765C4">
        <w:rPr>
          <w:rFonts w:ascii="Arial" w:hAnsi="Arial" w:cs="Arial"/>
        </w:rPr>
        <w:t xml:space="preserve"> said ‘fair, </w:t>
      </w:r>
      <w:r w:rsidRPr="00A765C4">
        <w:rPr>
          <w:rFonts w:ascii="Arial" w:hAnsi="Arial" w:cs="Arial"/>
          <w:bCs/>
        </w:rPr>
        <w:t xml:space="preserve">After more than 88% </w:t>
      </w:r>
      <w:r w:rsidRPr="00A765C4">
        <w:rPr>
          <w:rFonts w:ascii="Arial" w:hAnsi="Arial" w:cs="Arial"/>
        </w:rPr>
        <w:t>said ‘Good or Very Good</w:t>
      </w:r>
    </w:p>
    <w:p w:rsidR="00773017" w:rsidRPr="00A765C4" w:rsidRDefault="00773017" w:rsidP="00773017">
      <w:pPr>
        <w:pStyle w:val="ListParagraph"/>
        <w:numPr>
          <w:ilvl w:val="0"/>
          <w:numId w:val="20"/>
        </w:numPr>
        <w:rPr>
          <w:rFonts w:ascii="Arial" w:hAnsi="Arial" w:cs="Arial"/>
        </w:rPr>
      </w:pPr>
      <w:r w:rsidRPr="00A765C4">
        <w:rPr>
          <w:rFonts w:ascii="Arial" w:hAnsi="Arial" w:cs="Arial"/>
        </w:rPr>
        <w:t xml:space="preserve">I </w:t>
      </w:r>
      <w:r w:rsidRPr="00A765C4">
        <w:rPr>
          <w:rFonts w:ascii="Arial" w:hAnsi="Arial" w:cs="Arial"/>
          <w:bCs/>
        </w:rPr>
        <w:t>enjoy being in LEADAS was also above 90% across the board.</w:t>
      </w:r>
    </w:p>
    <w:p w:rsidR="00773017" w:rsidRPr="00A765C4" w:rsidRDefault="00773017" w:rsidP="00773017">
      <w:pPr>
        <w:pStyle w:val="ListParagraph"/>
        <w:numPr>
          <w:ilvl w:val="0"/>
          <w:numId w:val="20"/>
        </w:numPr>
        <w:rPr>
          <w:rFonts w:ascii="Arial" w:hAnsi="Arial" w:cs="Arial"/>
        </w:rPr>
      </w:pPr>
      <w:r w:rsidRPr="00A765C4">
        <w:rPr>
          <w:rFonts w:ascii="Arial" w:hAnsi="Arial" w:cs="Arial"/>
        </w:rPr>
        <w:t>In 2018 the 9/10 Girls PEARLS program will be introduced</w:t>
      </w:r>
    </w:p>
    <w:p w:rsidR="00773017" w:rsidRDefault="00773017" w:rsidP="00773017">
      <w:pPr>
        <w:pStyle w:val="ListParagraph"/>
      </w:pPr>
    </w:p>
    <w:p w:rsidR="00AB7CBC" w:rsidRDefault="00AB7CBC" w:rsidP="00AB7CBC">
      <w:pPr>
        <w:pStyle w:val="NormalWeb"/>
        <w:spacing w:before="0" w:beforeAutospacing="0" w:after="0" w:afterAutospacing="0"/>
      </w:pPr>
      <w:r>
        <w:rPr>
          <w:rFonts w:ascii="Arial" w:hAnsi="Arial" w:cs="Arial"/>
          <w:color w:val="000000"/>
          <w:sz w:val="22"/>
          <w:szCs w:val="22"/>
        </w:rPr>
        <w:t xml:space="preserve">In the Primary sector, a dedicated hour every week for Social Emotional Learning has been embedded in the timetable, and this will be continuing in 2018. Students are taught explicitly about being </w:t>
      </w:r>
      <w:r w:rsidR="000F3108">
        <w:rPr>
          <w:rFonts w:ascii="Arial" w:hAnsi="Arial" w:cs="Arial"/>
          <w:color w:val="000000"/>
          <w:sz w:val="22"/>
          <w:szCs w:val="22"/>
        </w:rPr>
        <w:t>self-aware</w:t>
      </w:r>
      <w:r>
        <w:rPr>
          <w:rFonts w:ascii="Arial" w:hAnsi="Arial" w:cs="Arial"/>
          <w:color w:val="000000"/>
          <w:sz w:val="22"/>
          <w:szCs w:val="22"/>
        </w:rPr>
        <w:t>, relationship aware, and their role in the wider community and the responsibilities they have in making positive decisions for themselves and others.</w:t>
      </w:r>
    </w:p>
    <w:p w:rsidR="00AB7CBC" w:rsidRDefault="00AB7CBC" w:rsidP="00AB7CBC"/>
    <w:p w:rsidR="00AB7CBC" w:rsidRDefault="000F3108" w:rsidP="00AB7CBC">
      <w:pPr>
        <w:pStyle w:val="NormalWeb"/>
        <w:spacing w:before="0" w:beforeAutospacing="0" w:after="0" w:afterAutospacing="0"/>
      </w:pPr>
      <w:r>
        <w:rPr>
          <w:rFonts w:ascii="Arial" w:hAnsi="Arial" w:cs="Arial"/>
          <w:color w:val="000000"/>
          <w:sz w:val="22"/>
          <w:szCs w:val="22"/>
        </w:rPr>
        <w:t>Key Human R</w:t>
      </w:r>
      <w:r w:rsidR="00AB7CBC">
        <w:rPr>
          <w:rFonts w:ascii="Arial" w:hAnsi="Arial" w:cs="Arial"/>
          <w:color w:val="000000"/>
          <w:sz w:val="22"/>
          <w:szCs w:val="22"/>
        </w:rPr>
        <w:t xml:space="preserve">esource investment with the establishment of a social worker position to support targeted families and parents. </w:t>
      </w:r>
    </w:p>
    <w:p w:rsidR="00AB7CBC" w:rsidRDefault="00AB7CBC" w:rsidP="00AB7CBC"/>
    <w:p w:rsidR="00AB7CBC" w:rsidRPr="003C12D7" w:rsidRDefault="00AB7CBC" w:rsidP="00AB7CBC">
      <w:pPr>
        <w:pStyle w:val="NormalWeb"/>
        <w:spacing w:before="0" w:beforeAutospacing="0" w:after="0" w:afterAutospacing="0"/>
        <w:rPr>
          <w:sz w:val="22"/>
          <w:szCs w:val="22"/>
        </w:rPr>
      </w:pPr>
      <w:r w:rsidRPr="003C12D7">
        <w:rPr>
          <w:rFonts w:ascii="Arial" w:hAnsi="Arial" w:cs="Arial"/>
          <w:color w:val="000000"/>
          <w:sz w:val="22"/>
          <w:szCs w:val="22"/>
        </w:rPr>
        <w:t>We have co</w:t>
      </w:r>
      <w:r w:rsidR="000F3108">
        <w:rPr>
          <w:rFonts w:ascii="Arial" w:hAnsi="Arial" w:cs="Arial"/>
          <w:color w:val="000000"/>
          <w:sz w:val="22"/>
          <w:szCs w:val="22"/>
        </w:rPr>
        <w:t>-</w:t>
      </w:r>
      <w:r w:rsidRPr="003C12D7">
        <w:rPr>
          <w:rFonts w:ascii="Arial" w:hAnsi="Arial" w:cs="Arial"/>
          <w:color w:val="000000"/>
          <w:sz w:val="22"/>
          <w:szCs w:val="22"/>
        </w:rPr>
        <w:t xml:space="preserve">designed the first differentiated ‘Essential Skills” PL program with the North and Gungahlin NSET. This strategy has allowed us to tap in to experienced and effective teachers and build ability to engage in explicit and evidence based mentoring and coaching. Teachers at all levels have built skill in either applying the essential skills in their own classrooms or supporting other teachers to develop. This has been supported across the school through classroom teaching observations for all staff. </w:t>
      </w:r>
    </w:p>
    <w:p w:rsidR="00AB7CBC" w:rsidRPr="003C12D7" w:rsidRDefault="00AB7CBC" w:rsidP="00AB7CBC"/>
    <w:p w:rsidR="00AB7CBC" w:rsidRPr="003C12D7" w:rsidRDefault="00AB7CBC" w:rsidP="00AB7CBC">
      <w:pPr>
        <w:pStyle w:val="NormalWeb"/>
        <w:spacing w:before="0" w:beforeAutospacing="0" w:after="0" w:afterAutospacing="0"/>
        <w:rPr>
          <w:sz w:val="22"/>
          <w:szCs w:val="22"/>
        </w:rPr>
      </w:pPr>
      <w:r w:rsidRPr="003C12D7">
        <w:rPr>
          <w:rFonts w:ascii="Arial" w:hAnsi="Arial" w:cs="Arial"/>
          <w:color w:val="000000"/>
          <w:sz w:val="22"/>
          <w:szCs w:val="22"/>
        </w:rPr>
        <w:t xml:space="preserve">The Primary </w:t>
      </w:r>
      <w:r w:rsidR="00773017" w:rsidRPr="003C12D7">
        <w:rPr>
          <w:rFonts w:ascii="Arial" w:hAnsi="Arial" w:cs="Arial"/>
          <w:color w:val="000000"/>
          <w:sz w:val="22"/>
          <w:szCs w:val="22"/>
        </w:rPr>
        <w:t>sector has been reviewing pedagogical frameworks and is</w:t>
      </w:r>
      <w:r w:rsidRPr="003C12D7">
        <w:rPr>
          <w:rFonts w:ascii="Arial" w:hAnsi="Arial" w:cs="Arial"/>
          <w:color w:val="000000"/>
          <w:sz w:val="22"/>
          <w:szCs w:val="22"/>
        </w:rPr>
        <w:t xml:space="preserve"> moving to improve further out Inquiry approach. This links in with growth mindset models, and greater student voice and interest in what and how the curriculum is enacted. Primary teams are planning for this in 2018.</w:t>
      </w:r>
    </w:p>
    <w:p w:rsidR="00AB7CBC" w:rsidRPr="003C12D7" w:rsidRDefault="00AB7CBC" w:rsidP="00AB7CBC"/>
    <w:p w:rsidR="00AB7CBC" w:rsidRPr="003C12D7" w:rsidRDefault="00AB7CBC" w:rsidP="00AB7CBC">
      <w:pPr>
        <w:pStyle w:val="NormalWeb"/>
        <w:spacing w:before="0" w:beforeAutospacing="0" w:after="0" w:afterAutospacing="0"/>
        <w:rPr>
          <w:sz w:val="22"/>
          <w:szCs w:val="22"/>
        </w:rPr>
      </w:pPr>
      <w:r w:rsidRPr="003C12D7">
        <w:rPr>
          <w:rFonts w:ascii="Arial" w:hAnsi="Arial" w:cs="Arial"/>
          <w:color w:val="000000"/>
          <w:sz w:val="22"/>
          <w:szCs w:val="22"/>
        </w:rPr>
        <w:t>The area of Inclusion Support has experienced significant change this year with a range of consultation and action research opportunities around the expansion of the Diamond program</w:t>
      </w:r>
      <w:r w:rsidR="003E7F93" w:rsidRPr="003C12D7">
        <w:rPr>
          <w:rFonts w:ascii="Arial" w:hAnsi="Arial" w:cs="Arial"/>
          <w:color w:val="000000"/>
          <w:sz w:val="22"/>
          <w:szCs w:val="22"/>
        </w:rPr>
        <w:t xml:space="preserve"> in 2018</w:t>
      </w:r>
      <w:r w:rsidRPr="003C12D7">
        <w:rPr>
          <w:rFonts w:ascii="Arial" w:hAnsi="Arial" w:cs="Arial"/>
          <w:color w:val="000000"/>
          <w:sz w:val="22"/>
          <w:szCs w:val="22"/>
        </w:rPr>
        <w:t xml:space="preserve">. In 2017, our strategic planning was around building a strong PLT of Inclusion Support. </w:t>
      </w:r>
      <w:r w:rsidR="003E7F93" w:rsidRPr="003C12D7">
        <w:rPr>
          <w:rFonts w:ascii="Arial" w:hAnsi="Arial" w:cs="Arial"/>
          <w:color w:val="000000"/>
          <w:sz w:val="22"/>
          <w:szCs w:val="22"/>
        </w:rPr>
        <w:t>O</w:t>
      </w:r>
      <w:r w:rsidRPr="003C12D7">
        <w:rPr>
          <w:rFonts w:ascii="Arial" w:hAnsi="Arial" w:cs="Arial"/>
          <w:color w:val="000000"/>
          <w:sz w:val="22"/>
          <w:szCs w:val="22"/>
        </w:rPr>
        <w:t xml:space="preserve">ur first PLT focus </w:t>
      </w:r>
      <w:r w:rsidR="003E7F93" w:rsidRPr="003C12D7">
        <w:rPr>
          <w:rFonts w:ascii="Arial" w:hAnsi="Arial" w:cs="Arial"/>
          <w:color w:val="000000"/>
          <w:sz w:val="22"/>
          <w:szCs w:val="22"/>
        </w:rPr>
        <w:t xml:space="preserve">was </w:t>
      </w:r>
      <w:r w:rsidRPr="003C12D7">
        <w:rPr>
          <w:rFonts w:ascii="Arial" w:hAnsi="Arial" w:cs="Arial"/>
          <w:color w:val="000000"/>
          <w:sz w:val="22"/>
          <w:szCs w:val="22"/>
        </w:rPr>
        <w:t>around transitions, to support the changing structures of the school for the beginning of 2017. We presented this at our PLT sharing session at the end of Term 2. Our strategy to meet the needs of our students also involved strengthening the partnerships between home, community and other agencies. In 2018, our focus will be around setting up the Supportive Learning Spaces (SLS) for the Diamond Program, and building capacity in staff, to enhance learning outcomes for students.</w:t>
      </w:r>
    </w:p>
    <w:p w:rsidR="00AB7CBC" w:rsidRPr="003C12D7" w:rsidRDefault="00AB7CBC" w:rsidP="00AB7CBC">
      <w:pPr>
        <w:pStyle w:val="Heading2"/>
        <w:spacing w:after="80"/>
        <w:rPr>
          <w:sz w:val="22"/>
          <w:szCs w:val="22"/>
        </w:rPr>
      </w:pPr>
      <w:r w:rsidRPr="003C12D7">
        <w:rPr>
          <w:color w:val="000000"/>
          <w:sz w:val="22"/>
          <w:szCs w:val="22"/>
        </w:rPr>
        <w:t>Other great actions competed this year in wellbeing and engagement</w:t>
      </w:r>
    </w:p>
    <w:p w:rsidR="00AB7CBC" w:rsidRPr="003C12D7" w:rsidRDefault="00AB7CBC" w:rsidP="00AB7CBC">
      <w:pPr>
        <w:pStyle w:val="NormalWeb"/>
        <w:numPr>
          <w:ilvl w:val="0"/>
          <w:numId w:val="20"/>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Breakfast Club introduced 3 morning per week with 200-300 in attendance each day</w:t>
      </w:r>
    </w:p>
    <w:p w:rsidR="00AB7CBC" w:rsidRPr="003C12D7" w:rsidRDefault="00AB7CBC" w:rsidP="00AB7CBC">
      <w:pPr>
        <w:pStyle w:val="NormalWeb"/>
        <w:numPr>
          <w:ilvl w:val="0"/>
          <w:numId w:val="20"/>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 xml:space="preserve">Morning Boxing sessions coordinated by our Youth Worker </w:t>
      </w:r>
    </w:p>
    <w:p w:rsidR="00AB7CBC" w:rsidRPr="003C12D7" w:rsidRDefault="003E7F93" w:rsidP="00AB7CBC">
      <w:pPr>
        <w:pStyle w:val="NormalWeb"/>
        <w:numPr>
          <w:ilvl w:val="0"/>
          <w:numId w:val="20"/>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 xml:space="preserve">Strengthen of </w:t>
      </w:r>
      <w:r w:rsidR="00AB7CBC" w:rsidRPr="003C12D7">
        <w:rPr>
          <w:rFonts w:ascii="Arial" w:hAnsi="Arial" w:cs="Arial"/>
          <w:color w:val="000000"/>
          <w:sz w:val="22"/>
          <w:szCs w:val="22"/>
        </w:rPr>
        <w:t>Student Engagement team - Employment of youth worker, social worker, Counsellor to assist meeting student need</w:t>
      </w:r>
    </w:p>
    <w:p w:rsidR="00AB7CBC" w:rsidRPr="003C12D7" w:rsidRDefault="003E7F93" w:rsidP="00AB7CBC">
      <w:pPr>
        <w:pStyle w:val="NormalWeb"/>
        <w:numPr>
          <w:ilvl w:val="0"/>
          <w:numId w:val="20"/>
        </w:numPr>
        <w:spacing w:before="0" w:beforeAutospacing="0" w:after="0" w:afterAutospacing="0"/>
        <w:textAlignment w:val="baseline"/>
        <w:rPr>
          <w:rFonts w:ascii="Arial" w:hAnsi="Arial" w:cs="Arial"/>
          <w:b/>
          <w:bCs/>
          <w:color w:val="000000"/>
          <w:sz w:val="22"/>
          <w:szCs w:val="22"/>
        </w:rPr>
      </w:pPr>
      <w:r w:rsidRPr="003C12D7">
        <w:rPr>
          <w:rFonts w:ascii="Arial" w:hAnsi="Arial" w:cs="Arial"/>
          <w:color w:val="000000"/>
          <w:sz w:val="22"/>
          <w:szCs w:val="22"/>
        </w:rPr>
        <w:t xml:space="preserve">Mind matters whole staff Professional </w:t>
      </w:r>
      <w:r w:rsidR="00AB7CBC" w:rsidRPr="003C12D7">
        <w:rPr>
          <w:rFonts w:ascii="Arial" w:hAnsi="Arial" w:cs="Arial"/>
          <w:color w:val="000000"/>
          <w:sz w:val="22"/>
          <w:szCs w:val="22"/>
        </w:rPr>
        <w:t>L</w:t>
      </w:r>
      <w:r w:rsidRPr="003C12D7">
        <w:rPr>
          <w:rFonts w:ascii="Arial" w:hAnsi="Arial" w:cs="Arial"/>
          <w:color w:val="000000"/>
          <w:sz w:val="22"/>
          <w:szCs w:val="22"/>
        </w:rPr>
        <w:t>earning</w:t>
      </w:r>
      <w:r w:rsidR="00AB7CBC" w:rsidRPr="003C12D7">
        <w:rPr>
          <w:rFonts w:ascii="Arial" w:hAnsi="Arial" w:cs="Arial"/>
          <w:color w:val="000000"/>
          <w:sz w:val="22"/>
          <w:szCs w:val="22"/>
        </w:rPr>
        <w:t xml:space="preserve"> week 5 each term</w:t>
      </w:r>
    </w:p>
    <w:p w:rsidR="00AB7CBC" w:rsidRPr="003C12D7" w:rsidRDefault="00AB7CBC" w:rsidP="00AB7CBC">
      <w:pPr>
        <w:pStyle w:val="NormalWeb"/>
        <w:numPr>
          <w:ilvl w:val="0"/>
          <w:numId w:val="20"/>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Primary lunch club</w:t>
      </w:r>
    </w:p>
    <w:p w:rsidR="00AB7CBC" w:rsidRPr="003C12D7" w:rsidRDefault="00AB7CBC" w:rsidP="00AB7CBC">
      <w:pPr>
        <w:pStyle w:val="NormalWeb"/>
        <w:numPr>
          <w:ilvl w:val="0"/>
          <w:numId w:val="20"/>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Explicit social skills programs- Bungee. Secret Agent Society (SAS), Cool kids programs,</w:t>
      </w:r>
    </w:p>
    <w:p w:rsidR="00AB7CBC" w:rsidRPr="003C12D7" w:rsidRDefault="00AB7CBC" w:rsidP="00AB7CBC">
      <w:pPr>
        <w:pStyle w:val="NormalWeb"/>
        <w:numPr>
          <w:ilvl w:val="0"/>
          <w:numId w:val="20"/>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Action Research for Diamond program- best practice models assessed and proposals submitted around flexible learning spaces.</w:t>
      </w:r>
    </w:p>
    <w:p w:rsidR="003E7F93" w:rsidRPr="003C12D7" w:rsidRDefault="003E7F93" w:rsidP="003E7F93">
      <w:pPr>
        <w:pStyle w:val="NormalWeb"/>
        <w:numPr>
          <w:ilvl w:val="0"/>
          <w:numId w:val="20"/>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Buddies programs aligned with School strategic plan</w:t>
      </w:r>
    </w:p>
    <w:p w:rsidR="00AB7CBC" w:rsidRPr="003C12D7" w:rsidRDefault="003E7F93" w:rsidP="00AB7CBC">
      <w:pPr>
        <w:pStyle w:val="NormalWeb"/>
        <w:numPr>
          <w:ilvl w:val="0"/>
          <w:numId w:val="20"/>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National Day of A</w:t>
      </w:r>
      <w:r w:rsidR="00AB7CBC" w:rsidRPr="003C12D7">
        <w:rPr>
          <w:rFonts w:ascii="Arial" w:hAnsi="Arial" w:cs="Arial"/>
          <w:color w:val="000000"/>
          <w:sz w:val="22"/>
          <w:szCs w:val="22"/>
        </w:rPr>
        <w:t>ction against bullying and violence</w:t>
      </w:r>
    </w:p>
    <w:p w:rsidR="00773017" w:rsidRPr="00773017" w:rsidRDefault="00AB7CBC" w:rsidP="00773017">
      <w:pPr>
        <w:pStyle w:val="NormalWeb"/>
        <w:numPr>
          <w:ilvl w:val="0"/>
          <w:numId w:val="20"/>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lastRenderedPageBreak/>
        <w:t>White ribbon curriculum, assembly and lock in night</w:t>
      </w:r>
      <w:r w:rsidR="00773017" w:rsidRPr="00773017">
        <w:rPr>
          <w:rFonts w:ascii="Arial" w:hAnsi="Arial" w:cs="Arial"/>
          <w:color w:val="000000"/>
        </w:rPr>
        <w:t xml:space="preserve"> </w:t>
      </w:r>
    </w:p>
    <w:p w:rsidR="00AB7CBC" w:rsidRPr="003C12D7" w:rsidRDefault="00AB7CBC" w:rsidP="00AB7CBC">
      <w:pPr>
        <w:pStyle w:val="NormalWeb"/>
        <w:numPr>
          <w:ilvl w:val="0"/>
          <w:numId w:val="20"/>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 xml:space="preserve">All EC teachers have participated in PL focusing on increasing wellbeing and engagement through the </w:t>
      </w:r>
      <w:r w:rsidRPr="003C12D7">
        <w:rPr>
          <w:rFonts w:ascii="Arial" w:hAnsi="Arial" w:cs="Arial"/>
          <w:i/>
          <w:iCs/>
          <w:color w:val="000000"/>
          <w:sz w:val="22"/>
          <w:szCs w:val="22"/>
        </w:rPr>
        <w:t xml:space="preserve">Music Engagement Program (MEP) </w:t>
      </w:r>
      <w:r w:rsidRPr="003C12D7">
        <w:rPr>
          <w:rFonts w:ascii="Arial" w:hAnsi="Arial" w:cs="Arial"/>
          <w:color w:val="000000"/>
          <w:sz w:val="22"/>
          <w:szCs w:val="22"/>
        </w:rPr>
        <w:t xml:space="preserve">with ANU. </w:t>
      </w:r>
      <w:r w:rsidRPr="003C12D7">
        <w:rPr>
          <w:rFonts w:ascii="Arial" w:hAnsi="Arial" w:cs="Arial"/>
          <w:i/>
          <w:iCs/>
          <w:color w:val="000000"/>
          <w:sz w:val="22"/>
          <w:szCs w:val="22"/>
        </w:rPr>
        <w:t>MEP</w:t>
      </w:r>
      <w:r w:rsidRPr="003C12D7">
        <w:rPr>
          <w:rFonts w:ascii="Arial" w:hAnsi="Arial" w:cs="Arial"/>
          <w:color w:val="000000"/>
          <w:sz w:val="22"/>
          <w:szCs w:val="22"/>
        </w:rPr>
        <w:t xml:space="preserve"> sessions are implemented within kinder and year one, on a weekly basis. Action research focusing on the impact of this program is taking place in conjunction with the University of Melbourne and the ANU School of Music.</w:t>
      </w:r>
    </w:p>
    <w:p w:rsidR="00AB7CBC" w:rsidRPr="003C12D7" w:rsidRDefault="00AB7CBC" w:rsidP="00AB7CBC">
      <w:pPr>
        <w:pStyle w:val="NormalWeb"/>
        <w:numPr>
          <w:ilvl w:val="0"/>
          <w:numId w:val="20"/>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Primary 3-6 Positive Behaviour for Learning. Achievements for students celebrated in an outing for those who have earned points through positive behaviours</w:t>
      </w:r>
    </w:p>
    <w:p w:rsidR="00AB7CBC" w:rsidRPr="003C12D7" w:rsidRDefault="00AB7CBC" w:rsidP="00AB7CBC">
      <w:pPr>
        <w:pStyle w:val="NormalWeb"/>
        <w:spacing w:before="0" w:beforeAutospacing="0" w:after="0" w:afterAutospacing="0"/>
        <w:rPr>
          <w:sz w:val="22"/>
          <w:szCs w:val="22"/>
        </w:rPr>
      </w:pPr>
    </w:p>
    <w:p w:rsidR="00E14542" w:rsidRPr="00A22F83" w:rsidRDefault="00A876B2" w:rsidP="00A22F83">
      <w:pPr>
        <w:pStyle w:val="Heading2"/>
      </w:pPr>
      <w:r w:rsidRPr="00A22F83">
        <w:t>Priority 2: Improve student outcomes in reading and numeracy</w:t>
      </w:r>
      <w:r w:rsidRPr="00BF0FFB">
        <w:rPr>
          <w:rFonts w:ascii="Calibri" w:hAnsi="Calibri"/>
        </w:rPr>
        <w:t xml:space="preserve">. </w:t>
      </w:r>
    </w:p>
    <w:p w:rsidR="00D50949" w:rsidRPr="00A82C4F" w:rsidRDefault="00A876B2" w:rsidP="00A82C4F">
      <w:pPr>
        <w:pStyle w:val="Heading3"/>
        <w:rPr>
          <w:lang w:val="en-AU"/>
        </w:rPr>
      </w:pPr>
      <w:r w:rsidRPr="00E14542">
        <w:t>Target</w:t>
      </w:r>
      <w:r>
        <w:t>s</w:t>
      </w:r>
    </w:p>
    <w:p w:rsidR="00E47562" w:rsidRDefault="00E47562" w:rsidP="00A82C4F">
      <w:pPr>
        <w:numPr>
          <w:ilvl w:val="0"/>
          <w:numId w:val="1"/>
        </w:numPr>
        <w:spacing w:line="240" w:lineRule="auto"/>
        <w:rPr>
          <w:rFonts w:eastAsia="Times New Roman"/>
          <w:lang w:eastAsia="en-AU"/>
        </w:rPr>
      </w:pPr>
      <w:r>
        <w:rPr>
          <w:rFonts w:eastAsia="Times New Roman"/>
          <w:lang w:eastAsia="en-AU"/>
        </w:rPr>
        <w:t>8</w:t>
      </w:r>
      <w:r w:rsidR="00A82C4F">
        <w:rPr>
          <w:rFonts w:eastAsia="Times New Roman"/>
          <w:lang w:eastAsia="en-AU"/>
        </w:rPr>
        <w:t xml:space="preserve">0% of students achieving expected </w:t>
      </w:r>
      <w:r w:rsidR="008A1B96">
        <w:rPr>
          <w:rFonts w:eastAsia="Times New Roman"/>
          <w:lang w:eastAsia="en-AU"/>
        </w:rPr>
        <w:t>or better growth in PIP’s reading</w:t>
      </w:r>
      <w:r w:rsidR="00A82C4F">
        <w:rPr>
          <w:rFonts w:eastAsia="Times New Roman"/>
          <w:lang w:eastAsia="en-AU"/>
        </w:rPr>
        <w:t xml:space="preserve"> and</w:t>
      </w:r>
      <w:r>
        <w:rPr>
          <w:rFonts w:eastAsia="Times New Roman"/>
          <w:lang w:eastAsia="en-AU"/>
        </w:rPr>
        <w:t xml:space="preserve"> 7</w:t>
      </w:r>
      <w:r w:rsidR="00A82C4F">
        <w:rPr>
          <w:rFonts w:eastAsia="Times New Roman"/>
          <w:lang w:eastAsia="en-AU"/>
        </w:rPr>
        <w:t xml:space="preserve">0% of students achieving expected growth in PIP’s </w:t>
      </w:r>
      <w:r w:rsidR="008A1B96">
        <w:rPr>
          <w:rFonts w:eastAsia="Times New Roman"/>
          <w:lang w:eastAsia="en-AU"/>
        </w:rPr>
        <w:t>maths.</w:t>
      </w:r>
      <w:r>
        <w:rPr>
          <w:rFonts w:eastAsia="Times New Roman"/>
          <w:lang w:eastAsia="en-AU"/>
        </w:rPr>
        <w:t xml:space="preserve"> </w:t>
      </w:r>
    </w:p>
    <w:p w:rsidR="00A22F83" w:rsidRPr="00E47562" w:rsidRDefault="00E47562" w:rsidP="00941B3D">
      <w:pPr>
        <w:shd w:val="clear" w:color="auto" w:fill="F7CAAC" w:themeFill="accent2" w:themeFillTint="66"/>
        <w:spacing w:line="240" w:lineRule="auto"/>
        <w:ind w:left="720"/>
        <w:rPr>
          <w:rFonts w:eastAsia="Times New Roman"/>
          <w:lang w:eastAsia="en-AU"/>
        </w:rPr>
      </w:pPr>
      <w:r>
        <w:rPr>
          <w:rFonts w:eastAsia="Times New Roman"/>
          <w:lang w:eastAsia="en-AU"/>
        </w:rPr>
        <w:t>Targets not met.</w:t>
      </w:r>
    </w:p>
    <w:tbl>
      <w:tblPr>
        <w:tblW w:w="8785" w:type="dxa"/>
        <w:tblInd w:w="93" w:type="dxa"/>
        <w:tblLook w:val="04A0" w:firstRow="1" w:lastRow="0" w:firstColumn="1" w:lastColumn="0" w:noHBand="0" w:noVBand="1"/>
      </w:tblPr>
      <w:tblGrid>
        <w:gridCol w:w="1005"/>
        <w:gridCol w:w="1115"/>
        <w:gridCol w:w="872"/>
        <w:gridCol w:w="1248"/>
        <w:gridCol w:w="595"/>
        <w:gridCol w:w="1525"/>
        <w:gridCol w:w="318"/>
        <w:gridCol w:w="1102"/>
        <w:gridCol w:w="1005"/>
      </w:tblGrid>
      <w:tr w:rsidR="008A1B96" w:rsidRPr="002F3376" w:rsidTr="002F3376">
        <w:trPr>
          <w:gridAfter w:val="1"/>
          <w:wAfter w:w="1005" w:type="dxa"/>
          <w:trHeight w:val="255"/>
        </w:trPr>
        <w:tc>
          <w:tcPr>
            <w:tcW w:w="2120" w:type="dxa"/>
            <w:gridSpan w:val="2"/>
            <w:tcBorders>
              <w:top w:val="nil"/>
              <w:left w:val="nil"/>
              <w:bottom w:val="nil"/>
              <w:right w:val="nil"/>
            </w:tcBorders>
            <w:shd w:val="clear" w:color="auto" w:fill="auto"/>
            <w:noWrap/>
            <w:vAlign w:val="bottom"/>
            <w:hideMark/>
          </w:tcPr>
          <w:p w:rsidR="008A1B96" w:rsidRPr="002F3376" w:rsidRDefault="008A1B96" w:rsidP="002F3376">
            <w:pPr>
              <w:spacing w:line="240" w:lineRule="auto"/>
              <w:rPr>
                <w:rFonts w:ascii="Arial" w:eastAsia="Times New Roman" w:hAnsi="Arial" w:cs="Arial"/>
                <w:sz w:val="20"/>
                <w:szCs w:val="20"/>
                <w:lang w:eastAsia="en-AU"/>
              </w:rPr>
            </w:pPr>
          </w:p>
        </w:tc>
        <w:tc>
          <w:tcPr>
            <w:tcW w:w="2120" w:type="dxa"/>
            <w:gridSpan w:val="2"/>
            <w:tcBorders>
              <w:top w:val="nil"/>
              <w:left w:val="nil"/>
              <w:bottom w:val="nil"/>
              <w:right w:val="nil"/>
            </w:tcBorders>
            <w:shd w:val="clear" w:color="auto" w:fill="auto"/>
            <w:noWrap/>
            <w:vAlign w:val="bottom"/>
            <w:hideMark/>
          </w:tcPr>
          <w:p w:rsidR="008A1B96" w:rsidRPr="002F3376" w:rsidRDefault="008A1B96" w:rsidP="002F3376">
            <w:pPr>
              <w:spacing w:line="240" w:lineRule="auto"/>
              <w:rPr>
                <w:rFonts w:ascii="Arial" w:eastAsia="Times New Roman" w:hAnsi="Arial" w:cs="Arial"/>
                <w:sz w:val="20"/>
                <w:szCs w:val="20"/>
                <w:lang w:eastAsia="en-AU"/>
              </w:rPr>
            </w:pPr>
          </w:p>
        </w:tc>
        <w:tc>
          <w:tcPr>
            <w:tcW w:w="2120" w:type="dxa"/>
            <w:gridSpan w:val="2"/>
            <w:tcBorders>
              <w:top w:val="nil"/>
              <w:left w:val="nil"/>
              <w:bottom w:val="nil"/>
              <w:right w:val="nil"/>
            </w:tcBorders>
            <w:shd w:val="clear" w:color="auto" w:fill="auto"/>
            <w:noWrap/>
            <w:vAlign w:val="bottom"/>
            <w:hideMark/>
          </w:tcPr>
          <w:p w:rsidR="008A1B96" w:rsidRPr="002F3376" w:rsidRDefault="008A1B96" w:rsidP="002F3376">
            <w:pPr>
              <w:spacing w:line="240" w:lineRule="auto"/>
              <w:rPr>
                <w:rFonts w:ascii="Arial" w:eastAsia="Times New Roman" w:hAnsi="Arial" w:cs="Arial"/>
                <w:sz w:val="20"/>
                <w:szCs w:val="20"/>
                <w:lang w:eastAsia="en-AU"/>
              </w:rPr>
            </w:pPr>
          </w:p>
        </w:tc>
        <w:tc>
          <w:tcPr>
            <w:tcW w:w="1420" w:type="dxa"/>
            <w:gridSpan w:val="2"/>
            <w:tcBorders>
              <w:top w:val="nil"/>
              <w:left w:val="nil"/>
              <w:bottom w:val="nil"/>
              <w:right w:val="nil"/>
            </w:tcBorders>
            <w:shd w:val="clear" w:color="auto" w:fill="auto"/>
            <w:noWrap/>
            <w:vAlign w:val="bottom"/>
            <w:hideMark/>
          </w:tcPr>
          <w:p w:rsidR="008A1B96" w:rsidRPr="002F3376" w:rsidRDefault="008A1B96" w:rsidP="002F3376">
            <w:pPr>
              <w:spacing w:line="240" w:lineRule="auto"/>
              <w:rPr>
                <w:rFonts w:ascii="Arial" w:eastAsia="Times New Roman" w:hAnsi="Arial" w:cs="Arial"/>
                <w:sz w:val="20"/>
                <w:szCs w:val="20"/>
                <w:lang w:eastAsia="en-AU"/>
              </w:rPr>
            </w:pPr>
          </w:p>
        </w:tc>
      </w:tr>
      <w:tr w:rsidR="002F3376" w:rsidRPr="002F3376" w:rsidTr="00941B3D">
        <w:trPr>
          <w:trHeight w:val="510"/>
        </w:trPr>
        <w:tc>
          <w:tcPr>
            <w:tcW w:w="1005" w:type="dxa"/>
            <w:tcBorders>
              <w:top w:val="single" w:sz="4" w:space="0" w:color="auto"/>
              <w:left w:val="single" w:sz="4" w:space="0" w:color="auto"/>
              <w:bottom w:val="single" w:sz="4" w:space="0" w:color="auto"/>
              <w:right w:val="nil"/>
            </w:tcBorders>
            <w:shd w:val="clear" w:color="auto" w:fill="auto"/>
            <w:vAlign w:val="bottom"/>
            <w:hideMark/>
          </w:tcPr>
          <w:p w:rsidR="002F3376" w:rsidRDefault="008A1B96" w:rsidP="002F3376">
            <w:pPr>
              <w:spacing w:line="240" w:lineRule="auto"/>
              <w:rPr>
                <w:rFonts w:ascii="Arial" w:eastAsia="Times New Roman" w:hAnsi="Arial" w:cs="Arial"/>
                <w:b/>
                <w:bCs/>
                <w:sz w:val="20"/>
                <w:szCs w:val="20"/>
                <w:lang w:eastAsia="en-AU"/>
              </w:rPr>
            </w:pPr>
            <w:r w:rsidRPr="002F3376">
              <w:rPr>
                <w:rFonts w:ascii="Arial" w:eastAsia="Times New Roman" w:hAnsi="Arial" w:cs="Arial"/>
                <w:b/>
                <w:bCs/>
                <w:sz w:val="20"/>
                <w:szCs w:val="20"/>
                <w:lang w:eastAsia="en-AU"/>
              </w:rPr>
              <w:t>Reading</w:t>
            </w:r>
          </w:p>
          <w:p w:rsidR="00A765C4" w:rsidRPr="002F3376" w:rsidRDefault="00A765C4" w:rsidP="002F3376">
            <w:pPr>
              <w:spacing w:line="240" w:lineRule="auto"/>
              <w:rPr>
                <w:rFonts w:ascii="Arial" w:eastAsia="Times New Roman" w:hAnsi="Arial" w:cs="Arial"/>
                <w:b/>
                <w:bCs/>
                <w:sz w:val="20"/>
                <w:szCs w:val="20"/>
                <w:lang w:eastAsia="en-AU"/>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F3376" w:rsidRPr="002F3376" w:rsidRDefault="002F3376" w:rsidP="002F3376">
            <w:pPr>
              <w:spacing w:line="240" w:lineRule="auto"/>
              <w:jc w:val="center"/>
              <w:rPr>
                <w:rFonts w:ascii="Arial" w:eastAsia="Times New Roman" w:hAnsi="Arial" w:cs="Arial"/>
                <w:b/>
                <w:bCs/>
                <w:sz w:val="20"/>
                <w:szCs w:val="20"/>
                <w:lang w:eastAsia="en-AU"/>
              </w:rPr>
            </w:pPr>
            <w:r w:rsidRPr="002F3376">
              <w:rPr>
                <w:rFonts w:ascii="Arial" w:eastAsia="Times New Roman" w:hAnsi="Arial" w:cs="Arial"/>
                <w:b/>
                <w:bCs/>
                <w:sz w:val="20"/>
                <w:szCs w:val="20"/>
                <w:lang w:eastAsia="en-AU"/>
              </w:rPr>
              <w:t>Less than expected growth</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2F3376" w:rsidRPr="002F3376" w:rsidRDefault="002F3376" w:rsidP="002F3376">
            <w:pPr>
              <w:spacing w:line="240" w:lineRule="auto"/>
              <w:jc w:val="center"/>
              <w:rPr>
                <w:rFonts w:ascii="Arial" w:eastAsia="Times New Roman" w:hAnsi="Arial" w:cs="Arial"/>
                <w:b/>
                <w:bCs/>
                <w:sz w:val="20"/>
                <w:szCs w:val="20"/>
                <w:lang w:eastAsia="en-AU"/>
              </w:rPr>
            </w:pPr>
            <w:r w:rsidRPr="002F3376">
              <w:rPr>
                <w:rFonts w:ascii="Arial" w:eastAsia="Times New Roman" w:hAnsi="Arial" w:cs="Arial"/>
                <w:b/>
                <w:bCs/>
                <w:sz w:val="20"/>
                <w:szCs w:val="20"/>
                <w:lang w:eastAsia="en-AU"/>
              </w:rPr>
              <w:t>Expected growth</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2F3376" w:rsidRPr="002F3376" w:rsidRDefault="002F3376" w:rsidP="002F3376">
            <w:pPr>
              <w:spacing w:line="240" w:lineRule="auto"/>
              <w:jc w:val="center"/>
              <w:rPr>
                <w:rFonts w:ascii="Arial" w:eastAsia="Times New Roman" w:hAnsi="Arial" w:cs="Arial"/>
                <w:b/>
                <w:bCs/>
                <w:sz w:val="20"/>
                <w:szCs w:val="20"/>
                <w:lang w:eastAsia="en-AU"/>
              </w:rPr>
            </w:pPr>
            <w:r w:rsidRPr="002F3376">
              <w:rPr>
                <w:rFonts w:ascii="Arial" w:eastAsia="Times New Roman" w:hAnsi="Arial" w:cs="Arial"/>
                <w:b/>
                <w:bCs/>
                <w:sz w:val="20"/>
                <w:szCs w:val="20"/>
                <w:lang w:eastAsia="en-AU"/>
              </w:rPr>
              <w:t>Better than expected growth</w:t>
            </w:r>
          </w:p>
        </w:tc>
        <w:tc>
          <w:tcPr>
            <w:tcW w:w="2107" w:type="dxa"/>
            <w:gridSpan w:val="2"/>
            <w:tcBorders>
              <w:top w:val="single" w:sz="4" w:space="0" w:color="auto"/>
              <w:left w:val="nil"/>
              <w:bottom w:val="single" w:sz="4" w:space="0" w:color="auto"/>
              <w:right w:val="single" w:sz="4" w:space="0" w:color="auto"/>
            </w:tcBorders>
            <w:shd w:val="clear" w:color="auto" w:fill="F7CAAC" w:themeFill="accent2" w:themeFillTint="66"/>
            <w:vAlign w:val="bottom"/>
            <w:hideMark/>
          </w:tcPr>
          <w:p w:rsidR="002F3376" w:rsidRPr="002F3376" w:rsidRDefault="002F3376" w:rsidP="002F3376">
            <w:pPr>
              <w:spacing w:line="240" w:lineRule="auto"/>
              <w:jc w:val="center"/>
              <w:rPr>
                <w:rFonts w:ascii="Arial" w:eastAsia="Times New Roman" w:hAnsi="Arial" w:cs="Arial"/>
                <w:b/>
                <w:bCs/>
                <w:sz w:val="20"/>
                <w:szCs w:val="20"/>
                <w:lang w:eastAsia="en-AU"/>
              </w:rPr>
            </w:pPr>
            <w:r w:rsidRPr="002F3376">
              <w:rPr>
                <w:rFonts w:ascii="Arial" w:eastAsia="Times New Roman" w:hAnsi="Arial" w:cs="Arial"/>
                <w:b/>
                <w:bCs/>
                <w:sz w:val="20"/>
                <w:szCs w:val="20"/>
                <w:lang w:eastAsia="en-AU"/>
              </w:rPr>
              <w:t>Expected or better</w:t>
            </w:r>
          </w:p>
        </w:tc>
      </w:tr>
      <w:tr w:rsidR="002F3376" w:rsidRPr="002F3376" w:rsidTr="00941B3D">
        <w:trPr>
          <w:trHeight w:val="25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right"/>
              <w:rPr>
                <w:rFonts w:ascii="Arial" w:eastAsia="Times New Roman" w:hAnsi="Arial" w:cs="Arial"/>
                <w:sz w:val="20"/>
                <w:szCs w:val="20"/>
                <w:lang w:eastAsia="en-AU"/>
              </w:rPr>
            </w:pPr>
            <w:r w:rsidRPr="002F3376">
              <w:rPr>
                <w:rFonts w:ascii="Arial" w:eastAsia="Times New Roman" w:hAnsi="Arial" w:cs="Arial"/>
                <w:sz w:val="20"/>
                <w:szCs w:val="20"/>
                <w:lang w:eastAsia="en-AU"/>
              </w:rPr>
              <w:t>2017</w:t>
            </w:r>
          </w:p>
        </w:tc>
        <w:tc>
          <w:tcPr>
            <w:tcW w:w="1987" w:type="dxa"/>
            <w:gridSpan w:val="2"/>
            <w:tcBorders>
              <w:top w:val="nil"/>
              <w:left w:val="nil"/>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center"/>
              <w:rPr>
                <w:rFonts w:ascii="Arial" w:eastAsia="Times New Roman" w:hAnsi="Arial" w:cs="Arial"/>
                <w:sz w:val="20"/>
                <w:szCs w:val="20"/>
                <w:lang w:eastAsia="en-AU"/>
              </w:rPr>
            </w:pPr>
            <w:r w:rsidRPr="002F3376">
              <w:rPr>
                <w:rFonts w:ascii="Arial" w:eastAsia="Times New Roman" w:hAnsi="Arial" w:cs="Arial"/>
                <w:sz w:val="20"/>
                <w:szCs w:val="20"/>
                <w:lang w:eastAsia="en-AU"/>
              </w:rPr>
              <w:t>24%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center"/>
              <w:rPr>
                <w:rFonts w:ascii="Arial" w:eastAsia="Times New Roman" w:hAnsi="Arial" w:cs="Arial"/>
                <w:sz w:val="20"/>
                <w:szCs w:val="20"/>
                <w:lang w:eastAsia="en-AU"/>
              </w:rPr>
            </w:pPr>
            <w:r w:rsidRPr="002F3376">
              <w:rPr>
                <w:rFonts w:ascii="Arial" w:eastAsia="Times New Roman" w:hAnsi="Arial" w:cs="Arial"/>
                <w:sz w:val="20"/>
                <w:szCs w:val="20"/>
                <w:lang w:eastAsia="en-AU"/>
              </w:rPr>
              <w:t>53%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center"/>
              <w:rPr>
                <w:rFonts w:ascii="Arial" w:eastAsia="Times New Roman" w:hAnsi="Arial" w:cs="Arial"/>
                <w:sz w:val="20"/>
                <w:szCs w:val="20"/>
                <w:lang w:eastAsia="en-AU"/>
              </w:rPr>
            </w:pPr>
            <w:r w:rsidRPr="002F3376">
              <w:rPr>
                <w:rFonts w:ascii="Arial" w:eastAsia="Times New Roman" w:hAnsi="Arial" w:cs="Arial"/>
                <w:sz w:val="20"/>
                <w:szCs w:val="20"/>
                <w:lang w:eastAsia="en-AU"/>
              </w:rPr>
              <w:t>23%</w:t>
            </w:r>
          </w:p>
        </w:tc>
        <w:tc>
          <w:tcPr>
            <w:tcW w:w="2107" w:type="dxa"/>
            <w:gridSpan w:val="2"/>
            <w:tcBorders>
              <w:top w:val="nil"/>
              <w:left w:val="nil"/>
              <w:bottom w:val="single" w:sz="4" w:space="0" w:color="auto"/>
              <w:right w:val="single" w:sz="4" w:space="0" w:color="auto"/>
            </w:tcBorders>
            <w:shd w:val="clear" w:color="auto" w:fill="F7CAAC" w:themeFill="accent2" w:themeFillTint="66"/>
            <w:noWrap/>
            <w:vAlign w:val="bottom"/>
            <w:hideMark/>
          </w:tcPr>
          <w:p w:rsidR="002F3376" w:rsidRPr="002F3376" w:rsidRDefault="002F3376" w:rsidP="00A765C4">
            <w:pPr>
              <w:spacing w:line="240" w:lineRule="auto"/>
              <w:jc w:val="center"/>
              <w:rPr>
                <w:rFonts w:ascii="Arial" w:eastAsia="Times New Roman" w:hAnsi="Arial" w:cs="Arial"/>
                <w:sz w:val="20"/>
                <w:szCs w:val="20"/>
                <w:lang w:eastAsia="en-AU"/>
              </w:rPr>
            </w:pPr>
            <w:r w:rsidRPr="002F3376">
              <w:rPr>
                <w:rFonts w:ascii="Arial" w:eastAsia="Times New Roman" w:hAnsi="Arial" w:cs="Arial"/>
                <w:sz w:val="20"/>
                <w:szCs w:val="20"/>
                <w:lang w:eastAsia="en-AU"/>
              </w:rPr>
              <w:t>76%</w:t>
            </w:r>
          </w:p>
        </w:tc>
      </w:tr>
      <w:tr w:rsidR="002F3376" w:rsidRPr="002F3376" w:rsidTr="00941B3D">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right"/>
              <w:rPr>
                <w:rFonts w:ascii="Arial" w:eastAsia="Times New Roman" w:hAnsi="Arial" w:cs="Arial"/>
                <w:sz w:val="20"/>
                <w:szCs w:val="20"/>
                <w:lang w:eastAsia="en-AU"/>
              </w:rPr>
            </w:pPr>
          </w:p>
        </w:tc>
        <w:tc>
          <w:tcPr>
            <w:tcW w:w="1987" w:type="dxa"/>
            <w:gridSpan w:val="2"/>
            <w:tcBorders>
              <w:top w:val="nil"/>
              <w:left w:val="nil"/>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center"/>
              <w:rPr>
                <w:rFonts w:ascii="Arial" w:eastAsia="Times New Roman" w:hAnsi="Arial" w:cs="Arial"/>
                <w:sz w:val="20"/>
                <w:szCs w:val="20"/>
                <w:lang w:eastAsia="en-AU"/>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center"/>
              <w:rPr>
                <w:rFonts w:ascii="Arial" w:eastAsia="Times New Roman" w:hAnsi="Arial" w:cs="Arial"/>
                <w:sz w:val="20"/>
                <w:szCs w:val="20"/>
                <w:lang w:eastAsia="en-AU"/>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center"/>
              <w:rPr>
                <w:rFonts w:ascii="Arial" w:eastAsia="Times New Roman" w:hAnsi="Arial" w:cs="Arial"/>
                <w:sz w:val="20"/>
                <w:szCs w:val="20"/>
                <w:lang w:eastAsia="en-AU"/>
              </w:rPr>
            </w:pPr>
          </w:p>
        </w:tc>
        <w:tc>
          <w:tcPr>
            <w:tcW w:w="2107" w:type="dxa"/>
            <w:gridSpan w:val="2"/>
            <w:tcBorders>
              <w:top w:val="nil"/>
              <w:left w:val="nil"/>
              <w:bottom w:val="single" w:sz="4" w:space="0" w:color="auto"/>
              <w:right w:val="single" w:sz="4" w:space="0" w:color="auto"/>
            </w:tcBorders>
            <w:shd w:val="clear" w:color="auto" w:fill="F7CAAC" w:themeFill="accent2" w:themeFillTint="66"/>
            <w:noWrap/>
            <w:vAlign w:val="bottom"/>
            <w:hideMark/>
          </w:tcPr>
          <w:p w:rsidR="002F3376" w:rsidRPr="002F3376" w:rsidRDefault="002F3376" w:rsidP="00A765C4">
            <w:pPr>
              <w:spacing w:line="240" w:lineRule="auto"/>
              <w:jc w:val="center"/>
              <w:rPr>
                <w:rFonts w:ascii="Arial" w:eastAsia="Times New Roman" w:hAnsi="Arial" w:cs="Arial"/>
                <w:sz w:val="20"/>
                <w:szCs w:val="20"/>
                <w:lang w:eastAsia="en-AU"/>
              </w:rPr>
            </w:pPr>
          </w:p>
        </w:tc>
      </w:tr>
      <w:tr w:rsidR="002F3376" w:rsidRPr="002F3376" w:rsidTr="00941B3D">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F3376" w:rsidRDefault="008A1B96" w:rsidP="002F3376">
            <w:pPr>
              <w:spacing w:line="240" w:lineRule="auto"/>
              <w:jc w:val="right"/>
              <w:rPr>
                <w:rFonts w:ascii="Arial" w:eastAsia="Times New Roman" w:hAnsi="Arial" w:cs="Arial"/>
                <w:b/>
                <w:sz w:val="20"/>
                <w:szCs w:val="20"/>
                <w:lang w:eastAsia="en-AU"/>
              </w:rPr>
            </w:pPr>
            <w:r w:rsidRPr="008A1B96">
              <w:rPr>
                <w:rFonts w:ascii="Arial" w:eastAsia="Times New Roman" w:hAnsi="Arial" w:cs="Arial"/>
                <w:b/>
                <w:sz w:val="20"/>
                <w:szCs w:val="20"/>
                <w:lang w:eastAsia="en-AU"/>
              </w:rPr>
              <w:t>Maths</w:t>
            </w:r>
          </w:p>
          <w:p w:rsidR="00A765C4" w:rsidRPr="008A1B96" w:rsidRDefault="00A765C4" w:rsidP="002F3376">
            <w:pPr>
              <w:spacing w:line="240" w:lineRule="auto"/>
              <w:jc w:val="right"/>
              <w:rPr>
                <w:rFonts w:ascii="Arial" w:eastAsia="Times New Roman" w:hAnsi="Arial" w:cs="Arial"/>
                <w:b/>
                <w:sz w:val="20"/>
                <w:szCs w:val="20"/>
                <w:lang w:eastAsia="en-AU"/>
              </w:rPr>
            </w:pPr>
          </w:p>
        </w:tc>
        <w:tc>
          <w:tcPr>
            <w:tcW w:w="1987" w:type="dxa"/>
            <w:gridSpan w:val="2"/>
            <w:tcBorders>
              <w:top w:val="nil"/>
              <w:left w:val="nil"/>
              <w:bottom w:val="single" w:sz="4" w:space="0" w:color="auto"/>
              <w:right w:val="single" w:sz="4" w:space="0" w:color="auto"/>
            </w:tcBorders>
            <w:shd w:val="clear" w:color="auto" w:fill="auto"/>
            <w:noWrap/>
            <w:vAlign w:val="bottom"/>
            <w:hideMark/>
          </w:tcPr>
          <w:p w:rsidR="002F3376" w:rsidRPr="008A1B96" w:rsidRDefault="002F3376" w:rsidP="002F3376">
            <w:pPr>
              <w:spacing w:line="240" w:lineRule="auto"/>
              <w:jc w:val="center"/>
              <w:rPr>
                <w:rFonts w:ascii="Arial" w:eastAsia="Times New Roman" w:hAnsi="Arial" w:cs="Arial"/>
                <w:b/>
                <w:sz w:val="20"/>
                <w:szCs w:val="20"/>
                <w:lang w:eastAsia="en-AU"/>
              </w:rPr>
            </w:pPr>
            <w:r w:rsidRPr="008A1B96">
              <w:rPr>
                <w:rFonts w:ascii="Arial" w:eastAsia="Times New Roman" w:hAnsi="Arial" w:cs="Arial"/>
                <w:b/>
                <w:sz w:val="20"/>
                <w:szCs w:val="20"/>
                <w:lang w:eastAsia="en-AU"/>
              </w:rPr>
              <w:t>Less than expected growth</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F3376" w:rsidRPr="008A1B96" w:rsidRDefault="002F3376" w:rsidP="002F3376">
            <w:pPr>
              <w:spacing w:line="240" w:lineRule="auto"/>
              <w:jc w:val="center"/>
              <w:rPr>
                <w:rFonts w:ascii="Arial" w:eastAsia="Times New Roman" w:hAnsi="Arial" w:cs="Arial"/>
                <w:b/>
                <w:sz w:val="20"/>
                <w:szCs w:val="20"/>
                <w:lang w:eastAsia="en-AU"/>
              </w:rPr>
            </w:pPr>
            <w:r w:rsidRPr="008A1B96">
              <w:rPr>
                <w:rFonts w:ascii="Arial" w:eastAsia="Times New Roman" w:hAnsi="Arial" w:cs="Arial"/>
                <w:b/>
                <w:sz w:val="20"/>
                <w:szCs w:val="20"/>
                <w:lang w:eastAsia="en-AU"/>
              </w:rPr>
              <w:t>Expected growth</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F3376" w:rsidRPr="008A1B96" w:rsidRDefault="002F3376" w:rsidP="002F3376">
            <w:pPr>
              <w:spacing w:line="240" w:lineRule="auto"/>
              <w:jc w:val="center"/>
              <w:rPr>
                <w:rFonts w:ascii="Arial" w:eastAsia="Times New Roman" w:hAnsi="Arial" w:cs="Arial"/>
                <w:b/>
                <w:sz w:val="20"/>
                <w:szCs w:val="20"/>
                <w:lang w:eastAsia="en-AU"/>
              </w:rPr>
            </w:pPr>
            <w:r w:rsidRPr="008A1B96">
              <w:rPr>
                <w:rFonts w:ascii="Arial" w:eastAsia="Times New Roman" w:hAnsi="Arial" w:cs="Arial"/>
                <w:b/>
                <w:sz w:val="20"/>
                <w:szCs w:val="20"/>
                <w:lang w:eastAsia="en-AU"/>
              </w:rPr>
              <w:t>Better than expected growth</w:t>
            </w:r>
          </w:p>
        </w:tc>
        <w:tc>
          <w:tcPr>
            <w:tcW w:w="2107" w:type="dxa"/>
            <w:gridSpan w:val="2"/>
            <w:tcBorders>
              <w:top w:val="nil"/>
              <w:left w:val="nil"/>
              <w:bottom w:val="single" w:sz="4" w:space="0" w:color="auto"/>
              <w:right w:val="single" w:sz="4" w:space="0" w:color="auto"/>
            </w:tcBorders>
            <w:shd w:val="clear" w:color="auto" w:fill="F7CAAC" w:themeFill="accent2" w:themeFillTint="66"/>
            <w:noWrap/>
            <w:vAlign w:val="bottom"/>
            <w:hideMark/>
          </w:tcPr>
          <w:p w:rsidR="002F3376" w:rsidRPr="008A1B96" w:rsidRDefault="002F3376" w:rsidP="00A765C4">
            <w:pPr>
              <w:spacing w:line="240" w:lineRule="auto"/>
              <w:jc w:val="center"/>
              <w:rPr>
                <w:rFonts w:ascii="Arial" w:eastAsia="Times New Roman" w:hAnsi="Arial" w:cs="Arial"/>
                <w:b/>
                <w:sz w:val="20"/>
                <w:szCs w:val="20"/>
                <w:lang w:eastAsia="en-AU"/>
              </w:rPr>
            </w:pPr>
            <w:r w:rsidRPr="008A1B96">
              <w:rPr>
                <w:rFonts w:ascii="Arial" w:eastAsia="Times New Roman" w:hAnsi="Arial" w:cs="Arial"/>
                <w:b/>
                <w:sz w:val="20"/>
                <w:szCs w:val="20"/>
                <w:lang w:eastAsia="en-AU"/>
              </w:rPr>
              <w:t>Expected or better</w:t>
            </w:r>
          </w:p>
        </w:tc>
      </w:tr>
      <w:tr w:rsidR="002F3376" w:rsidRPr="002F3376" w:rsidTr="00941B3D">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right"/>
              <w:rPr>
                <w:rFonts w:ascii="Arial" w:eastAsia="Times New Roman" w:hAnsi="Arial" w:cs="Arial"/>
                <w:sz w:val="20"/>
                <w:szCs w:val="20"/>
                <w:lang w:eastAsia="en-AU"/>
              </w:rPr>
            </w:pPr>
            <w:r w:rsidRPr="002F3376">
              <w:rPr>
                <w:rFonts w:ascii="Arial" w:eastAsia="Times New Roman" w:hAnsi="Arial" w:cs="Arial"/>
                <w:sz w:val="20"/>
                <w:szCs w:val="20"/>
                <w:lang w:eastAsia="en-AU"/>
              </w:rPr>
              <w:t>2017</w:t>
            </w:r>
          </w:p>
        </w:tc>
        <w:tc>
          <w:tcPr>
            <w:tcW w:w="1987" w:type="dxa"/>
            <w:gridSpan w:val="2"/>
            <w:tcBorders>
              <w:top w:val="nil"/>
              <w:left w:val="nil"/>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center"/>
              <w:rPr>
                <w:rFonts w:ascii="Arial" w:eastAsia="Times New Roman" w:hAnsi="Arial" w:cs="Arial"/>
                <w:sz w:val="20"/>
                <w:szCs w:val="20"/>
                <w:lang w:eastAsia="en-AU"/>
              </w:rPr>
            </w:pPr>
            <w:r w:rsidRPr="002F3376">
              <w:rPr>
                <w:rFonts w:ascii="Arial" w:eastAsia="Times New Roman" w:hAnsi="Arial" w:cs="Arial"/>
                <w:sz w:val="20"/>
                <w:szCs w:val="20"/>
                <w:lang w:eastAsia="en-AU"/>
              </w:rPr>
              <w:t>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center"/>
              <w:rPr>
                <w:rFonts w:ascii="Arial" w:eastAsia="Times New Roman" w:hAnsi="Arial" w:cs="Arial"/>
                <w:sz w:val="20"/>
                <w:szCs w:val="20"/>
                <w:lang w:eastAsia="en-AU"/>
              </w:rPr>
            </w:pPr>
            <w:r w:rsidRPr="002F3376">
              <w:rPr>
                <w:rFonts w:ascii="Arial" w:eastAsia="Times New Roman" w:hAnsi="Arial" w:cs="Arial"/>
                <w:sz w:val="20"/>
                <w:szCs w:val="20"/>
                <w:lang w:eastAsia="en-AU"/>
              </w:rPr>
              <w:t>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F3376" w:rsidRPr="002F3376" w:rsidRDefault="002F3376" w:rsidP="002F3376">
            <w:pPr>
              <w:spacing w:line="240" w:lineRule="auto"/>
              <w:jc w:val="center"/>
              <w:rPr>
                <w:rFonts w:ascii="Arial" w:eastAsia="Times New Roman" w:hAnsi="Arial" w:cs="Arial"/>
                <w:sz w:val="20"/>
                <w:szCs w:val="20"/>
                <w:lang w:eastAsia="en-AU"/>
              </w:rPr>
            </w:pPr>
            <w:r w:rsidRPr="002F3376">
              <w:rPr>
                <w:rFonts w:ascii="Arial" w:eastAsia="Times New Roman" w:hAnsi="Arial" w:cs="Arial"/>
                <w:sz w:val="20"/>
                <w:szCs w:val="20"/>
                <w:lang w:eastAsia="en-AU"/>
              </w:rPr>
              <w:t>12%</w:t>
            </w:r>
          </w:p>
        </w:tc>
        <w:tc>
          <w:tcPr>
            <w:tcW w:w="2107" w:type="dxa"/>
            <w:gridSpan w:val="2"/>
            <w:tcBorders>
              <w:top w:val="nil"/>
              <w:left w:val="nil"/>
              <w:bottom w:val="single" w:sz="4" w:space="0" w:color="auto"/>
              <w:right w:val="single" w:sz="4" w:space="0" w:color="auto"/>
            </w:tcBorders>
            <w:shd w:val="clear" w:color="auto" w:fill="F7CAAC" w:themeFill="accent2" w:themeFillTint="66"/>
            <w:noWrap/>
            <w:vAlign w:val="bottom"/>
            <w:hideMark/>
          </w:tcPr>
          <w:p w:rsidR="002F3376" w:rsidRPr="002F3376" w:rsidRDefault="002F3376" w:rsidP="00A765C4">
            <w:pPr>
              <w:spacing w:line="240" w:lineRule="auto"/>
              <w:jc w:val="center"/>
              <w:rPr>
                <w:rFonts w:ascii="Arial" w:eastAsia="Times New Roman" w:hAnsi="Arial" w:cs="Arial"/>
                <w:sz w:val="20"/>
                <w:szCs w:val="20"/>
                <w:lang w:eastAsia="en-AU"/>
              </w:rPr>
            </w:pPr>
            <w:r w:rsidRPr="002F3376">
              <w:rPr>
                <w:rFonts w:ascii="Arial" w:eastAsia="Times New Roman" w:hAnsi="Arial" w:cs="Arial"/>
                <w:sz w:val="20"/>
                <w:szCs w:val="20"/>
                <w:lang w:eastAsia="en-AU"/>
              </w:rPr>
              <w:t>52%</w:t>
            </w:r>
          </w:p>
        </w:tc>
      </w:tr>
    </w:tbl>
    <w:p w:rsidR="00EC1600" w:rsidRDefault="00EC1600" w:rsidP="00EC1600">
      <w:pPr>
        <w:spacing w:line="240" w:lineRule="auto"/>
        <w:ind w:left="720"/>
        <w:rPr>
          <w:rFonts w:eastAsia="Times New Roman"/>
          <w:lang w:eastAsia="en-AU"/>
        </w:rPr>
      </w:pPr>
    </w:p>
    <w:p w:rsidR="00941B3D" w:rsidRPr="00941B3D" w:rsidRDefault="00A82C4F" w:rsidP="00941B3D">
      <w:pPr>
        <w:numPr>
          <w:ilvl w:val="0"/>
          <w:numId w:val="1"/>
        </w:numPr>
        <w:spacing w:line="240" w:lineRule="auto"/>
        <w:rPr>
          <w:rFonts w:eastAsia="Times New Roman"/>
          <w:lang w:eastAsia="en-AU"/>
        </w:rPr>
      </w:pPr>
      <w:r>
        <w:rPr>
          <w:rFonts w:eastAsia="Times New Roman"/>
          <w:lang w:eastAsia="en-AU"/>
        </w:rPr>
        <w:t>Year 3</w:t>
      </w:r>
      <w:r w:rsidRPr="00E82033">
        <w:rPr>
          <w:rFonts w:eastAsia="Times New Roman"/>
          <w:lang w:eastAsia="en-AU"/>
        </w:rPr>
        <w:t xml:space="preserve"> </w:t>
      </w:r>
      <w:r>
        <w:rPr>
          <w:rFonts w:eastAsia="Times New Roman"/>
          <w:lang w:eastAsia="en-AU"/>
        </w:rPr>
        <w:t>achieve</w:t>
      </w:r>
      <w:r w:rsidRPr="00E82033">
        <w:rPr>
          <w:rFonts w:eastAsia="Times New Roman"/>
          <w:lang w:eastAsia="en-AU"/>
        </w:rPr>
        <w:t xml:space="preserve"> a mean score within </w:t>
      </w:r>
      <w:r>
        <w:rPr>
          <w:rFonts w:eastAsia="Times New Roman"/>
          <w:lang w:eastAsia="en-AU"/>
        </w:rPr>
        <w:t>confidence interval</w:t>
      </w:r>
      <w:r w:rsidRPr="00E82033">
        <w:rPr>
          <w:rFonts w:eastAsia="Times New Roman"/>
          <w:lang w:eastAsia="en-AU"/>
        </w:rPr>
        <w:t xml:space="preserve"> </w:t>
      </w:r>
      <w:r>
        <w:rPr>
          <w:rFonts w:eastAsia="Times New Roman"/>
          <w:lang w:eastAsia="en-AU"/>
        </w:rPr>
        <w:t xml:space="preserve">of our system targets </w:t>
      </w:r>
      <w:r w:rsidRPr="00E82033">
        <w:rPr>
          <w:rFonts w:eastAsia="Times New Roman"/>
          <w:lang w:eastAsia="en-AU"/>
        </w:rPr>
        <w:t>for readin</w:t>
      </w:r>
      <w:r>
        <w:rPr>
          <w:rFonts w:eastAsia="Times New Roman"/>
          <w:lang w:eastAsia="en-AU"/>
        </w:rPr>
        <w:t xml:space="preserve">g and numeracy </w:t>
      </w:r>
    </w:p>
    <w:tbl>
      <w:tblPr>
        <w:tblStyle w:val="TableGrid"/>
        <w:tblW w:w="0" w:type="auto"/>
        <w:tblInd w:w="360" w:type="dxa"/>
        <w:tblLook w:val="04A0" w:firstRow="1" w:lastRow="0" w:firstColumn="1" w:lastColumn="0" w:noHBand="0" w:noVBand="1"/>
      </w:tblPr>
      <w:tblGrid>
        <w:gridCol w:w="4001"/>
        <w:gridCol w:w="1417"/>
        <w:gridCol w:w="1418"/>
      </w:tblGrid>
      <w:tr w:rsidR="00941B3D" w:rsidTr="00941B3D">
        <w:tc>
          <w:tcPr>
            <w:tcW w:w="4001" w:type="dxa"/>
          </w:tcPr>
          <w:p w:rsidR="00941B3D" w:rsidRPr="00941B3D" w:rsidRDefault="00941B3D" w:rsidP="00A22F83">
            <w:pPr>
              <w:spacing w:line="240" w:lineRule="auto"/>
              <w:rPr>
                <w:rFonts w:eastAsia="Times New Roman"/>
                <w:b/>
                <w:lang w:eastAsia="en-AU"/>
              </w:rPr>
            </w:pPr>
            <w:r w:rsidRPr="00941B3D">
              <w:rPr>
                <w:rFonts w:eastAsia="Times New Roman"/>
                <w:b/>
                <w:lang w:eastAsia="en-AU"/>
              </w:rPr>
              <w:t>2017 NAPLAN Performance Targets</w:t>
            </w:r>
          </w:p>
        </w:tc>
        <w:tc>
          <w:tcPr>
            <w:tcW w:w="1417" w:type="dxa"/>
          </w:tcPr>
          <w:p w:rsidR="00941B3D" w:rsidRDefault="00941B3D" w:rsidP="00941B3D">
            <w:pPr>
              <w:spacing w:line="240" w:lineRule="auto"/>
              <w:jc w:val="center"/>
              <w:rPr>
                <w:rFonts w:eastAsia="Times New Roman"/>
                <w:lang w:eastAsia="en-AU"/>
              </w:rPr>
            </w:pPr>
            <w:r>
              <w:rPr>
                <w:rFonts w:eastAsia="Times New Roman"/>
                <w:lang w:eastAsia="en-AU"/>
              </w:rPr>
              <w:t>2017 Mean</w:t>
            </w:r>
          </w:p>
        </w:tc>
        <w:tc>
          <w:tcPr>
            <w:tcW w:w="1418" w:type="dxa"/>
          </w:tcPr>
          <w:p w:rsidR="00941B3D" w:rsidRDefault="00941B3D" w:rsidP="00A22F83">
            <w:pPr>
              <w:spacing w:line="240" w:lineRule="auto"/>
              <w:rPr>
                <w:rFonts w:eastAsia="Times New Roman"/>
                <w:lang w:eastAsia="en-AU"/>
              </w:rPr>
            </w:pPr>
          </w:p>
        </w:tc>
      </w:tr>
      <w:tr w:rsidR="00941B3D" w:rsidTr="00941B3D">
        <w:tc>
          <w:tcPr>
            <w:tcW w:w="4001" w:type="dxa"/>
          </w:tcPr>
          <w:p w:rsidR="00941B3D" w:rsidRPr="00941B3D" w:rsidRDefault="00941B3D" w:rsidP="00941B3D">
            <w:pPr>
              <w:autoSpaceDE w:val="0"/>
              <w:autoSpaceDN w:val="0"/>
              <w:adjustRightInd w:val="0"/>
              <w:spacing w:line="240" w:lineRule="auto"/>
              <w:rPr>
                <w:rFonts w:cs="Calibri"/>
                <w:color w:val="000000"/>
                <w:sz w:val="24"/>
                <w:szCs w:val="24"/>
                <w:lang w:eastAsia="en-AU"/>
              </w:rPr>
            </w:pPr>
            <w:r>
              <w:rPr>
                <w:rFonts w:cs="Calibri"/>
                <w:color w:val="000000"/>
                <w:sz w:val="24"/>
                <w:szCs w:val="24"/>
                <w:lang w:eastAsia="en-AU"/>
              </w:rPr>
              <w:t>Year 3 Reading 443 ± 14</w:t>
            </w:r>
          </w:p>
        </w:tc>
        <w:tc>
          <w:tcPr>
            <w:tcW w:w="1417" w:type="dxa"/>
          </w:tcPr>
          <w:p w:rsidR="00941B3D" w:rsidRDefault="00941B3D" w:rsidP="00941B3D">
            <w:pPr>
              <w:spacing w:line="240" w:lineRule="auto"/>
              <w:jc w:val="center"/>
              <w:rPr>
                <w:rFonts w:eastAsia="Times New Roman"/>
                <w:lang w:eastAsia="en-AU"/>
              </w:rPr>
            </w:pPr>
            <w:r w:rsidRPr="007F5E62">
              <w:rPr>
                <w:rFonts w:ascii="Franklin Gothic Book" w:eastAsia="Times New Roman" w:hAnsi="Franklin Gothic Book" w:cs="Arial"/>
                <w:color w:val="000000" w:themeColor="dark1"/>
                <w:kern w:val="24"/>
                <w:sz w:val="24"/>
                <w:szCs w:val="24"/>
                <w:lang w:eastAsia="en-AU"/>
              </w:rPr>
              <w:t>429</w:t>
            </w:r>
          </w:p>
        </w:tc>
        <w:tc>
          <w:tcPr>
            <w:tcW w:w="1418" w:type="dxa"/>
          </w:tcPr>
          <w:p w:rsidR="00941B3D" w:rsidRPr="00941B3D" w:rsidRDefault="00941B3D" w:rsidP="00A22F83">
            <w:pPr>
              <w:spacing w:line="240" w:lineRule="auto"/>
              <w:rPr>
                <w:rFonts w:eastAsia="Times New Roman"/>
                <w:lang w:eastAsia="en-AU"/>
              </w:rPr>
            </w:pPr>
            <w:r w:rsidRPr="00A22F83">
              <w:rPr>
                <w:rFonts w:eastAsia="Times New Roman"/>
                <w:highlight w:val="green"/>
                <w:lang w:eastAsia="en-AU"/>
              </w:rPr>
              <w:t>Target met</w:t>
            </w:r>
          </w:p>
        </w:tc>
      </w:tr>
      <w:tr w:rsidR="00941B3D" w:rsidTr="00941B3D">
        <w:tc>
          <w:tcPr>
            <w:tcW w:w="4001" w:type="dxa"/>
          </w:tcPr>
          <w:p w:rsidR="00941B3D" w:rsidRPr="00941B3D" w:rsidRDefault="00941B3D" w:rsidP="00941B3D">
            <w:pPr>
              <w:autoSpaceDE w:val="0"/>
              <w:autoSpaceDN w:val="0"/>
              <w:adjustRightInd w:val="0"/>
              <w:spacing w:line="240" w:lineRule="auto"/>
              <w:rPr>
                <w:rFonts w:cs="Calibri"/>
                <w:color w:val="000000"/>
                <w:sz w:val="24"/>
                <w:szCs w:val="24"/>
                <w:lang w:eastAsia="en-AU"/>
              </w:rPr>
            </w:pPr>
            <w:r>
              <w:rPr>
                <w:rFonts w:cs="Calibri"/>
                <w:color w:val="000000"/>
                <w:sz w:val="24"/>
                <w:szCs w:val="24"/>
                <w:lang w:eastAsia="en-AU"/>
              </w:rPr>
              <w:t>Year 3 Numeracy 413 ± 12</w:t>
            </w:r>
          </w:p>
        </w:tc>
        <w:tc>
          <w:tcPr>
            <w:tcW w:w="1417" w:type="dxa"/>
          </w:tcPr>
          <w:p w:rsidR="00941B3D" w:rsidRDefault="00941B3D" w:rsidP="00941B3D">
            <w:pPr>
              <w:spacing w:line="240" w:lineRule="auto"/>
              <w:jc w:val="center"/>
              <w:rPr>
                <w:rFonts w:eastAsia="Times New Roman"/>
                <w:lang w:eastAsia="en-AU"/>
              </w:rPr>
            </w:pPr>
            <w:r w:rsidRPr="007F5E62">
              <w:rPr>
                <w:rFonts w:ascii="Franklin Gothic Book" w:eastAsia="Times New Roman" w:hAnsi="Franklin Gothic Book" w:cs="Arial"/>
                <w:color w:val="000000" w:themeColor="dark1"/>
                <w:kern w:val="24"/>
                <w:sz w:val="24"/>
                <w:szCs w:val="24"/>
                <w:lang w:eastAsia="en-AU"/>
              </w:rPr>
              <w:t>406</w:t>
            </w:r>
          </w:p>
        </w:tc>
        <w:tc>
          <w:tcPr>
            <w:tcW w:w="1418" w:type="dxa"/>
          </w:tcPr>
          <w:p w:rsidR="00941B3D" w:rsidRPr="00941B3D" w:rsidRDefault="00941B3D" w:rsidP="00A22F83">
            <w:pPr>
              <w:spacing w:line="240" w:lineRule="auto"/>
              <w:rPr>
                <w:rFonts w:eastAsia="Times New Roman"/>
                <w:lang w:eastAsia="en-AU"/>
              </w:rPr>
            </w:pPr>
            <w:r w:rsidRPr="00A22F83">
              <w:rPr>
                <w:rFonts w:eastAsia="Times New Roman"/>
                <w:highlight w:val="green"/>
                <w:lang w:eastAsia="en-AU"/>
              </w:rPr>
              <w:t>Target met</w:t>
            </w:r>
          </w:p>
        </w:tc>
      </w:tr>
    </w:tbl>
    <w:p w:rsidR="00941B3D" w:rsidRDefault="00941B3D" w:rsidP="00941B3D">
      <w:pPr>
        <w:autoSpaceDE w:val="0"/>
        <w:autoSpaceDN w:val="0"/>
        <w:adjustRightInd w:val="0"/>
        <w:spacing w:line="240" w:lineRule="auto"/>
        <w:rPr>
          <w:rFonts w:cs="Calibri"/>
          <w:color w:val="000000"/>
          <w:sz w:val="24"/>
          <w:szCs w:val="24"/>
          <w:lang w:eastAsia="en-AU"/>
        </w:rPr>
      </w:pPr>
    </w:p>
    <w:p w:rsidR="00A82C4F" w:rsidRDefault="00A82C4F" w:rsidP="00A82C4F">
      <w:pPr>
        <w:numPr>
          <w:ilvl w:val="0"/>
          <w:numId w:val="1"/>
        </w:numPr>
        <w:spacing w:line="240" w:lineRule="auto"/>
        <w:rPr>
          <w:rFonts w:eastAsia="Times New Roman"/>
          <w:lang w:eastAsia="en-AU"/>
        </w:rPr>
      </w:pPr>
      <w:r>
        <w:rPr>
          <w:rFonts w:eastAsia="Times New Roman"/>
          <w:lang w:eastAsia="en-AU"/>
        </w:rPr>
        <w:t>2% point improvement per annum</w:t>
      </w:r>
      <w:r w:rsidRPr="00E82033">
        <w:rPr>
          <w:rFonts w:eastAsia="Times New Roman"/>
          <w:lang w:eastAsia="en-AU"/>
        </w:rPr>
        <w:t xml:space="preserve"> of students achieving expected growth </w:t>
      </w:r>
      <w:r>
        <w:rPr>
          <w:rFonts w:eastAsia="Times New Roman"/>
          <w:lang w:eastAsia="en-AU"/>
        </w:rPr>
        <w:t xml:space="preserve">in years 5,7,9 </w:t>
      </w:r>
      <w:r w:rsidRPr="00E82033">
        <w:rPr>
          <w:rFonts w:eastAsia="Times New Roman"/>
          <w:lang w:eastAsia="en-AU"/>
        </w:rPr>
        <w:t xml:space="preserve">in reading </w:t>
      </w:r>
      <w:r>
        <w:rPr>
          <w:rFonts w:eastAsia="Times New Roman"/>
          <w:lang w:eastAsia="en-AU"/>
        </w:rPr>
        <w:t xml:space="preserve">and </w:t>
      </w:r>
      <w:r w:rsidRPr="00E82033">
        <w:rPr>
          <w:rFonts w:eastAsia="Times New Roman"/>
          <w:lang w:eastAsia="en-AU"/>
        </w:rPr>
        <w:t>in numeracy</w:t>
      </w:r>
    </w:p>
    <w:p w:rsidR="00A22F83" w:rsidRPr="00A22F83" w:rsidRDefault="00A22F83" w:rsidP="00A22F83">
      <w:pPr>
        <w:spacing w:line="240" w:lineRule="auto"/>
        <w:ind w:left="720"/>
        <w:rPr>
          <w:rFonts w:eastAsia="Times New Roman"/>
          <w:lang w:eastAsia="en-AU"/>
        </w:rPr>
      </w:pPr>
      <w:r w:rsidRPr="00A22F83">
        <w:rPr>
          <w:rFonts w:eastAsia="Times New Roman"/>
          <w:highlight w:val="green"/>
          <w:lang w:eastAsia="en-AU"/>
        </w:rPr>
        <w:t>Target partially met</w:t>
      </w:r>
    </w:p>
    <w:tbl>
      <w:tblPr>
        <w:tblW w:w="9464" w:type="dxa"/>
        <w:tblCellMar>
          <w:left w:w="0" w:type="dxa"/>
          <w:right w:w="0" w:type="dxa"/>
        </w:tblCellMar>
        <w:tblLook w:val="04A0" w:firstRow="1" w:lastRow="0" w:firstColumn="1" w:lastColumn="0" w:noHBand="0" w:noVBand="1"/>
      </w:tblPr>
      <w:tblGrid>
        <w:gridCol w:w="2943"/>
        <w:gridCol w:w="1877"/>
        <w:gridCol w:w="2118"/>
        <w:gridCol w:w="2526"/>
      </w:tblGrid>
      <w:tr w:rsidR="002F04D9" w:rsidTr="002F04D9">
        <w:tc>
          <w:tcPr>
            <w:tcW w:w="2943"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2F04D9" w:rsidRDefault="002F04D9">
            <w:pPr>
              <w:jc w:val="center"/>
              <w:rPr>
                <w:rFonts w:eastAsiaTheme="minorHAnsi"/>
                <w:b/>
                <w:bCs/>
              </w:rPr>
            </w:pPr>
            <w:r>
              <w:rPr>
                <w:b/>
                <w:bCs/>
              </w:rPr>
              <w:t>Year 5 Reading</w:t>
            </w:r>
          </w:p>
        </w:tc>
        <w:tc>
          <w:tcPr>
            <w:tcW w:w="1877"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rsidR="002F04D9" w:rsidRDefault="002F04D9">
            <w:pPr>
              <w:jc w:val="center"/>
              <w:rPr>
                <w:rFonts w:eastAsiaTheme="minorHAnsi"/>
                <w:b/>
                <w:bCs/>
              </w:rPr>
            </w:pPr>
            <w:r>
              <w:rPr>
                <w:b/>
                <w:bCs/>
              </w:rPr>
              <w:t>2016</w:t>
            </w:r>
          </w:p>
        </w:tc>
        <w:tc>
          <w:tcPr>
            <w:tcW w:w="2118"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rsidR="002F04D9" w:rsidRDefault="002F04D9">
            <w:pPr>
              <w:jc w:val="center"/>
              <w:rPr>
                <w:rFonts w:eastAsiaTheme="minorHAnsi"/>
                <w:b/>
                <w:bCs/>
              </w:rPr>
            </w:pPr>
            <w:r>
              <w:rPr>
                <w:b/>
                <w:bCs/>
              </w:rPr>
              <w:t>2017</w:t>
            </w:r>
          </w:p>
        </w:tc>
        <w:tc>
          <w:tcPr>
            <w:tcW w:w="2526" w:type="dxa"/>
            <w:vMerge w:val="restart"/>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rsidR="002F04D9" w:rsidRDefault="002F04D9">
            <w:pPr>
              <w:jc w:val="center"/>
              <w:rPr>
                <w:rFonts w:eastAsiaTheme="minorHAnsi"/>
                <w:b/>
                <w:bCs/>
              </w:rPr>
            </w:pPr>
            <w:r>
              <w:rPr>
                <w:b/>
                <w:bCs/>
              </w:rPr>
              <w:t>-7.5 % point decrease</w:t>
            </w:r>
          </w:p>
          <w:p w:rsidR="002F04D9" w:rsidRDefault="002F04D9">
            <w:pPr>
              <w:jc w:val="center"/>
              <w:rPr>
                <w:rFonts w:eastAsiaTheme="minorHAnsi"/>
                <w:b/>
                <w:bCs/>
              </w:rPr>
            </w:pPr>
            <w:r>
              <w:rPr>
                <w:b/>
                <w:bCs/>
              </w:rPr>
              <w:t>target not achieved</w:t>
            </w:r>
          </w:p>
        </w:tc>
      </w:tr>
      <w:tr w:rsidR="002F04D9" w:rsidTr="002F04D9">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 Achieving Expected Growth</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64.4</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56.9</w:t>
            </w:r>
          </w:p>
        </w:tc>
        <w:tc>
          <w:tcPr>
            <w:tcW w:w="2526" w:type="dxa"/>
            <w:vMerge/>
            <w:tcBorders>
              <w:top w:val="single" w:sz="8" w:space="0" w:color="auto"/>
              <w:left w:val="nil"/>
              <w:bottom w:val="single" w:sz="8" w:space="0" w:color="auto"/>
              <w:right w:val="single" w:sz="8" w:space="0" w:color="auto"/>
            </w:tcBorders>
            <w:shd w:val="clear" w:color="auto" w:fill="F7CAAC" w:themeFill="accent2" w:themeFillTint="66"/>
            <w:vAlign w:val="center"/>
            <w:hideMark/>
          </w:tcPr>
          <w:p w:rsidR="002F04D9" w:rsidRDefault="002F04D9">
            <w:pPr>
              <w:rPr>
                <w:rFonts w:eastAsiaTheme="minorHAnsi"/>
                <w:b/>
                <w:bCs/>
              </w:rPr>
            </w:pPr>
          </w:p>
        </w:tc>
      </w:tr>
      <w:tr w:rsidR="002F04D9" w:rsidTr="002F04D9">
        <w:tc>
          <w:tcPr>
            <w:tcW w:w="2943"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rsidR="002F04D9" w:rsidRDefault="002F04D9">
            <w:pPr>
              <w:jc w:val="center"/>
              <w:rPr>
                <w:rFonts w:eastAsiaTheme="minorHAnsi"/>
                <w:b/>
                <w:bCs/>
              </w:rPr>
            </w:pPr>
            <w:r>
              <w:rPr>
                <w:b/>
                <w:bCs/>
              </w:rPr>
              <w:t>Year 5 Numeracy</w:t>
            </w:r>
          </w:p>
        </w:tc>
        <w:tc>
          <w:tcPr>
            <w:tcW w:w="1877"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2F04D9" w:rsidRDefault="002F04D9">
            <w:pPr>
              <w:jc w:val="center"/>
              <w:rPr>
                <w:rFonts w:eastAsiaTheme="minorHAnsi"/>
                <w:b/>
                <w:bCs/>
              </w:rPr>
            </w:pPr>
            <w:r>
              <w:rPr>
                <w:b/>
                <w:bCs/>
              </w:rPr>
              <w:t>2016</w:t>
            </w:r>
          </w:p>
        </w:tc>
        <w:tc>
          <w:tcPr>
            <w:tcW w:w="2118"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2F04D9" w:rsidRDefault="002F04D9">
            <w:pPr>
              <w:jc w:val="center"/>
              <w:rPr>
                <w:rFonts w:eastAsiaTheme="minorHAnsi"/>
                <w:b/>
                <w:bCs/>
              </w:rPr>
            </w:pPr>
            <w:r>
              <w:rPr>
                <w:b/>
                <w:bCs/>
              </w:rPr>
              <w:t>2017</w:t>
            </w:r>
          </w:p>
        </w:tc>
        <w:tc>
          <w:tcPr>
            <w:tcW w:w="2526" w:type="dxa"/>
            <w:vMerge w:val="restart"/>
            <w:tcBorders>
              <w:top w:val="nil"/>
              <w:left w:val="nil"/>
              <w:bottom w:val="single" w:sz="8" w:space="0" w:color="auto"/>
              <w:right w:val="single" w:sz="8" w:space="0" w:color="auto"/>
            </w:tcBorders>
            <w:shd w:val="clear" w:color="auto" w:fill="00B050"/>
            <w:tcMar>
              <w:top w:w="0" w:type="dxa"/>
              <w:left w:w="108" w:type="dxa"/>
              <w:bottom w:w="0" w:type="dxa"/>
              <w:right w:w="108" w:type="dxa"/>
            </w:tcMar>
            <w:vAlign w:val="center"/>
            <w:hideMark/>
          </w:tcPr>
          <w:p w:rsidR="002F04D9" w:rsidRDefault="002F04D9">
            <w:pPr>
              <w:jc w:val="center"/>
              <w:rPr>
                <w:rFonts w:eastAsiaTheme="minorHAnsi"/>
                <w:b/>
                <w:bCs/>
              </w:rPr>
            </w:pPr>
            <w:r>
              <w:rPr>
                <w:b/>
                <w:bCs/>
              </w:rPr>
              <w:t>22 % point increase</w:t>
            </w:r>
          </w:p>
          <w:p w:rsidR="002F04D9" w:rsidRDefault="002F04D9">
            <w:pPr>
              <w:jc w:val="center"/>
              <w:rPr>
                <w:rFonts w:eastAsiaTheme="minorHAnsi"/>
                <w:b/>
                <w:bCs/>
              </w:rPr>
            </w:pPr>
            <w:r>
              <w:rPr>
                <w:b/>
                <w:bCs/>
              </w:rPr>
              <w:t>target exceeded</w:t>
            </w:r>
          </w:p>
        </w:tc>
      </w:tr>
      <w:tr w:rsidR="002F04D9" w:rsidTr="002F04D9">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 Achieving Expected Growth</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51.9</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73.9</w:t>
            </w:r>
          </w:p>
        </w:tc>
        <w:tc>
          <w:tcPr>
            <w:tcW w:w="2526" w:type="dxa"/>
            <w:vMerge/>
            <w:tcBorders>
              <w:top w:val="nil"/>
              <w:left w:val="nil"/>
              <w:bottom w:val="single" w:sz="8" w:space="0" w:color="auto"/>
              <w:right w:val="single" w:sz="8" w:space="0" w:color="auto"/>
            </w:tcBorders>
            <w:vAlign w:val="center"/>
            <w:hideMark/>
          </w:tcPr>
          <w:p w:rsidR="002F04D9" w:rsidRDefault="002F04D9">
            <w:pPr>
              <w:rPr>
                <w:rFonts w:eastAsiaTheme="minorHAnsi"/>
                <w:b/>
                <w:bCs/>
              </w:rPr>
            </w:pPr>
          </w:p>
        </w:tc>
      </w:tr>
      <w:tr w:rsidR="002F04D9" w:rsidTr="002F04D9">
        <w:tc>
          <w:tcPr>
            <w:tcW w:w="2943"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2F04D9" w:rsidRDefault="002F04D9">
            <w:pPr>
              <w:jc w:val="center"/>
              <w:rPr>
                <w:rFonts w:eastAsiaTheme="minorHAnsi"/>
                <w:b/>
                <w:bCs/>
              </w:rPr>
            </w:pPr>
            <w:r>
              <w:rPr>
                <w:b/>
                <w:bCs/>
              </w:rPr>
              <w:t>Year 7 Reading</w:t>
            </w:r>
          </w:p>
        </w:tc>
        <w:tc>
          <w:tcPr>
            <w:tcW w:w="1877"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2F04D9" w:rsidRDefault="002F04D9">
            <w:pPr>
              <w:jc w:val="center"/>
              <w:rPr>
                <w:rFonts w:eastAsiaTheme="minorHAnsi"/>
                <w:b/>
                <w:bCs/>
              </w:rPr>
            </w:pPr>
            <w:r>
              <w:rPr>
                <w:b/>
                <w:bCs/>
              </w:rPr>
              <w:t>2016</w:t>
            </w:r>
          </w:p>
        </w:tc>
        <w:tc>
          <w:tcPr>
            <w:tcW w:w="211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2F04D9" w:rsidRDefault="002F04D9">
            <w:pPr>
              <w:jc w:val="center"/>
              <w:rPr>
                <w:rFonts w:eastAsiaTheme="minorHAnsi"/>
                <w:b/>
                <w:bCs/>
              </w:rPr>
            </w:pPr>
            <w:r>
              <w:rPr>
                <w:b/>
                <w:bCs/>
              </w:rPr>
              <w:t>2017</w:t>
            </w:r>
          </w:p>
        </w:tc>
        <w:tc>
          <w:tcPr>
            <w:tcW w:w="2526" w:type="dxa"/>
            <w:vMerge w:val="restart"/>
            <w:tcBorders>
              <w:top w:val="nil"/>
              <w:left w:val="nil"/>
              <w:bottom w:val="single" w:sz="8" w:space="0" w:color="auto"/>
              <w:right w:val="single" w:sz="8" w:space="0" w:color="auto"/>
            </w:tcBorders>
            <w:shd w:val="clear" w:color="auto" w:fill="00B050"/>
            <w:tcMar>
              <w:top w:w="0" w:type="dxa"/>
              <w:left w:w="108" w:type="dxa"/>
              <w:bottom w:w="0" w:type="dxa"/>
              <w:right w:w="108" w:type="dxa"/>
            </w:tcMar>
            <w:vAlign w:val="center"/>
            <w:hideMark/>
          </w:tcPr>
          <w:p w:rsidR="002F04D9" w:rsidRDefault="002F04D9">
            <w:pPr>
              <w:jc w:val="center"/>
              <w:rPr>
                <w:rFonts w:eastAsiaTheme="minorHAnsi"/>
                <w:b/>
                <w:bCs/>
              </w:rPr>
            </w:pPr>
            <w:r>
              <w:rPr>
                <w:b/>
                <w:bCs/>
              </w:rPr>
              <w:t>9.7 % point increase</w:t>
            </w:r>
          </w:p>
          <w:p w:rsidR="002F04D9" w:rsidRDefault="002F04D9">
            <w:pPr>
              <w:jc w:val="center"/>
              <w:rPr>
                <w:rFonts w:eastAsiaTheme="minorHAnsi"/>
                <w:b/>
                <w:bCs/>
              </w:rPr>
            </w:pPr>
            <w:r>
              <w:rPr>
                <w:b/>
                <w:bCs/>
              </w:rPr>
              <w:t>target exceeded</w:t>
            </w:r>
          </w:p>
        </w:tc>
      </w:tr>
      <w:tr w:rsidR="002F04D9" w:rsidTr="002F04D9">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 Achieving Expected Growth</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51.9</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61.6</w:t>
            </w:r>
          </w:p>
        </w:tc>
        <w:tc>
          <w:tcPr>
            <w:tcW w:w="2526" w:type="dxa"/>
            <w:vMerge/>
            <w:tcBorders>
              <w:top w:val="nil"/>
              <w:left w:val="nil"/>
              <w:bottom w:val="single" w:sz="8" w:space="0" w:color="auto"/>
              <w:right w:val="single" w:sz="8" w:space="0" w:color="auto"/>
            </w:tcBorders>
            <w:vAlign w:val="center"/>
            <w:hideMark/>
          </w:tcPr>
          <w:p w:rsidR="002F04D9" w:rsidRDefault="002F04D9">
            <w:pPr>
              <w:rPr>
                <w:rFonts w:eastAsiaTheme="minorHAnsi"/>
                <w:b/>
                <w:bCs/>
              </w:rPr>
            </w:pPr>
          </w:p>
        </w:tc>
      </w:tr>
      <w:tr w:rsidR="002F04D9" w:rsidTr="002F04D9">
        <w:tc>
          <w:tcPr>
            <w:tcW w:w="2943"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rsidR="002F04D9" w:rsidRDefault="002F04D9">
            <w:pPr>
              <w:jc w:val="center"/>
              <w:rPr>
                <w:rFonts w:eastAsiaTheme="minorHAnsi"/>
                <w:b/>
                <w:bCs/>
              </w:rPr>
            </w:pPr>
            <w:r>
              <w:rPr>
                <w:b/>
                <w:bCs/>
              </w:rPr>
              <w:t>Year 7 Numeracy</w:t>
            </w:r>
          </w:p>
        </w:tc>
        <w:tc>
          <w:tcPr>
            <w:tcW w:w="1877"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2F04D9" w:rsidRDefault="002F04D9">
            <w:pPr>
              <w:jc w:val="center"/>
              <w:rPr>
                <w:rFonts w:eastAsiaTheme="minorHAnsi"/>
                <w:b/>
                <w:bCs/>
              </w:rPr>
            </w:pPr>
            <w:r>
              <w:rPr>
                <w:b/>
                <w:bCs/>
              </w:rPr>
              <w:t>2016</w:t>
            </w:r>
          </w:p>
        </w:tc>
        <w:tc>
          <w:tcPr>
            <w:tcW w:w="2118"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2F04D9" w:rsidRDefault="002F04D9">
            <w:pPr>
              <w:jc w:val="center"/>
              <w:rPr>
                <w:rFonts w:eastAsiaTheme="minorHAnsi"/>
                <w:b/>
                <w:bCs/>
              </w:rPr>
            </w:pPr>
            <w:r>
              <w:rPr>
                <w:b/>
                <w:bCs/>
              </w:rPr>
              <w:t>2017</w:t>
            </w:r>
          </w:p>
        </w:tc>
        <w:tc>
          <w:tcPr>
            <w:tcW w:w="2526"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F04D9" w:rsidRPr="002F04D9" w:rsidRDefault="002F04D9">
            <w:pPr>
              <w:jc w:val="center"/>
              <w:rPr>
                <w:rFonts w:eastAsiaTheme="minorHAnsi"/>
                <w:b/>
                <w:bCs/>
              </w:rPr>
            </w:pPr>
            <w:r w:rsidRPr="002F04D9">
              <w:rPr>
                <w:b/>
                <w:bCs/>
              </w:rPr>
              <w:t>1.5 % point increase</w:t>
            </w:r>
          </w:p>
          <w:p w:rsidR="002F04D9" w:rsidRDefault="002F04D9">
            <w:pPr>
              <w:jc w:val="center"/>
              <w:rPr>
                <w:rFonts w:eastAsiaTheme="minorHAnsi"/>
                <w:b/>
                <w:bCs/>
              </w:rPr>
            </w:pPr>
            <w:r>
              <w:rPr>
                <w:b/>
                <w:bCs/>
              </w:rPr>
              <w:t xml:space="preserve">target </w:t>
            </w:r>
            <w:r w:rsidRPr="002F04D9">
              <w:rPr>
                <w:b/>
                <w:bCs/>
              </w:rPr>
              <w:t>almost achieved</w:t>
            </w:r>
          </w:p>
        </w:tc>
      </w:tr>
      <w:tr w:rsidR="002F04D9" w:rsidTr="002F04D9">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 Achieving Expected Growth</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75</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76.5</w:t>
            </w:r>
          </w:p>
        </w:tc>
        <w:tc>
          <w:tcPr>
            <w:tcW w:w="2526" w:type="dxa"/>
            <w:vMerge/>
            <w:tcBorders>
              <w:top w:val="nil"/>
              <w:left w:val="nil"/>
              <w:bottom w:val="single" w:sz="8" w:space="0" w:color="auto"/>
              <w:right w:val="single" w:sz="8" w:space="0" w:color="auto"/>
            </w:tcBorders>
            <w:shd w:val="clear" w:color="auto" w:fill="FFFFFF" w:themeFill="background1"/>
            <w:vAlign w:val="center"/>
            <w:hideMark/>
          </w:tcPr>
          <w:p w:rsidR="002F04D9" w:rsidRDefault="002F04D9">
            <w:pPr>
              <w:rPr>
                <w:rFonts w:eastAsiaTheme="minorHAnsi"/>
                <w:b/>
                <w:bCs/>
              </w:rPr>
            </w:pPr>
          </w:p>
        </w:tc>
      </w:tr>
      <w:tr w:rsidR="002F04D9" w:rsidTr="002F04D9">
        <w:tc>
          <w:tcPr>
            <w:tcW w:w="2943"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2F04D9" w:rsidRDefault="002F04D9">
            <w:pPr>
              <w:jc w:val="center"/>
              <w:rPr>
                <w:rFonts w:eastAsiaTheme="minorHAnsi"/>
                <w:b/>
                <w:bCs/>
              </w:rPr>
            </w:pPr>
            <w:r>
              <w:rPr>
                <w:b/>
                <w:bCs/>
              </w:rPr>
              <w:t>Year 9 Reading</w:t>
            </w:r>
          </w:p>
        </w:tc>
        <w:tc>
          <w:tcPr>
            <w:tcW w:w="1877"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2F04D9" w:rsidRDefault="002F04D9">
            <w:pPr>
              <w:jc w:val="center"/>
              <w:rPr>
                <w:rFonts w:eastAsiaTheme="minorHAnsi"/>
                <w:b/>
                <w:bCs/>
              </w:rPr>
            </w:pPr>
            <w:r>
              <w:rPr>
                <w:b/>
                <w:bCs/>
              </w:rPr>
              <w:t>2016</w:t>
            </w:r>
          </w:p>
        </w:tc>
        <w:tc>
          <w:tcPr>
            <w:tcW w:w="211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2F04D9" w:rsidRDefault="002F04D9">
            <w:pPr>
              <w:jc w:val="center"/>
              <w:rPr>
                <w:rFonts w:eastAsiaTheme="minorHAnsi"/>
                <w:b/>
                <w:bCs/>
              </w:rPr>
            </w:pPr>
            <w:r>
              <w:rPr>
                <w:b/>
                <w:bCs/>
              </w:rPr>
              <w:t>2017</w:t>
            </w:r>
          </w:p>
        </w:tc>
        <w:tc>
          <w:tcPr>
            <w:tcW w:w="2526"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F04D9" w:rsidRDefault="002F04D9">
            <w:pPr>
              <w:jc w:val="center"/>
              <w:rPr>
                <w:rFonts w:eastAsiaTheme="minorHAnsi"/>
                <w:b/>
                <w:bCs/>
              </w:rPr>
            </w:pPr>
            <w:r>
              <w:rPr>
                <w:b/>
                <w:bCs/>
              </w:rPr>
              <w:t>-0.7 % point decrease</w:t>
            </w:r>
          </w:p>
          <w:p w:rsidR="002F04D9" w:rsidRDefault="002F04D9" w:rsidP="002F04D9">
            <w:pPr>
              <w:jc w:val="center"/>
              <w:rPr>
                <w:b/>
                <w:bCs/>
              </w:rPr>
            </w:pPr>
            <w:r>
              <w:rPr>
                <w:b/>
                <w:bCs/>
              </w:rPr>
              <w:t>equal growth</w:t>
            </w:r>
          </w:p>
          <w:p w:rsidR="002F04D9" w:rsidRDefault="002F04D9" w:rsidP="002F04D9">
            <w:pPr>
              <w:jc w:val="center"/>
              <w:rPr>
                <w:rFonts w:eastAsiaTheme="minorHAnsi"/>
                <w:b/>
                <w:bCs/>
              </w:rPr>
            </w:pPr>
            <w:r>
              <w:rPr>
                <w:b/>
                <w:bCs/>
              </w:rPr>
              <w:t>target not achieved</w:t>
            </w:r>
          </w:p>
        </w:tc>
      </w:tr>
      <w:tr w:rsidR="002F04D9" w:rsidTr="002F04D9">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 Achieving Expected Growth</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61.9</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61.2</w:t>
            </w:r>
          </w:p>
        </w:tc>
        <w:tc>
          <w:tcPr>
            <w:tcW w:w="2526" w:type="dxa"/>
            <w:vMerge/>
            <w:tcBorders>
              <w:top w:val="nil"/>
              <w:left w:val="nil"/>
              <w:bottom w:val="single" w:sz="8" w:space="0" w:color="auto"/>
              <w:right w:val="single" w:sz="8" w:space="0" w:color="auto"/>
            </w:tcBorders>
            <w:shd w:val="clear" w:color="auto" w:fill="FFFFFF" w:themeFill="background1"/>
            <w:vAlign w:val="center"/>
            <w:hideMark/>
          </w:tcPr>
          <w:p w:rsidR="002F04D9" w:rsidRDefault="002F04D9">
            <w:pPr>
              <w:rPr>
                <w:rFonts w:eastAsiaTheme="minorHAnsi"/>
                <w:b/>
                <w:bCs/>
              </w:rPr>
            </w:pPr>
          </w:p>
        </w:tc>
      </w:tr>
      <w:tr w:rsidR="002F04D9" w:rsidTr="002F04D9">
        <w:tc>
          <w:tcPr>
            <w:tcW w:w="2943"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rsidR="002F04D9" w:rsidRDefault="002F04D9">
            <w:pPr>
              <w:jc w:val="center"/>
              <w:rPr>
                <w:rFonts w:eastAsiaTheme="minorHAnsi"/>
                <w:b/>
                <w:bCs/>
              </w:rPr>
            </w:pPr>
            <w:r>
              <w:rPr>
                <w:b/>
                <w:bCs/>
              </w:rPr>
              <w:t>Year 9 Numeracy</w:t>
            </w:r>
          </w:p>
        </w:tc>
        <w:tc>
          <w:tcPr>
            <w:tcW w:w="1877"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2F04D9" w:rsidRDefault="002F04D9">
            <w:pPr>
              <w:jc w:val="center"/>
              <w:rPr>
                <w:rFonts w:eastAsiaTheme="minorHAnsi"/>
                <w:b/>
                <w:bCs/>
              </w:rPr>
            </w:pPr>
            <w:r>
              <w:rPr>
                <w:b/>
                <w:bCs/>
              </w:rPr>
              <w:t>2016</w:t>
            </w:r>
          </w:p>
        </w:tc>
        <w:tc>
          <w:tcPr>
            <w:tcW w:w="2118"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2F04D9" w:rsidRDefault="002F04D9">
            <w:pPr>
              <w:jc w:val="center"/>
              <w:rPr>
                <w:rFonts w:eastAsiaTheme="minorHAnsi"/>
                <w:b/>
                <w:bCs/>
              </w:rPr>
            </w:pPr>
            <w:r>
              <w:rPr>
                <w:b/>
                <w:bCs/>
              </w:rPr>
              <w:t>2017</w:t>
            </w:r>
          </w:p>
        </w:tc>
        <w:tc>
          <w:tcPr>
            <w:tcW w:w="2526" w:type="dxa"/>
            <w:vMerge w:val="restart"/>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rsidR="002F04D9" w:rsidRDefault="002F04D9">
            <w:pPr>
              <w:jc w:val="center"/>
              <w:rPr>
                <w:rFonts w:eastAsiaTheme="minorHAnsi"/>
                <w:b/>
                <w:bCs/>
              </w:rPr>
            </w:pPr>
            <w:r>
              <w:rPr>
                <w:b/>
                <w:bCs/>
              </w:rPr>
              <w:t>-2.4 point decrease</w:t>
            </w:r>
          </w:p>
          <w:p w:rsidR="002F04D9" w:rsidRDefault="002F04D9">
            <w:pPr>
              <w:jc w:val="center"/>
              <w:rPr>
                <w:rFonts w:eastAsiaTheme="minorHAnsi"/>
                <w:b/>
                <w:bCs/>
              </w:rPr>
            </w:pPr>
            <w:r>
              <w:rPr>
                <w:b/>
                <w:bCs/>
              </w:rPr>
              <w:t>target not achieved</w:t>
            </w:r>
          </w:p>
        </w:tc>
      </w:tr>
      <w:tr w:rsidR="002F04D9" w:rsidTr="002F04D9">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 Achieving Expected Growth</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62.7</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2F04D9" w:rsidRDefault="002F04D9">
            <w:pPr>
              <w:jc w:val="center"/>
              <w:rPr>
                <w:rFonts w:eastAsiaTheme="minorHAnsi"/>
              </w:rPr>
            </w:pPr>
            <w:r>
              <w:t>60.3</w:t>
            </w:r>
          </w:p>
        </w:tc>
        <w:tc>
          <w:tcPr>
            <w:tcW w:w="2526" w:type="dxa"/>
            <w:vMerge/>
            <w:tcBorders>
              <w:top w:val="nil"/>
              <w:left w:val="nil"/>
              <w:bottom w:val="single" w:sz="8" w:space="0" w:color="auto"/>
              <w:right w:val="single" w:sz="8" w:space="0" w:color="auto"/>
            </w:tcBorders>
            <w:shd w:val="clear" w:color="auto" w:fill="F7CAAC" w:themeFill="accent2" w:themeFillTint="66"/>
            <w:vAlign w:val="center"/>
            <w:hideMark/>
          </w:tcPr>
          <w:p w:rsidR="002F04D9" w:rsidRDefault="002F04D9">
            <w:pPr>
              <w:rPr>
                <w:rFonts w:eastAsiaTheme="minorHAnsi"/>
                <w:b/>
                <w:bCs/>
              </w:rPr>
            </w:pPr>
          </w:p>
        </w:tc>
      </w:tr>
    </w:tbl>
    <w:p w:rsidR="00760377" w:rsidRDefault="00760377" w:rsidP="00760377">
      <w:pPr>
        <w:pStyle w:val="Heading3"/>
      </w:pPr>
      <w:r>
        <w:lastRenderedPageBreak/>
        <w:t>Progress</w:t>
      </w:r>
    </w:p>
    <w:p w:rsidR="00306304" w:rsidRPr="003C12D7" w:rsidRDefault="00306304" w:rsidP="00306304">
      <w:pPr>
        <w:pStyle w:val="NormalWeb"/>
        <w:spacing w:before="0" w:beforeAutospacing="0" w:after="0" w:afterAutospacing="0"/>
        <w:rPr>
          <w:rFonts w:ascii="Arial" w:hAnsi="Arial" w:cs="Arial"/>
          <w:sz w:val="22"/>
          <w:szCs w:val="22"/>
        </w:rPr>
      </w:pPr>
      <w:r w:rsidRPr="003C12D7">
        <w:rPr>
          <w:rFonts w:ascii="Arial" w:hAnsi="Arial" w:cs="Arial"/>
          <w:color w:val="000000"/>
          <w:sz w:val="22"/>
          <w:szCs w:val="22"/>
        </w:rPr>
        <w:t>Putting faces on the data - This was new for secondary sector. Leadership team looked at how many underperforming students there were, in Year 7 - 10, based on grades in each faculty. This was then used to determine effective support for students.</w:t>
      </w:r>
    </w:p>
    <w:p w:rsidR="00306304" w:rsidRPr="003C12D7" w:rsidRDefault="00306304" w:rsidP="00306304">
      <w:pPr>
        <w:pStyle w:val="NormalWeb"/>
        <w:spacing w:before="0" w:beforeAutospacing="0" w:after="0" w:afterAutospacing="0"/>
        <w:rPr>
          <w:rFonts w:ascii="Arial" w:hAnsi="Arial" w:cs="Arial"/>
          <w:sz w:val="22"/>
          <w:szCs w:val="22"/>
        </w:rPr>
      </w:pPr>
      <w:r w:rsidRPr="003C12D7">
        <w:rPr>
          <w:rFonts w:ascii="Arial" w:hAnsi="Arial" w:cs="Arial"/>
          <w:color w:val="000000"/>
          <w:sz w:val="22"/>
          <w:szCs w:val="22"/>
        </w:rPr>
        <w:t xml:space="preserve">Teams have also been looking at assessment tasks critically - using Flesch Kincaid  tools to determine reading levels. This has enabled teaching teams to develop assessment that is more accessible to students. </w:t>
      </w:r>
    </w:p>
    <w:p w:rsidR="00306304" w:rsidRPr="003C12D7" w:rsidRDefault="00306304" w:rsidP="00306304">
      <w:pPr>
        <w:rPr>
          <w:rFonts w:ascii="Arial" w:hAnsi="Arial" w:cs="Arial"/>
        </w:rPr>
      </w:pPr>
    </w:p>
    <w:p w:rsidR="00306304" w:rsidRPr="003C12D7" w:rsidRDefault="00306304" w:rsidP="00306304">
      <w:pPr>
        <w:pStyle w:val="NormalWeb"/>
        <w:spacing w:before="0" w:beforeAutospacing="0" w:after="0" w:afterAutospacing="0"/>
        <w:rPr>
          <w:rFonts w:ascii="Arial" w:hAnsi="Arial" w:cs="Arial"/>
          <w:sz w:val="22"/>
          <w:szCs w:val="22"/>
        </w:rPr>
      </w:pPr>
      <w:r w:rsidRPr="003C12D7">
        <w:rPr>
          <w:rFonts w:ascii="Arial" w:hAnsi="Arial" w:cs="Arial"/>
          <w:color w:val="000000"/>
          <w:sz w:val="22"/>
          <w:szCs w:val="22"/>
        </w:rPr>
        <w:t>PAT testing has been done for numeracy, reading and vocabulary in Term 4. This data will be added to the existing data to see progress. Results from ability testing is also recorded each year centrally and used to establish Apollo Program classes in Year 3 -10 each year. Data is added to existing data to develop ongoing student profiles.</w:t>
      </w:r>
    </w:p>
    <w:p w:rsidR="00306304" w:rsidRPr="003C12D7" w:rsidRDefault="00306304" w:rsidP="00306304">
      <w:pPr>
        <w:rPr>
          <w:rFonts w:ascii="Arial" w:hAnsi="Arial" w:cs="Arial"/>
        </w:rPr>
      </w:pPr>
    </w:p>
    <w:p w:rsidR="00306304" w:rsidRPr="003C12D7" w:rsidRDefault="00306304" w:rsidP="00306304">
      <w:pPr>
        <w:pStyle w:val="NormalWeb"/>
        <w:spacing w:before="0" w:beforeAutospacing="0" w:after="0" w:afterAutospacing="0"/>
        <w:rPr>
          <w:rFonts w:ascii="Arial" w:hAnsi="Arial" w:cs="Arial"/>
          <w:sz w:val="22"/>
          <w:szCs w:val="22"/>
        </w:rPr>
      </w:pPr>
      <w:r w:rsidRPr="003C12D7">
        <w:rPr>
          <w:rFonts w:ascii="Arial" w:hAnsi="Arial" w:cs="Arial"/>
          <w:color w:val="000000"/>
          <w:sz w:val="22"/>
          <w:szCs w:val="22"/>
        </w:rPr>
        <w:t xml:space="preserve">Faculties in secondary school have developed either a literacy or numeracy focus during their PLT times. Once a fortnight teams met to look at progress and discuss how the strategies have impacted on student learning. Successes have been shared at whole school “teach meets”. </w:t>
      </w:r>
    </w:p>
    <w:p w:rsidR="00306304" w:rsidRPr="003C12D7" w:rsidRDefault="00306304" w:rsidP="00306304">
      <w:pPr>
        <w:rPr>
          <w:rFonts w:ascii="Arial" w:hAnsi="Arial" w:cs="Arial"/>
        </w:rPr>
      </w:pPr>
    </w:p>
    <w:p w:rsidR="00306304" w:rsidRPr="003C12D7" w:rsidRDefault="00306304" w:rsidP="00306304">
      <w:pPr>
        <w:pStyle w:val="NormalWeb"/>
        <w:spacing w:before="0" w:beforeAutospacing="0" w:after="0" w:afterAutospacing="0"/>
        <w:rPr>
          <w:rFonts w:ascii="Arial" w:hAnsi="Arial" w:cs="Arial"/>
          <w:sz w:val="22"/>
          <w:szCs w:val="22"/>
        </w:rPr>
      </w:pPr>
      <w:r w:rsidRPr="003C12D7">
        <w:rPr>
          <w:rFonts w:ascii="Arial" w:hAnsi="Arial" w:cs="Arial"/>
          <w:color w:val="000000"/>
          <w:sz w:val="22"/>
          <w:szCs w:val="22"/>
        </w:rPr>
        <w:t xml:space="preserve">A scope and sequence has been developed P-10 to map key units and assessments. This has been set up as a collaborative document that teams can use each year to reflect and refine. At this stage it has been completed by all the core areas with the idea that electives will be added in 2018. </w:t>
      </w:r>
    </w:p>
    <w:p w:rsidR="00306304" w:rsidRPr="003C12D7" w:rsidRDefault="00306304" w:rsidP="00306304">
      <w:pPr>
        <w:rPr>
          <w:rFonts w:ascii="Arial" w:hAnsi="Arial" w:cs="Arial"/>
        </w:rPr>
      </w:pPr>
    </w:p>
    <w:p w:rsidR="00306304" w:rsidRDefault="00306304" w:rsidP="001050BE">
      <w:pPr>
        <w:pStyle w:val="NormalWeb"/>
        <w:spacing w:before="0" w:beforeAutospacing="0" w:after="0" w:afterAutospacing="0"/>
        <w:rPr>
          <w:rFonts w:ascii="Arial" w:hAnsi="Arial" w:cs="Arial"/>
          <w:color w:val="000000"/>
          <w:sz w:val="22"/>
          <w:szCs w:val="22"/>
        </w:rPr>
      </w:pPr>
      <w:r w:rsidRPr="003C12D7">
        <w:rPr>
          <w:rFonts w:ascii="Arial" w:hAnsi="Arial" w:cs="Arial"/>
          <w:color w:val="000000"/>
          <w:sz w:val="22"/>
          <w:szCs w:val="22"/>
        </w:rPr>
        <w:t xml:space="preserve">Secondary sector has commenced the journey of the gradual release of responsibility model in assessment through the development of the new assessment policy, which has been communicated with staff, students and parents. Some work has commenced on reading about extending this approach in classroom practice. </w:t>
      </w:r>
    </w:p>
    <w:p w:rsidR="001050BE" w:rsidRPr="003C12D7" w:rsidRDefault="001050BE" w:rsidP="001050BE">
      <w:pPr>
        <w:pStyle w:val="NormalWeb"/>
        <w:spacing w:before="0" w:beforeAutospacing="0" w:after="0" w:afterAutospacing="0"/>
        <w:rPr>
          <w:rFonts w:ascii="Arial" w:hAnsi="Arial" w:cs="Arial"/>
          <w:sz w:val="22"/>
          <w:szCs w:val="22"/>
        </w:rPr>
      </w:pPr>
    </w:p>
    <w:p w:rsidR="00306304" w:rsidRPr="003C12D7" w:rsidRDefault="00306304" w:rsidP="00306304">
      <w:pPr>
        <w:pStyle w:val="NormalWeb"/>
        <w:spacing w:before="0" w:beforeAutospacing="0" w:after="0" w:afterAutospacing="0"/>
        <w:rPr>
          <w:rFonts w:ascii="Arial" w:hAnsi="Arial" w:cs="Arial"/>
          <w:sz w:val="22"/>
          <w:szCs w:val="22"/>
        </w:rPr>
      </w:pPr>
      <w:r w:rsidRPr="003C12D7">
        <w:rPr>
          <w:rFonts w:ascii="Arial" w:hAnsi="Arial" w:cs="Arial"/>
          <w:color w:val="000000"/>
          <w:sz w:val="22"/>
          <w:szCs w:val="22"/>
        </w:rPr>
        <w:t>PANL (Principals as Numeracy Leaders)</w:t>
      </w:r>
      <w:r w:rsidRPr="003C12D7">
        <w:rPr>
          <w:rFonts w:ascii="Arial" w:hAnsi="Arial" w:cs="Arial"/>
          <w:sz w:val="22"/>
          <w:szCs w:val="22"/>
        </w:rPr>
        <w:t xml:space="preserve"> - </w:t>
      </w:r>
      <w:r w:rsidRPr="003C12D7">
        <w:rPr>
          <w:rFonts w:ascii="Arial" w:hAnsi="Arial" w:cs="Arial"/>
          <w:color w:val="000000"/>
          <w:sz w:val="22"/>
          <w:szCs w:val="22"/>
        </w:rPr>
        <w:t>The PANL team were involved in 4 days of Professional Learning, PANL Slam sharing afternoon at HBCTL and the PANL open week. As a result of the training the PANL team with some teacher leaders have led all primary teachers through 5 professional learning afternoons. The goal was to develop the pedagogical content knowledge, confidence and creativity of all our staff.</w:t>
      </w:r>
    </w:p>
    <w:p w:rsidR="00306304" w:rsidRPr="003C12D7" w:rsidRDefault="00306304" w:rsidP="00306304">
      <w:pPr>
        <w:rPr>
          <w:rFonts w:ascii="Arial" w:hAnsi="Arial" w:cs="Arial"/>
        </w:rPr>
      </w:pPr>
    </w:p>
    <w:p w:rsidR="00306304" w:rsidRDefault="001050BE" w:rsidP="001050B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Pedagogical framework</w:t>
      </w:r>
      <w:r w:rsidR="00306304" w:rsidRPr="003C12D7">
        <w:rPr>
          <w:rFonts w:ascii="Arial" w:hAnsi="Arial" w:cs="Arial"/>
          <w:sz w:val="22"/>
          <w:szCs w:val="22"/>
        </w:rPr>
        <w:t xml:space="preserve"> - </w:t>
      </w:r>
      <w:r w:rsidR="00306304" w:rsidRPr="003C12D7">
        <w:rPr>
          <w:rFonts w:ascii="Arial" w:hAnsi="Arial" w:cs="Arial"/>
          <w:color w:val="000000"/>
          <w:sz w:val="22"/>
          <w:szCs w:val="22"/>
        </w:rPr>
        <w:t xml:space="preserve">The primary executive team have </w:t>
      </w:r>
      <w:r w:rsidR="003C12D7" w:rsidRPr="003C12D7">
        <w:rPr>
          <w:rFonts w:ascii="Arial" w:hAnsi="Arial" w:cs="Arial"/>
          <w:color w:val="000000"/>
          <w:sz w:val="22"/>
          <w:szCs w:val="22"/>
        </w:rPr>
        <w:t xml:space="preserve">created a pedagogical framework </w:t>
      </w:r>
      <w:r w:rsidR="00306304" w:rsidRPr="003C12D7">
        <w:rPr>
          <w:rFonts w:ascii="Arial" w:hAnsi="Arial" w:cs="Arial"/>
          <w:color w:val="000000"/>
          <w:sz w:val="22"/>
          <w:szCs w:val="22"/>
        </w:rPr>
        <w:t xml:space="preserve">document that creates the structure around the philosophy of teaching and learning at Amaroo School. It is a set of guidelines relating to the quality teacher practice and represents the way we teach at Amaroo School so that all students can reach their full potential. We believe that effective pedagogy is the shaping force that will ensure our students collaborate, create, communicate and are critical thinkers. </w:t>
      </w:r>
    </w:p>
    <w:p w:rsidR="001050BE" w:rsidRPr="003C12D7" w:rsidRDefault="001050BE" w:rsidP="001050BE">
      <w:pPr>
        <w:pStyle w:val="NormalWeb"/>
        <w:spacing w:before="0" w:beforeAutospacing="0" w:after="0" w:afterAutospacing="0"/>
        <w:rPr>
          <w:rFonts w:ascii="Arial" w:hAnsi="Arial" w:cs="Arial"/>
          <w:sz w:val="22"/>
          <w:szCs w:val="22"/>
        </w:rPr>
      </w:pPr>
    </w:p>
    <w:p w:rsidR="00306304" w:rsidRPr="003C12D7" w:rsidRDefault="00306304" w:rsidP="00306304">
      <w:pPr>
        <w:pStyle w:val="NormalWeb"/>
        <w:spacing w:before="0" w:beforeAutospacing="0" w:after="0" w:afterAutospacing="0"/>
        <w:rPr>
          <w:rFonts w:ascii="Arial" w:hAnsi="Arial" w:cs="Arial"/>
          <w:sz w:val="22"/>
          <w:szCs w:val="22"/>
        </w:rPr>
      </w:pPr>
      <w:r w:rsidRPr="003C12D7">
        <w:rPr>
          <w:rFonts w:ascii="Arial" w:hAnsi="Arial" w:cs="Arial"/>
          <w:bCs/>
          <w:color w:val="000000"/>
          <w:sz w:val="22"/>
          <w:szCs w:val="22"/>
        </w:rPr>
        <w:t>Reading P-6 data analysis (specific action)</w:t>
      </w:r>
      <w:r w:rsidR="003C12D7" w:rsidRPr="003C12D7">
        <w:rPr>
          <w:rFonts w:ascii="Arial" w:hAnsi="Arial" w:cs="Arial"/>
          <w:sz w:val="22"/>
          <w:szCs w:val="22"/>
        </w:rPr>
        <w:t xml:space="preserve"> - </w:t>
      </w:r>
      <w:r w:rsidRPr="003C12D7">
        <w:rPr>
          <w:rFonts w:ascii="Arial" w:hAnsi="Arial" w:cs="Arial"/>
          <w:color w:val="000000"/>
          <w:sz w:val="22"/>
          <w:szCs w:val="22"/>
        </w:rPr>
        <w:t>Through the established culture of Professional Learning Teams in P-6, the staff have engaged in a body of work to articulate and develop the teaching and learning of reading. A strategy to support this was to develop a ‘Reading Standards’ guide.  This guide and supporting documentation articulates the importance of understanding the purpose, marking systems and reliability of the assessment to inform teaching, as a result. The Amaroo Reading Standards guide clearly states the benchmark result range for all year groups as well as a rubric that outlines student reading comprehension ability in A-E range. This directly supports A-E reporting and gives staff a guide to follow with clear markers of ability per grade.</w:t>
      </w:r>
    </w:p>
    <w:p w:rsidR="00306304" w:rsidRPr="003C12D7" w:rsidRDefault="00306304" w:rsidP="00306304">
      <w:pPr>
        <w:rPr>
          <w:rFonts w:ascii="Arial" w:hAnsi="Arial" w:cs="Arial"/>
        </w:rPr>
      </w:pPr>
    </w:p>
    <w:p w:rsidR="00306304" w:rsidRPr="003C12D7" w:rsidRDefault="00306304" w:rsidP="00306304">
      <w:pPr>
        <w:pStyle w:val="NormalWeb"/>
        <w:spacing w:before="0" w:beforeAutospacing="0" w:after="0" w:afterAutospacing="0"/>
        <w:rPr>
          <w:rFonts w:ascii="Arial" w:hAnsi="Arial" w:cs="Arial"/>
          <w:sz w:val="22"/>
          <w:szCs w:val="22"/>
        </w:rPr>
      </w:pPr>
      <w:r w:rsidRPr="003C12D7">
        <w:rPr>
          <w:rFonts w:ascii="Arial" w:hAnsi="Arial" w:cs="Arial"/>
          <w:color w:val="000000"/>
          <w:sz w:val="22"/>
          <w:szCs w:val="22"/>
        </w:rPr>
        <w:lastRenderedPageBreak/>
        <w:t>Teams within PLTs continue to develop reading SMART goals each term. They use the benchmark results to determine areas for targeted attention, identifying key actions and timeframes to improve reading achievement.   </w:t>
      </w:r>
    </w:p>
    <w:p w:rsidR="00306304" w:rsidRPr="003C12D7" w:rsidRDefault="00306304" w:rsidP="00306304">
      <w:pPr>
        <w:rPr>
          <w:rFonts w:ascii="Arial" w:hAnsi="Arial" w:cs="Arial"/>
        </w:rPr>
      </w:pPr>
    </w:p>
    <w:p w:rsidR="00306304" w:rsidRPr="003C12D7" w:rsidRDefault="001050BE" w:rsidP="00306304">
      <w:pPr>
        <w:pStyle w:val="NormalWeb"/>
        <w:spacing w:before="0" w:beforeAutospacing="0" w:after="0" w:afterAutospacing="0"/>
        <w:rPr>
          <w:rFonts w:ascii="Arial" w:hAnsi="Arial" w:cs="Arial"/>
          <w:sz w:val="22"/>
          <w:szCs w:val="22"/>
        </w:rPr>
      </w:pPr>
      <w:r>
        <w:rPr>
          <w:rFonts w:ascii="Arial" w:hAnsi="Arial" w:cs="Arial"/>
          <w:bCs/>
          <w:color w:val="000000"/>
          <w:sz w:val="22"/>
          <w:szCs w:val="22"/>
        </w:rPr>
        <w:t>Vertical C</w:t>
      </w:r>
      <w:r w:rsidR="00306304" w:rsidRPr="001050BE">
        <w:rPr>
          <w:rFonts w:ascii="Arial" w:hAnsi="Arial" w:cs="Arial"/>
          <w:bCs/>
          <w:color w:val="000000"/>
          <w:sz w:val="22"/>
          <w:szCs w:val="22"/>
        </w:rPr>
        <w:t>urriculum (Specific action)</w:t>
      </w:r>
      <w:r w:rsidRPr="001050BE">
        <w:rPr>
          <w:rFonts w:ascii="Arial" w:hAnsi="Arial" w:cs="Arial"/>
          <w:sz w:val="22"/>
          <w:szCs w:val="22"/>
        </w:rPr>
        <w:t xml:space="preserve"> - </w:t>
      </w:r>
      <w:r w:rsidR="00306304" w:rsidRPr="001050BE">
        <w:rPr>
          <w:rFonts w:ascii="Arial" w:hAnsi="Arial" w:cs="Arial"/>
          <w:color w:val="000000"/>
          <w:sz w:val="22"/>
          <w:szCs w:val="22"/>
        </w:rPr>
        <w:t>In 2017</w:t>
      </w:r>
      <w:r>
        <w:rPr>
          <w:rFonts w:ascii="Arial" w:hAnsi="Arial" w:cs="Arial"/>
          <w:color w:val="000000"/>
          <w:sz w:val="22"/>
          <w:szCs w:val="22"/>
        </w:rPr>
        <w:t xml:space="preserve"> the P-6 staff:</w:t>
      </w:r>
    </w:p>
    <w:p w:rsidR="00306304" w:rsidRPr="003C12D7" w:rsidRDefault="00306304" w:rsidP="00306304">
      <w:pPr>
        <w:pStyle w:val="NormalWeb"/>
        <w:numPr>
          <w:ilvl w:val="0"/>
          <w:numId w:val="21"/>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 xml:space="preserve">developed 4 agreed overarching beliefs about reading practice </w:t>
      </w:r>
    </w:p>
    <w:p w:rsidR="00306304" w:rsidRPr="003C12D7" w:rsidRDefault="00306304" w:rsidP="00306304">
      <w:pPr>
        <w:pStyle w:val="NormalWeb"/>
        <w:numPr>
          <w:ilvl w:val="0"/>
          <w:numId w:val="21"/>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articulated how our beliefs in the teaching of reading transform into actions in classroom practice</w:t>
      </w:r>
    </w:p>
    <w:p w:rsidR="00306304" w:rsidRPr="003C12D7" w:rsidRDefault="00306304" w:rsidP="00306304">
      <w:pPr>
        <w:pStyle w:val="NormalWeb"/>
        <w:numPr>
          <w:ilvl w:val="0"/>
          <w:numId w:val="21"/>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Implemented Phase 1 the Amaroo Reading Curriculum (ARC 2016) through unpacking our vertically aligned reading curriculum</w:t>
      </w:r>
    </w:p>
    <w:p w:rsidR="00306304" w:rsidRPr="003C12D7" w:rsidRDefault="00306304" w:rsidP="00306304">
      <w:pPr>
        <w:pStyle w:val="NormalWeb"/>
        <w:numPr>
          <w:ilvl w:val="0"/>
          <w:numId w:val="21"/>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mapped year level ‘Pacing guides’ when the reading content would be taught throughout the year, with explicit reading strategies to be taught, teaching ideas and mentor texts (resources) to support</w:t>
      </w:r>
    </w:p>
    <w:p w:rsidR="00306304" w:rsidRPr="003C12D7" w:rsidRDefault="00306304" w:rsidP="00306304">
      <w:pPr>
        <w:pStyle w:val="NormalWeb"/>
        <w:numPr>
          <w:ilvl w:val="0"/>
          <w:numId w:val="21"/>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Created a teacher leader  group called the ‘Bookworms’ who are charged with being the ‘expert’ and key support of the implementation of the ARC within their own teams</w:t>
      </w:r>
    </w:p>
    <w:p w:rsidR="00306304" w:rsidRPr="003C12D7" w:rsidRDefault="00306304" w:rsidP="00306304">
      <w:pPr>
        <w:rPr>
          <w:rFonts w:ascii="Arial" w:hAnsi="Arial" w:cs="Arial"/>
        </w:rPr>
      </w:pPr>
    </w:p>
    <w:p w:rsidR="003C12D7" w:rsidRDefault="003C12D7" w:rsidP="003C12D7">
      <w:pPr>
        <w:pStyle w:val="Heading2"/>
        <w:spacing w:after="80"/>
      </w:pPr>
      <w:r>
        <w:rPr>
          <w:color w:val="000000"/>
          <w:sz w:val="24"/>
          <w:szCs w:val="24"/>
        </w:rPr>
        <w:t>Other great actions competed this year in reading and numeracy</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Amaroo Reading Logs introduced in K-4</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Reading Rooms established K-2, 3-6</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K-6 Reading Awards for 100 (book for first 10 students) and 200 nights</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K-6 Reading Awards each term - BookFace sponsorship</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Teacher Coaching- reading focus</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Reading Intervention (ongoing, targeting students below benchmarks)</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Numeracy Intervention (new stem of targeted support)</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‘Writers’ Club’ in break times, writing stories to give to the Mornington Street Early Learning Centre</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Secondary sector Maths help B2 every Friday</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Improved participation and results in the ICAS competitions</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AmCares After School Assessment Centre every Thursday afternoon and Friday morning</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Commonwealth Bank Start Smart talks for students 7 - 10</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Year 7 World of Maths  day</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Three secondary teams in Tournament of the Minds</w:t>
      </w:r>
    </w:p>
    <w:p w:rsidR="003C12D7" w:rsidRPr="003C12D7" w:rsidRDefault="003C12D7" w:rsidP="003C12D7">
      <w:pPr>
        <w:pStyle w:val="NormalWeb"/>
        <w:numPr>
          <w:ilvl w:val="0"/>
          <w:numId w:val="22"/>
        </w:numPr>
        <w:spacing w:before="0" w:beforeAutospacing="0" w:after="0" w:afterAutospacing="0"/>
        <w:textAlignment w:val="baseline"/>
        <w:rPr>
          <w:rFonts w:ascii="Arial" w:hAnsi="Arial" w:cs="Arial"/>
          <w:color w:val="000000"/>
          <w:sz w:val="22"/>
          <w:szCs w:val="22"/>
        </w:rPr>
      </w:pPr>
      <w:r w:rsidRPr="003C12D7">
        <w:rPr>
          <w:rFonts w:ascii="Arial" w:hAnsi="Arial" w:cs="Arial"/>
          <w:color w:val="000000"/>
          <w:sz w:val="22"/>
          <w:szCs w:val="22"/>
        </w:rPr>
        <w:t>Two secondary teams in the “Writer for A Day” competition</w:t>
      </w:r>
    </w:p>
    <w:p w:rsidR="00306304" w:rsidRPr="003C12D7" w:rsidRDefault="00306304" w:rsidP="00306304">
      <w:pPr>
        <w:rPr>
          <w:rFonts w:ascii="Arial" w:hAnsi="Arial" w:cs="Arial"/>
        </w:rPr>
      </w:pPr>
    </w:p>
    <w:p w:rsidR="00A82C4F" w:rsidRPr="00A82C4F" w:rsidRDefault="00A82C4F" w:rsidP="00A82C4F">
      <w:pPr>
        <w:pStyle w:val="BodyText"/>
        <w:rPr>
          <w:lang w:val="en-AU"/>
        </w:rPr>
      </w:pPr>
    </w:p>
    <w:p w:rsidR="00A82C4F" w:rsidRDefault="00A82C4F" w:rsidP="00760377">
      <w:pPr>
        <w:pStyle w:val="BodyText"/>
        <w:ind w:left="720"/>
        <w:rPr>
          <w:rFonts w:ascii="Calibri" w:eastAsia="Calibri" w:hAnsi="Calibri"/>
          <w:sz w:val="24"/>
          <w:szCs w:val="24"/>
        </w:rPr>
      </w:pPr>
    </w:p>
    <w:sectPr w:rsidR="00A82C4F" w:rsidSect="00A003A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CF" w:rsidRDefault="00732FCF" w:rsidP="00BE27A0">
      <w:pPr>
        <w:spacing w:line="240" w:lineRule="auto"/>
      </w:pPr>
      <w:r>
        <w:separator/>
      </w:r>
    </w:p>
  </w:endnote>
  <w:endnote w:type="continuationSeparator" w:id="0">
    <w:p w:rsidR="00732FCF" w:rsidRDefault="00732FCF"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08135"/>
      <w:docPartObj>
        <w:docPartGallery w:val="Page Numbers (Bottom of Page)"/>
        <w:docPartUnique/>
      </w:docPartObj>
    </w:sdtPr>
    <w:sdtEndPr>
      <w:rPr>
        <w:noProof/>
      </w:rPr>
    </w:sdtEndPr>
    <w:sdtContent>
      <w:p w:rsidR="00820E01" w:rsidRDefault="00820E01" w:rsidP="00820E01">
        <w:pPr>
          <w:pStyle w:val="Footer"/>
          <w:jc w:val="center"/>
        </w:pPr>
        <w:r>
          <w:t xml:space="preserve">Page | </w:t>
        </w:r>
        <w:r>
          <w:fldChar w:fldCharType="begin"/>
        </w:r>
        <w:r>
          <w:instrText xml:space="preserve"> PAGE   \* MERGEFORMAT </w:instrText>
        </w:r>
        <w:r>
          <w:fldChar w:fldCharType="separate"/>
        </w:r>
        <w:r w:rsidR="00CC667F">
          <w:rPr>
            <w:noProof/>
          </w:rPr>
          <w:t>2</w:t>
        </w:r>
        <w:r>
          <w:rPr>
            <w:noProof/>
          </w:rPr>
          <w:fldChar w:fldCharType="end"/>
        </w:r>
      </w:p>
    </w:sdtContent>
  </w:sdt>
  <w:p w:rsidR="00FE3AAA" w:rsidRDefault="00FE3AAA" w:rsidP="0041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CF" w:rsidRDefault="00732FCF" w:rsidP="00BE27A0">
      <w:pPr>
        <w:spacing w:line="240" w:lineRule="auto"/>
      </w:pPr>
      <w:r>
        <w:separator/>
      </w:r>
    </w:p>
  </w:footnote>
  <w:footnote w:type="continuationSeparator" w:id="0">
    <w:p w:rsidR="00732FCF" w:rsidRDefault="00732FCF" w:rsidP="00BE2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A0E2E0"/>
    <w:lvl w:ilvl="0">
      <w:start w:val="1"/>
      <w:numFmt w:val="decimal"/>
      <w:lvlText w:val="%1."/>
      <w:lvlJc w:val="left"/>
      <w:pPr>
        <w:tabs>
          <w:tab w:val="num" w:pos="1492"/>
        </w:tabs>
        <w:ind w:left="1492" w:hanging="360"/>
      </w:pPr>
    </w:lvl>
  </w:abstractNum>
  <w:abstractNum w:abstractNumId="1">
    <w:nsid w:val="FFFFFF7D"/>
    <w:multiLevelType w:val="singleLevel"/>
    <w:tmpl w:val="474A515E"/>
    <w:lvl w:ilvl="0">
      <w:start w:val="1"/>
      <w:numFmt w:val="decimal"/>
      <w:lvlText w:val="%1."/>
      <w:lvlJc w:val="left"/>
      <w:pPr>
        <w:tabs>
          <w:tab w:val="num" w:pos="1209"/>
        </w:tabs>
        <w:ind w:left="1209" w:hanging="360"/>
      </w:pPr>
    </w:lvl>
  </w:abstractNum>
  <w:abstractNum w:abstractNumId="2">
    <w:nsid w:val="FFFFFF7E"/>
    <w:multiLevelType w:val="singleLevel"/>
    <w:tmpl w:val="85FCBABE"/>
    <w:lvl w:ilvl="0">
      <w:start w:val="1"/>
      <w:numFmt w:val="decimal"/>
      <w:lvlText w:val="%1."/>
      <w:lvlJc w:val="left"/>
      <w:pPr>
        <w:tabs>
          <w:tab w:val="num" w:pos="926"/>
        </w:tabs>
        <w:ind w:left="926" w:hanging="360"/>
      </w:pPr>
    </w:lvl>
  </w:abstractNum>
  <w:abstractNum w:abstractNumId="3">
    <w:nsid w:val="FFFFFF7F"/>
    <w:multiLevelType w:val="singleLevel"/>
    <w:tmpl w:val="29AE7CCE"/>
    <w:lvl w:ilvl="0">
      <w:start w:val="1"/>
      <w:numFmt w:val="decimal"/>
      <w:lvlText w:val="%1."/>
      <w:lvlJc w:val="left"/>
      <w:pPr>
        <w:tabs>
          <w:tab w:val="num" w:pos="643"/>
        </w:tabs>
        <w:ind w:left="643" w:hanging="360"/>
      </w:pPr>
    </w:lvl>
  </w:abstractNum>
  <w:abstractNum w:abstractNumId="4">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nsid w:val="FFFFFF88"/>
    <w:multiLevelType w:val="singleLevel"/>
    <w:tmpl w:val="4BCAF0BE"/>
    <w:lvl w:ilvl="0">
      <w:start w:val="1"/>
      <w:numFmt w:val="decimal"/>
      <w:lvlText w:val="%1."/>
      <w:lvlJc w:val="left"/>
      <w:pPr>
        <w:tabs>
          <w:tab w:val="num" w:pos="360"/>
        </w:tabs>
        <w:ind w:left="360" w:hanging="360"/>
      </w:pPr>
    </w:lvl>
  </w:abstractNum>
  <w:abstractNum w:abstractNumId="9">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nsid w:val="090E178E"/>
    <w:multiLevelType w:val="hybridMultilevel"/>
    <w:tmpl w:val="BA863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517F0B"/>
    <w:multiLevelType w:val="hybridMultilevel"/>
    <w:tmpl w:val="4B823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E82DE1"/>
    <w:multiLevelType w:val="multilevel"/>
    <w:tmpl w:val="BEA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67192"/>
    <w:multiLevelType w:val="hybridMultilevel"/>
    <w:tmpl w:val="6D667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3D74FF"/>
    <w:multiLevelType w:val="multilevel"/>
    <w:tmpl w:val="33D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211B6A"/>
    <w:multiLevelType w:val="hybridMultilevel"/>
    <w:tmpl w:val="DA16F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CD2508"/>
    <w:multiLevelType w:val="hybridMultilevel"/>
    <w:tmpl w:val="6E10DF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864346"/>
    <w:multiLevelType w:val="multilevel"/>
    <w:tmpl w:val="0E8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681CFE"/>
    <w:multiLevelType w:val="hybridMultilevel"/>
    <w:tmpl w:val="C0EC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1"/>
  </w:num>
  <w:num w:numId="15">
    <w:abstractNumId w:val="19"/>
  </w:num>
  <w:num w:numId="16">
    <w:abstractNumId w:val="13"/>
  </w:num>
  <w:num w:numId="17">
    <w:abstractNumId w:val="10"/>
  </w:num>
  <w:num w:numId="18">
    <w:abstractNumId w:val="11"/>
  </w:num>
  <w:num w:numId="19">
    <w:abstractNumId w:val="17"/>
  </w:num>
  <w:num w:numId="20">
    <w:abstractNumId w:val="12"/>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22"/>
    <w:rsid w:val="0002157B"/>
    <w:rsid w:val="000443D7"/>
    <w:rsid w:val="000B0E12"/>
    <w:rsid w:val="000C33F1"/>
    <w:rsid w:val="000D5BEC"/>
    <w:rsid w:val="000F3108"/>
    <w:rsid w:val="001050BE"/>
    <w:rsid w:val="001205F6"/>
    <w:rsid w:val="00156D9A"/>
    <w:rsid w:val="001619BA"/>
    <w:rsid w:val="00164E63"/>
    <w:rsid w:val="0016711F"/>
    <w:rsid w:val="001E7B01"/>
    <w:rsid w:val="0020237C"/>
    <w:rsid w:val="00227B66"/>
    <w:rsid w:val="002471F7"/>
    <w:rsid w:val="002576D6"/>
    <w:rsid w:val="00257FFE"/>
    <w:rsid w:val="002636B7"/>
    <w:rsid w:val="002C310E"/>
    <w:rsid w:val="002F04D9"/>
    <w:rsid w:val="002F3376"/>
    <w:rsid w:val="00306304"/>
    <w:rsid w:val="00314963"/>
    <w:rsid w:val="00325822"/>
    <w:rsid w:val="00370BBF"/>
    <w:rsid w:val="0038074C"/>
    <w:rsid w:val="003C12D7"/>
    <w:rsid w:val="003C7B83"/>
    <w:rsid w:val="003E22DD"/>
    <w:rsid w:val="003E7F93"/>
    <w:rsid w:val="00410177"/>
    <w:rsid w:val="00496621"/>
    <w:rsid w:val="004A5C91"/>
    <w:rsid w:val="00515C02"/>
    <w:rsid w:val="00561386"/>
    <w:rsid w:val="00595B80"/>
    <w:rsid w:val="005F0822"/>
    <w:rsid w:val="006459EE"/>
    <w:rsid w:val="00662881"/>
    <w:rsid w:val="00681220"/>
    <w:rsid w:val="00692DF0"/>
    <w:rsid w:val="006F45C9"/>
    <w:rsid w:val="00713C79"/>
    <w:rsid w:val="00732FCF"/>
    <w:rsid w:val="00735D3C"/>
    <w:rsid w:val="00760377"/>
    <w:rsid w:val="00764EB5"/>
    <w:rsid w:val="00773017"/>
    <w:rsid w:val="007967D2"/>
    <w:rsid w:val="007D36B1"/>
    <w:rsid w:val="007E749D"/>
    <w:rsid w:val="00820E01"/>
    <w:rsid w:val="008324B9"/>
    <w:rsid w:val="008A1B96"/>
    <w:rsid w:val="008E44EF"/>
    <w:rsid w:val="008F06C5"/>
    <w:rsid w:val="00926BE8"/>
    <w:rsid w:val="0094074B"/>
    <w:rsid w:val="00941B3D"/>
    <w:rsid w:val="00943DA1"/>
    <w:rsid w:val="00951C35"/>
    <w:rsid w:val="009876DA"/>
    <w:rsid w:val="009A1213"/>
    <w:rsid w:val="009B7256"/>
    <w:rsid w:val="009D5F85"/>
    <w:rsid w:val="00A003A0"/>
    <w:rsid w:val="00A20F6F"/>
    <w:rsid w:val="00A22F83"/>
    <w:rsid w:val="00A30B32"/>
    <w:rsid w:val="00A42F6D"/>
    <w:rsid w:val="00A765C4"/>
    <w:rsid w:val="00A76F1D"/>
    <w:rsid w:val="00A82C4F"/>
    <w:rsid w:val="00A876B2"/>
    <w:rsid w:val="00AB7852"/>
    <w:rsid w:val="00AB7CBC"/>
    <w:rsid w:val="00AD110E"/>
    <w:rsid w:val="00AF19B9"/>
    <w:rsid w:val="00B37F94"/>
    <w:rsid w:val="00B43D35"/>
    <w:rsid w:val="00B50816"/>
    <w:rsid w:val="00B5742E"/>
    <w:rsid w:val="00BA5279"/>
    <w:rsid w:val="00BE27A0"/>
    <w:rsid w:val="00BE4A52"/>
    <w:rsid w:val="00C35789"/>
    <w:rsid w:val="00C46246"/>
    <w:rsid w:val="00C83EEA"/>
    <w:rsid w:val="00CA129F"/>
    <w:rsid w:val="00CA1696"/>
    <w:rsid w:val="00CA76A1"/>
    <w:rsid w:val="00CC667F"/>
    <w:rsid w:val="00CD5632"/>
    <w:rsid w:val="00D3347A"/>
    <w:rsid w:val="00D50949"/>
    <w:rsid w:val="00D700C9"/>
    <w:rsid w:val="00DB69AA"/>
    <w:rsid w:val="00E07FAF"/>
    <w:rsid w:val="00E14542"/>
    <w:rsid w:val="00E35300"/>
    <w:rsid w:val="00E3732E"/>
    <w:rsid w:val="00E37DDD"/>
    <w:rsid w:val="00E47562"/>
    <w:rsid w:val="00E72C23"/>
    <w:rsid w:val="00E85652"/>
    <w:rsid w:val="00EA08AB"/>
    <w:rsid w:val="00EA1668"/>
    <w:rsid w:val="00EA5C81"/>
    <w:rsid w:val="00EB2FD9"/>
    <w:rsid w:val="00EC1600"/>
    <w:rsid w:val="00ED360E"/>
    <w:rsid w:val="00F13379"/>
    <w:rsid w:val="00F8264F"/>
    <w:rsid w:val="00F864DF"/>
    <w:rsid w:val="00FE3AAA"/>
    <w:rsid w:val="00FF5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paragraph" w:customStyle="1" w:styleId="Default">
    <w:name w:val="Default"/>
    <w:rsid w:val="005F0822"/>
    <w:pPr>
      <w:autoSpaceDE w:val="0"/>
      <w:autoSpaceDN w:val="0"/>
      <w:adjustRightInd w:val="0"/>
    </w:pPr>
    <w:rPr>
      <w:rFonts w:cs="Calibri"/>
      <w:color w:val="000000"/>
      <w:sz w:val="24"/>
      <w:szCs w:val="24"/>
    </w:rPr>
  </w:style>
  <w:style w:type="paragraph" w:styleId="ListParagraph">
    <w:name w:val="List Paragraph"/>
    <w:basedOn w:val="Normal"/>
    <w:uiPriority w:val="34"/>
    <w:qFormat/>
    <w:rsid w:val="00164E63"/>
    <w:pPr>
      <w:ind w:left="720"/>
      <w:contextualSpacing/>
    </w:pPr>
  </w:style>
  <w:style w:type="table" w:styleId="TableGrid">
    <w:name w:val="Table Grid"/>
    <w:basedOn w:val="TableNormal"/>
    <w:uiPriority w:val="59"/>
    <w:rsid w:val="00A2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129F"/>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paragraph" w:customStyle="1" w:styleId="Default">
    <w:name w:val="Default"/>
    <w:rsid w:val="005F0822"/>
    <w:pPr>
      <w:autoSpaceDE w:val="0"/>
      <w:autoSpaceDN w:val="0"/>
      <w:adjustRightInd w:val="0"/>
    </w:pPr>
    <w:rPr>
      <w:rFonts w:cs="Calibri"/>
      <w:color w:val="000000"/>
      <w:sz w:val="24"/>
      <w:szCs w:val="24"/>
    </w:rPr>
  </w:style>
  <w:style w:type="paragraph" w:styleId="ListParagraph">
    <w:name w:val="List Paragraph"/>
    <w:basedOn w:val="Normal"/>
    <w:uiPriority w:val="34"/>
    <w:qFormat/>
    <w:rsid w:val="00164E63"/>
    <w:pPr>
      <w:ind w:left="720"/>
      <w:contextualSpacing/>
    </w:pPr>
  </w:style>
  <w:style w:type="table" w:styleId="TableGrid">
    <w:name w:val="Table Grid"/>
    <w:basedOn w:val="TableNormal"/>
    <w:uiPriority w:val="59"/>
    <w:rsid w:val="00A2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129F"/>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291">
      <w:bodyDiv w:val="1"/>
      <w:marLeft w:val="0"/>
      <w:marRight w:val="0"/>
      <w:marTop w:val="0"/>
      <w:marBottom w:val="0"/>
      <w:divBdr>
        <w:top w:val="none" w:sz="0" w:space="0" w:color="auto"/>
        <w:left w:val="none" w:sz="0" w:space="0" w:color="auto"/>
        <w:bottom w:val="none" w:sz="0" w:space="0" w:color="auto"/>
        <w:right w:val="none" w:sz="0" w:space="0" w:color="auto"/>
      </w:divBdr>
    </w:div>
    <w:div w:id="242497642">
      <w:bodyDiv w:val="1"/>
      <w:marLeft w:val="0"/>
      <w:marRight w:val="0"/>
      <w:marTop w:val="0"/>
      <w:marBottom w:val="0"/>
      <w:divBdr>
        <w:top w:val="none" w:sz="0" w:space="0" w:color="auto"/>
        <w:left w:val="none" w:sz="0" w:space="0" w:color="auto"/>
        <w:bottom w:val="none" w:sz="0" w:space="0" w:color="auto"/>
        <w:right w:val="none" w:sz="0" w:space="0" w:color="auto"/>
      </w:divBdr>
    </w:div>
    <w:div w:id="853225921">
      <w:bodyDiv w:val="1"/>
      <w:marLeft w:val="0"/>
      <w:marRight w:val="0"/>
      <w:marTop w:val="0"/>
      <w:marBottom w:val="0"/>
      <w:divBdr>
        <w:top w:val="none" w:sz="0" w:space="0" w:color="auto"/>
        <w:left w:val="none" w:sz="0" w:space="0" w:color="auto"/>
        <w:bottom w:val="none" w:sz="0" w:space="0" w:color="auto"/>
        <w:right w:val="none" w:sz="0" w:space="0" w:color="auto"/>
      </w:divBdr>
      <w:divsChild>
        <w:div w:id="2005281840">
          <w:marLeft w:val="0"/>
          <w:marRight w:val="0"/>
          <w:marTop w:val="0"/>
          <w:marBottom w:val="0"/>
          <w:divBdr>
            <w:top w:val="none" w:sz="0" w:space="0" w:color="auto"/>
            <w:left w:val="none" w:sz="0" w:space="0" w:color="auto"/>
            <w:bottom w:val="none" w:sz="0" w:space="0" w:color="auto"/>
            <w:right w:val="none" w:sz="0" w:space="0" w:color="auto"/>
          </w:divBdr>
        </w:div>
      </w:divsChild>
    </w:div>
    <w:div w:id="1240793645">
      <w:bodyDiv w:val="1"/>
      <w:marLeft w:val="0"/>
      <w:marRight w:val="0"/>
      <w:marTop w:val="0"/>
      <w:marBottom w:val="0"/>
      <w:divBdr>
        <w:top w:val="none" w:sz="0" w:space="0" w:color="auto"/>
        <w:left w:val="none" w:sz="0" w:space="0" w:color="auto"/>
        <w:bottom w:val="none" w:sz="0" w:space="0" w:color="auto"/>
        <w:right w:val="none" w:sz="0" w:space="0" w:color="auto"/>
      </w:divBdr>
      <w:divsChild>
        <w:div w:id="1026517361">
          <w:marLeft w:val="0"/>
          <w:marRight w:val="0"/>
          <w:marTop w:val="0"/>
          <w:marBottom w:val="0"/>
          <w:divBdr>
            <w:top w:val="none" w:sz="0" w:space="0" w:color="auto"/>
            <w:left w:val="none" w:sz="0" w:space="0" w:color="auto"/>
            <w:bottom w:val="none" w:sz="0" w:space="0" w:color="auto"/>
            <w:right w:val="none" w:sz="0" w:space="0" w:color="auto"/>
          </w:divBdr>
        </w:div>
      </w:divsChild>
    </w:div>
    <w:div w:id="1456294690">
      <w:bodyDiv w:val="1"/>
      <w:marLeft w:val="0"/>
      <w:marRight w:val="0"/>
      <w:marTop w:val="0"/>
      <w:marBottom w:val="0"/>
      <w:divBdr>
        <w:top w:val="none" w:sz="0" w:space="0" w:color="auto"/>
        <w:left w:val="none" w:sz="0" w:space="0" w:color="auto"/>
        <w:bottom w:val="none" w:sz="0" w:space="0" w:color="auto"/>
        <w:right w:val="none" w:sz="0" w:space="0" w:color="auto"/>
      </w:divBdr>
    </w:div>
    <w:div w:id="16151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20MacMillan\AppData\Local\Microsoft\Windows\Temporary%20Internet%20Files\Content.Outlook\A97BHJJI\Annual%20Action%20Plan%20Report%20Template%20v31Oct17%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 Action Plan Report Template v31Oct17 (002).dotx</Template>
  <TotalTime>1</TotalTime>
  <Pages>7</Pages>
  <Words>2329</Words>
  <Characters>13277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Beecher, Gai</dc:creator>
  <cp:lastModifiedBy>Roberts, Nat</cp:lastModifiedBy>
  <cp:revision>2</cp:revision>
  <cp:lastPrinted>2018-05-02T06:29:00Z</cp:lastPrinted>
  <dcterms:created xsi:type="dcterms:W3CDTF">2018-05-02T06:30:00Z</dcterms:created>
  <dcterms:modified xsi:type="dcterms:W3CDTF">2018-05-02T06:30:00Z</dcterms:modified>
</cp:coreProperties>
</file>