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0B44178C" w:rsidR="00FE1945" w:rsidRPr="00563A3D" w:rsidRDefault="00D765DB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Florey Primary School</w:t>
          </w:r>
        </w:p>
      </w:sdtContent>
    </w:sdt>
    <w:p w14:paraId="63330FCF" w14:textId="3B7B86D9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765DB">
            <w:t>Belconnen</w:t>
          </w:r>
        </w:sdtContent>
      </w:sdt>
    </w:p>
    <w:p w14:paraId="38F253B0" w14:textId="53D16702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D765DB">
        <w:t>19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2DD04636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18F23803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20EB520D" w:rsidR="00846E51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476DC7">
        <w:t>1</w:t>
      </w:r>
      <w:r w:rsidRPr="00132917">
        <w:t xml:space="preserve"> (see reporting for detail):</w:t>
      </w:r>
    </w:p>
    <w:p w14:paraId="05831A13" w14:textId="4B16FD57" w:rsidR="00300F72" w:rsidRPr="00300F72" w:rsidRDefault="00476DC7" w:rsidP="00300F72">
      <w:pPr>
        <w:pStyle w:val="ListBullet"/>
      </w:pPr>
      <w:r w:rsidRPr="0061079A">
        <w:t>Increase whole school wellbeing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33F096C6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476DC7">
        <w:t>2</w:t>
      </w:r>
      <w:r w:rsidRPr="00132917">
        <w:t xml:space="preserve"> (see reporting for detail):</w:t>
      </w:r>
    </w:p>
    <w:p w14:paraId="3219AB53" w14:textId="2E42EE7D" w:rsidR="00300F72" w:rsidRPr="00300F72" w:rsidRDefault="00476DC7" w:rsidP="00300F72">
      <w:pPr>
        <w:pStyle w:val="ListBullet"/>
      </w:pPr>
      <w:r w:rsidRPr="00476DC7">
        <w:t>Improve whole school learning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733109AE" w:rsidR="00300F72" w:rsidRPr="00132917" w:rsidRDefault="00300F72" w:rsidP="00132917">
      <w:pPr>
        <w:pStyle w:val="BodyText"/>
      </w:pPr>
      <w:r w:rsidRPr="00132917">
        <w:t>In 20</w:t>
      </w:r>
      <w:r w:rsidR="00132917">
        <w:t>19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B45D58">
        <w:t>1 and Priority 2</w:t>
      </w:r>
      <w:r w:rsidRPr="00132917">
        <w:t xml:space="preserve"> (see reporting for detail):</w:t>
      </w:r>
    </w:p>
    <w:p w14:paraId="71D1205D" w14:textId="77777777" w:rsidR="00476DC7" w:rsidRPr="00300F72" w:rsidRDefault="00476DC7" w:rsidP="00476DC7">
      <w:pPr>
        <w:pStyle w:val="ListBullet"/>
      </w:pPr>
      <w:r w:rsidRPr="0061079A">
        <w:t>Increase whole school wellbeing</w:t>
      </w:r>
    </w:p>
    <w:p w14:paraId="11343D88" w14:textId="77777777" w:rsidR="00476DC7" w:rsidRPr="00300F72" w:rsidRDefault="00476DC7" w:rsidP="00476DC7">
      <w:pPr>
        <w:pStyle w:val="ListBullet"/>
      </w:pPr>
      <w:r w:rsidRPr="00476DC7">
        <w:t>Improve whole school learning</w:t>
      </w:r>
    </w:p>
    <w:p w14:paraId="200F6B8B" w14:textId="0A9D8240" w:rsidR="0093040B" w:rsidRDefault="0093040B" w:rsidP="00476DC7">
      <w:pPr>
        <w:pStyle w:val="ListBullet"/>
        <w:numPr>
          <w:ilvl w:val="0"/>
          <w:numId w:val="0"/>
        </w:numPr>
        <w:ind w:left="360"/>
      </w:pPr>
    </w:p>
    <w:p w14:paraId="59777CE8" w14:textId="7520D9CE" w:rsidR="00476DC7" w:rsidRDefault="00476DC7">
      <w:r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2DDE45D6" w14:textId="77777777" w:rsidR="00585034" w:rsidRPr="0061079A" w:rsidRDefault="00837137" w:rsidP="00585034">
      <w:pPr>
        <w:pStyle w:val="Heading3"/>
      </w:pPr>
      <w:r w:rsidRPr="000F0410">
        <w:t>Priority 1:</w:t>
      </w:r>
      <w:r w:rsidRPr="000F0410">
        <w:rPr>
          <w:color w:val="auto"/>
        </w:rPr>
        <w:tab/>
      </w:r>
      <w:r w:rsidR="00585034" w:rsidRPr="0061079A">
        <w:t xml:space="preserve">Increase whole school wellbeing 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06B99D99" w:rsidR="000031B5" w:rsidRDefault="00481BD2" w:rsidP="0058339C">
      <w:pPr>
        <w:pStyle w:val="BodyText"/>
      </w:pPr>
      <w:r>
        <w:t>By the end of 20</w:t>
      </w:r>
      <w:r w:rsidR="006E3508">
        <w:t>20</w:t>
      </w:r>
      <w:r w:rsidR="000031B5">
        <w:t xml:space="preserve"> we will achieve:</w:t>
      </w:r>
    </w:p>
    <w:p w14:paraId="3C6A5B5E" w14:textId="77777777" w:rsidR="00585034" w:rsidRDefault="00585034" w:rsidP="00585034">
      <w:pPr>
        <w:pStyle w:val="ListBullet"/>
      </w:pPr>
      <w:r>
        <w:t>A</w:t>
      </w:r>
      <w:r w:rsidRPr="007F5CCB">
        <w:t xml:space="preserve"> </w:t>
      </w:r>
      <w:proofErr w:type="gramStart"/>
      <w:r w:rsidRPr="007F5CCB">
        <w:t>two percentage</w:t>
      </w:r>
      <w:proofErr w:type="gramEnd"/>
      <w:r w:rsidRPr="007F5CCB">
        <w:t xml:space="preserve"> point decrease (from six to four per cent) in the proportion of parent/carer responses reporting ‘needs improvement’ for ‘School Identification’</w:t>
      </w:r>
      <w:r>
        <w:t xml:space="preserve"> within the School Climate Survey.</w:t>
      </w:r>
    </w:p>
    <w:p w14:paraId="573FF4A5" w14:textId="77777777" w:rsidR="00585034" w:rsidRDefault="00585034" w:rsidP="00585034">
      <w:pPr>
        <w:pStyle w:val="ListBullet"/>
        <w:spacing w:after="0"/>
      </w:pPr>
      <w:r>
        <w:t xml:space="preserve">A </w:t>
      </w:r>
      <w:proofErr w:type="gramStart"/>
      <w:r w:rsidRPr="007F5CCB">
        <w:t>10 percentage</w:t>
      </w:r>
      <w:proofErr w:type="gramEnd"/>
      <w:r w:rsidRPr="007F5CCB">
        <w:t xml:space="preserve"> point increase (from 37 to 47 per cent) in the proportion of students reporting ‘excellent’ for ‘School Identification’</w:t>
      </w:r>
      <w:r>
        <w:t xml:space="preserve"> within the School Climate Survey. </w:t>
      </w:r>
    </w:p>
    <w:p w14:paraId="4B99536E" w14:textId="77777777" w:rsidR="00585034" w:rsidRPr="0061079A" w:rsidRDefault="00585034" w:rsidP="00585034">
      <w:pPr>
        <w:pStyle w:val="ListBullet"/>
      </w:pPr>
      <w:r>
        <w:t>A</w:t>
      </w:r>
      <w:r w:rsidRPr="007F5CCB">
        <w:t xml:space="preserve"> </w:t>
      </w:r>
      <w:proofErr w:type="gramStart"/>
      <w:r w:rsidRPr="007F5CCB">
        <w:t>10 percentage</w:t>
      </w:r>
      <w:proofErr w:type="gramEnd"/>
      <w:r w:rsidRPr="007F5CCB">
        <w:t xml:space="preserve"> point increase (from 37 to 47 per cent) in the proportion of staff reporting ‘excellent’ for ‘School Identification’</w:t>
      </w:r>
      <w:r>
        <w:t xml:space="preserve"> within the School Climate Survey.</w:t>
      </w:r>
      <w:r w:rsidRPr="007F5CCB">
        <w:t xml:space="preserve"> </w:t>
      </w:r>
    </w:p>
    <w:p w14:paraId="1319DBFF" w14:textId="6FAF44AA" w:rsidR="004D5E45" w:rsidRPr="00373DC0" w:rsidRDefault="004D5E45" w:rsidP="00837137">
      <w:pPr>
        <w:pStyle w:val="BodyText"/>
      </w:pPr>
      <w:r w:rsidRPr="00373DC0">
        <w:t>In 20</w:t>
      </w:r>
      <w:r w:rsidR="00C36B48">
        <w:t>19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270B22FD" w14:textId="77777777" w:rsidR="00382E13" w:rsidRPr="006D2859" w:rsidRDefault="00382E13" w:rsidP="00382E13">
      <w:pPr>
        <w:pStyle w:val="ListBullet"/>
      </w:pPr>
      <w:r w:rsidRPr="00CA0827">
        <w:t>Introduce improved practices and procedures to develop student and staff wellbeing</w:t>
      </w:r>
      <w:r>
        <w:t>.</w:t>
      </w:r>
      <w:r w:rsidRPr="00CA0827">
        <w:t xml:space="preserve"> </w:t>
      </w:r>
    </w:p>
    <w:p w14:paraId="6403B9E2" w14:textId="21DFE79E" w:rsidR="009B454E" w:rsidRDefault="00382E13" w:rsidP="009B454E">
      <w:pPr>
        <w:pStyle w:val="ListBullet"/>
      </w:pPr>
      <w:r w:rsidRPr="00CA0827">
        <w:t>Establish strategic</w:t>
      </w:r>
      <w:r>
        <w:t xml:space="preserve"> partnerships</w:t>
      </w:r>
      <w:r w:rsidRPr="00CA0827">
        <w:t xml:space="preserve"> to provid</w:t>
      </w:r>
      <w:r>
        <w:t>e</w:t>
      </w:r>
      <w:r w:rsidRPr="00CA0827">
        <w:t xml:space="preserve"> access to experiences, support and intellectual and/or physical resources not available within the school.</w:t>
      </w:r>
    </w:p>
    <w:p w14:paraId="7DFF073D" w14:textId="3B4D5F4F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476DC7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617591AB" w14:textId="77777777" w:rsid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4B51A1C5" w14:textId="7D0B7DD9" w:rsidR="00F262E9" w:rsidRPr="006D2F6B" w:rsidRDefault="00F262E9" w:rsidP="00D56F5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0" w:type="dxa"/>
            <w:shd w:val="clear" w:color="auto" w:fill="auto"/>
          </w:tcPr>
          <w:p w14:paraId="15B7F1C3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4CC28E9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EE5455E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1CA3136C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372CDB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476DC7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671994F9" w14:textId="2D3F3879" w:rsidR="00585034" w:rsidRPr="006E3508" w:rsidRDefault="00585034" w:rsidP="00476DC7">
            <w:pPr>
              <w:pStyle w:val="ListBullet"/>
              <w:numPr>
                <w:ilvl w:val="0"/>
                <w:numId w:val="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 xml:space="preserve">A </w:t>
            </w:r>
            <w:proofErr w:type="gramStart"/>
            <w:r w:rsidRPr="006E3508">
              <w:rPr>
                <w:rFonts w:cstheme="minorHAnsi"/>
                <w:sz w:val="20"/>
                <w:szCs w:val="20"/>
              </w:rPr>
              <w:t>two percentage</w:t>
            </w:r>
            <w:proofErr w:type="gramEnd"/>
            <w:r w:rsidRPr="006E3508">
              <w:rPr>
                <w:rFonts w:cstheme="minorHAnsi"/>
                <w:sz w:val="20"/>
                <w:szCs w:val="20"/>
              </w:rPr>
              <w:t xml:space="preserve"> point decrease (from six to four per cent) in the proportion of parent/carer responses reporting ‘needs improvement’ for ‘School Identification’ within the School Climate Survey.</w:t>
            </w:r>
          </w:p>
          <w:p w14:paraId="6D6639DE" w14:textId="05C6F788" w:rsidR="006E3508" w:rsidRPr="006E3508" w:rsidRDefault="006E3508" w:rsidP="00476DC7">
            <w:pPr>
              <w:pStyle w:val="ListBullet"/>
              <w:numPr>
                <w:ilvl w:val="0"/>
                <w:numId w:val="0"/>
              </w:numPr>
              <w:jc w:val="both"/>
              <w:rPr>
                <w:rFonts w:cstheme="minorHAnsi"/>
                <w:sz w:val="20"/>
                <w:szCs w:val="20"/>
              </w:rPr>
            </w:pPr>
          </w:p>
          <w:p w14:paraId="15FDFA6D" w14:textId="7E2EEB51" w:rsidR="006D2F6B" w:rsidRPr="006E3508" w:rsidRDefault="006E3508" w:rsidP="006E3508">
            <w:pPr>
              <w:pStyle w:val="ListBullet"/>
              <w:numPr>
                <w:ilvl w:val="0"/>
                <w:numId w:val="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i/>
                <w:iCs/>
                <w:sz w:val="20"/>
                <w:szCs w:val="20"/>
              </w:rPr>
              <w:t>(Results show the Average of ‘Agree’ or ‘Strongly Agree’ responses to questions in the section).</w:t>
            </w:r>
          </w:p>
        </w:tc>
        <w:tc>
          <w:tcPr>
            <w:tcW w:w="790" w:type="dxa"/>
            <w:shd w:val="clear" w:color="auto" w:fill="auto"/>
          </w:tcPr>
          <w:p w14:paraId="3DFFA149" w14:textId="77777777" w:rsidR="00476DC7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 xml:space="preserve">80% </w:t>
            </w:r>
          </w:p>
          <w:p w14:paraId="4B7CDD05" w14:textId="0A745DCD" w:rsidR="006D2F6B" w:rsidRPr="006E3508" w:rsidRDefault="006D2F6B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037F637" w14:textId="75003977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790" w:type="dxa"/>
            <w:shd w:val="clear" w:color="auto" w:fill="auto"/>
          </w:tcPr>
          <w:p w14:paraId="4DED56F3" w14:textId="3A2C48C5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79%</w:t>
            </w:r>
          </w:p>
        </w:tc>
        <w:tc>
          <w:tcPr>
            <w:tcW w:w="790" w:type="dxa"/>
            <w:shd w:val="clear" w:color="auto" w:fill="auto"/>
          </w:tcPr>
          <w:p w14:paraId="252D803F" w14:textId="404AA7DF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71%</w:t>
            </w:r>
          </w:p>
        </w:tc>
        <w:tc>
          <w:tcPr>
            <w:tcW w:w="790" w:type="dxa"/>
            <w:shd w:val="clear" w:color="auto" w:fill="auto"/>
          </w:tcPr>
          <w:p w14:paraId="5D9DADCD" w14:textId="77777777" w:rsidR="006D2F6B" w:rsidRPr="006E3508" w:rsidRDefault="006D2F6B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0521852A" w14:textId="77777777" w:rsidR="006D2F6B" w:rsidRPr="006E3508" w:rsidRDefault="006D2F6B" w:rsidP="00D03B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DC7" w14:paraId="38F74B11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6730FA91" w14:textId="093956F7" w:rsidR="00585034" w:rsidRPr="006E3508" w:rsidRDefault="00585034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 xml:space="preserve">A </w:t>
            </w:r>
            <w:proofErr w:type="gramStart"/>
            <w:r w:rsidRPr="006E3508">
              <w:rPr>
                <w:rFonts w:cstheme="minorHAnsi"/>
                <w:sz w:val="20"/>
                <w:szCs w:val="20"/>
              </w:rPr>
              <w:t>10 percentage</w:t>
            </w:r>
            <w:proofErr w:type="gramEnd"/>
            <w:r w:rsidRPr="006E3508">
              <w:rPr>
                <w:rFonts w:cstheme="minorHAnsi"/>
                <w:sz w:val="20"/>
                <w:szCs w:val="20"/>
              </w:rPr>
              <w:t xml:space="preserve"> point increase (from 37 to 47 per cent) in the proportion of students reporting ‘excellent’ for ‘School Identification’ within the School Climate Survey. </w:t>
            </w:r>
          </w:p>
          <w:p w14:paraId="77C9F5A7" w14:textId="19E20327" w:rsidR="006E3508" w:rsidRPr="006E3508" w:rsidRDefault="006E3508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</w:p>
          <w:p w14:paraId="46E092F7" w14:textId="394FB1ED" w:rsidR="006D2F6B" w:rsidRPr="006E3508" w:rsidRDefault="006E3508" w:rsidP="006E3508">
            <w:pPr>
              <w:pStyle w:val="ListBullet"/>
              <w:numPr>
                <w:ilvl w:val="0"/>
                <w:numId w:val="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i/>
                <w:iCs/>
                <w:sz w:val="20"/>
                <w:szCs w:val="20"/>
              </w:rPr>
              <w:t>(Results show the Average of ‘Agree’ or ‘Strongly Agree’ responses to questions in the section).</w:t>
            </w:r>
          </w:p>
        </w:tc>
        <w:tc>
          <w:tcPr>
            <w:tcW w:w="790" w:type="dxa"/>
            <w:shd w:val="clear" w:color="auto" w:fill="auto"/>
          </w:tcPr>
          <w:p w14:paraId="5ADD6E79" w14:textId="77777777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65%</w:t>
            </w:r>
          </w:p>
          <w:p w14:paraId="3072EA45" w14:textId="0EC2DE2F" w:rsidR="00013D5A" w:rsidRPr="006E3508" w:rsidRDefault="00013D5A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392190E" w14:textId="4CAB9C8E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55%</w:t>
            </w:r>
          </w:p>
        </w:tc>
        <w:tc>
          <w:tcPr>
            <w:tcW w:w="790" w:type="dxa"/>
            <w:shd w:val="clear" w:color="auto" w:fill="auto"/>
          </w:tcPr>
          <w:p w14:paraId="56D80C92" w14:textId="59381ADF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58%</w:t>
            </w:r>
          </w:p>
        </w:tc>
        <w:tc>
          <w:tcPr>
            <w:tcW w:w="790" w:type="dxa"/>
            <w:shd w:val="clear" w:color="auto" w:fill="auto"/>
          </w:tcPr>
          <w:p w14:paraId="396718C1" w14:textId="16925706" w:rsidR="006D2F6B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65%</w:t>
            </w:r>
          </w:p>
        </w:tc>
        <w:tc>
          <w:tcPr>
            <w:tcW w:w="790" w:type="dxa"/>
            <w:shd w:val="clear" w:color="auto" w:fill="auto"/>
          </w:tcPr>
          <w:p w14:paraId="432D642D" w14:textId="77777777" w:rsidR="006D2F6B" w:rsidRPr="006E3508" w:rsidRDefault="006D2F6B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3F68F7CD" w14:textId="77777777" w:rsidR="006D2F6B" w:rsidRPr="006E3508" w:rsidRDefault="006D2F6B" w:rsidP="00D03B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DC7" w14:paraId="130749E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A0AB34A" w14:textId="77777777" w:rsidR="00585034" w:rsidRPr="006E3508" w:rsidRDefault="00585034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 xml:space="preserve">A </w:t>
            </w:r>
            <w:proofErr w:type="gramStart"/>
            <w:r w:rsidRPr="006E3508">
              <w:rPr>
                <w:rFonts w:cstheme="minorHAnsi"/>
                <w:sz w:val="20"/>
                <w:szCs w:val="20"/>
              </w:rPr>
              <w:t>10 percentage</w:t>
            </w:r>
            <w:proofErr w:type="gramEnd"/>
            <w:r w:rsidRPr="006E3508">
              <w:rPr>
                <w:rFonts w:cstheme="minorHAnsi"/>
                <w:sz w:val="20"/>
                <w:szCs w:val="20"/>
              </w:rPr>
              <w:t xml:space="preserve"> point increase (from 37 to 47 per cent) in the proportion of staff reporting ‘excellent’ for ‘School Identification’ within the School Climate Survey. </w:t>
            </w:r>
          </w:p>
          <w:p w14:paraId="2A861226" w14:textId="77777777" w:rsidR="006E3508" w:rsidRPr="006E3508" w:rsidRDefault="006E3508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</w:p>
          <w:p w14:paraId="41622CF6" w14:textId="4169A6F7" w:rsidR="006E3508" w:rsidRPr="006E3508" w:rsidRDefault="006E3508" w:rsidP="006E3508">
            <w:pPr>
              <w:pStyle w:val="ListBullet"/>
              <w:numPr>
                <w:ilvl w:val="0"/>
                <w:numId w:val="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i/>
                <w:iCs/>
                <w:sz w:val="20"/>
                <w:szCs w:val="20"/>
              </w:rPr>
              <w:t>(Results show the Average of ‘Agree’ or ‘Strongly Agree’ responses to questions in the section).</w:t>
            </w:r>
          </w:p>
        </w:tc>
        <w:tc>
          <w:tcPr>
            <w:tcW w:w="790" w:type="dxa"/>
            <w:shd w:val="clear" w:color="auto" w:fill="auto"/>
          </w:tcPr>
          <w:p w14:paraId="1EDF7092" w14:textId="7A98D042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90%</w:t>
            </w:r>
          </w:p>
          <w:p w14:paraId="6E63BFDE" w14:textId="0D3731B8" w:rsidR="00476DC7" w:rsidRPr="006E3508" w:rsidRDefault="00476DC7" w:rsidP="00476D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3C49413" w14:textId="08969F59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95%</w:t>
            </w:r>
          </w:p>
        </w:tc>
        <w:tc>
          <w:tcPr>
            <w:tcW w:w="790" w:type="dxa"/>
            <w:shd w:val="clear" w:color="auto" w:fill="auto"/>
          </w:tcPr>
          <w:p w14:paraId="27714A16" w14:textId="45FAB301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94%</w:t>
            </w:r>
          </w:p>
        </w:tc>
        <w:tc>
          <w:tcPr>
            <w:tcW w:w="790" w:type="dxa"/>
            <w:shd w:val="clear" w:color="auto" w:fill="auto"/>
          </w:tcPr>
          <w:p w14:paraId="4033F5C6" w14:textId="25BE829F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88%</w:t>
            </w:r>
          </w:p>
        </w:tc>
        <w:tc>
          <w:tcPr>
            <w:tcW w:w="790" w:type="dxa"/>
            <w:shd w:val="clear" w:color="auto" w:fill="auto"/>
          </w:tcPr>
          <w:p w14:paraId="24688738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59184476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DC7" w14:paraId="39F0D89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469BA6AD" w14:textId="22AB9000" w:rsidR="00585034" w:rsidRPr="006E3508" w:rsidRDefault="00585034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 xml:space="preserve">An increase in the proportion of students who agree or strongly agree in the student satisfaction </w:t>
            </w:r>
            <w:r w:rsidRPr="006E3508">
              <w:rPr>
                <w:rFonts w:cstheme="minorHAnsi"/>
                <w:sz w:val="20"/>
                <w:szCs w:val="20"/>
              </w:rPr>
              <w:lastRenderedPageBreak/>
              <w:t>survey that “I feel safe at my school” from 71 percent.</w:t>
            </w:r>
          </w:p>
        </w:tc>
        <w:tc>
          <w:tcPr>
            <w:tcW w:w="790" w:type="dxa"/>
            <w:shd w:val="clear" w:color="auto" w:fill="auto"/>
          </w:tcPr>
          <w:p w14:paraId="5C5604BA" w14:textId="5217300D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lastRenderedPageBreak/>
              <w:t>64.8%</w:t>
            </w:r>
          </w:p>
        </w:tc>
        <w:tc>
          <w:tcPr>
            <w:tcW w:w="790" w:type="dxa"/>
            <w:shd w:val="clear" w:color="auto" w:fill="auto"/>
          </w:tcPr>
          <w:p w14:paraId="6B003127" w14:textId="70AB5CFE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50.9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16AA05B" w14:textId="791B6EC3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51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729667D8" w14:textId="2C751DA9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55.7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F1AD0CB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12C8BC6A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DC7" w14:paraId="43F71C7B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DBE0336" w14:textId="0337F02E" w:rsidR="00585034" w:rsidRPr="006E3508" w:rsidRDefault="00585034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An increase in the proportion of staff who agree or strongly agree in the staff satisfaction survey that “my professional achievements are celebrated at this school” from 59 percent.</w:t>
            </w:r>
          </w:p>
        </w:tc>
        <w:tc>
          <w:tcPr>
            <w:tcW w:w="790" w:type="dxa"/>
            <w:shd w:val="clear" w:color="auto" w:fill="auto"/>
          </w:tcPr>
          <w:p w14:paraId="5D8E2022" w14:textId="23FFA8C0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78.6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3073994F" w14:textId="21F984C0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70.5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5DCD472F" w14:textId="7C6679A9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73.7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2730CDF6" w14:textId="02564647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73.5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165A21D3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1AD04BC2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6DC7" w14:paraId="2650ADE8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7BEE14F" w14:textId="2C30ABC9" w:rsidR="00585034" w:rsidRPr="006E3508" w:rsidRDefault="00585034" w:rsidP="00476DC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The proportion of student responses in the School Climate Survey data increasing from 76 percent reporting ‘excellent’ to an average equal to or above the state average for Behavioural Engagement”</w:t>
            </w:r>
          </w:p>
        </w:tc>
        <w:tc>
          <w:tcPr>
            <w:tcW w:w="790" w:type="dxa"/>
            <w:shd w:val="clear" w:color="auto" w:fill="auto"/>
          </w:tcPr>
          <w:p w14:paraId="40D638B7" w14:textId="42D2CB43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87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754A93FA" w14:textId="2BCCAF65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75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491BD34F" w14:textId="66718F4E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83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4B865058" w14:textId="2D938678" w:rsidR="00585034" w:rsidRPr="006E3508" w:rsidRDefault="00F262E9" w:rsidP="00D03B0C">
            <w:pPr>
              <w:rPr>
                <w:rFonts w:cstheme="minorHAnsi"/>
                <w:sz w:val="20"/>
                <w:szCs w:val="20"/>
              </w:rPr>
            </w:pPr>
            <w:r w:rsidRPr="006E3508">
              <w:rPr>
                <w:rFonts w:cstheme="minorHAnsi"/>
                <w:sz w:val="20"/>
                <w:szCs w:val="20"/>
              </w:rPr>
              <w:t>83</w:t>
            </w:r>
            <w:r w:rsidR="00476DC7" w:rsidRPr="006E3508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7AC52737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787E74B8" w14:textId="77777777" w:rsidR="00585034" w:rsidRPr="006E3508" w:rsidRDefault="00585034" w:rsidP="00D03B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D7C770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1AEEC90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55A376B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7B0F6FB9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1A3E137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CEA91E9" w14:textId="197B071C" w:rsidR="006D2F6B" w:rsidRPr="006E3508" w:rsidRDefault="00585034" w:rsidP="006E3508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color w:val="000000"/>
                <w:sz w:val="20"/>
                <w:szCs w:val="20"/>
              </w:rPr>
              <w:t>Proportion of strategic partnerships meeting set outcomes.</w:t>
            </w:r>
          </w:p>
        </w:tc>
        <w:tc>
          <w:tcPr>
            <w:tcW w:w="790" w:type="dxa"/>
            <w:shd w:val="clear" w:color="auto" w:fill="auto"/>
          </w:tcPr>
          <w:p w14:paraId="1DEC5E9B" w14:textId="2EBA1332" w:rsidR="006D2F6B" w:rsidRPr="006E3508" w:rsidRDefault="006E3508" w:rsidP="00D03B0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N/A</w:t>
            </w:r>
          </w:p>
        </w:tc>
        <w:tc>
          <w:tcPr>
            <w:tcW w:w="790" w:type="dxa"/>
            <w:shd w:val="clear" w:color="auto" w:fill="auto"/>
          </w:tcPr>
          <w:p w14:paraId="0FF61450" w14:textId="250BB07F" w:rsidR="006D2F6B" w:rsidRPr="006E3508" w:rsidRDefault="006E3508" w:rsidP="00D03B0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N/A</w:t>
            </w:r>
          </w:p>
        </w:tc>
        <w:tc>
          <w:tcPr>
            <w:tcW w:w="790" w:type="dxa"/>
            <w:shd w:val="clear" w:color="auto" w:fill="auto"/>
          </w:tcPr>
          <w:p w14:paraId="6E75F6C9" w14:textId="6D347D6A" w:rsidR="006D2F6B" w:rsidRPr="006E3508" w:rsidRDefault="006E3508" w:rsidP="00D03B0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N/A</w:t>
            </w:r>
          </w:p>
        </w:tc>
        <w:tc>
          <w:tcPr>
            <w:tcW w:w="790" w:type="dxa"/>
            <w:shd w:val="clear" w:color="auto" w:fill="auto"/>
          </w:tcPr>
          <w:p w14:paraId="3E895FED" w14:textId="7B0B4C67" w:rsidR="006D2F6B" w:rsidRPr="006E3508" w:rsidRDefault="006E3508" w:rsidP="00D03B0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N/A*</w:t>
            </w:r>
          </w:p>
        </w:tc>
        <w:tc>
          <w:tcPr>
            <w:tcW w:w="790" w:type="dxa"/>
            <w:shd w:val="clear" w:color="auto" w:fill="auto"/>
          </w:tcPr>
          <w:p w14:paraId="3731D7F2" w14:textId="77777777" w:rsidR="006D2F6B" w:rsidRPr="006E3508" w:rsidRDefault="006D2F6B" w:rsidP="00D03B0C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0E363862" w14:textId="77777777" w:rsidR="006D2F6B" w:rsidRPr="006E3508" w:rsidRDefault="006D2F6B" w:rsidP="00D03B0C">
            <w:pPr>
              <w:rPr>
                <w:sz w:val="20"/>
                <w:szCs w:val="20"/>
              </w:rPr>
            </w:pPr>
          </w:p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C6D2581" w14:textId="0B15075F" w:rsidR="00422FDF" w:rsidRDefault="00422FDF" w:rsidP="00422FDF">
            <w:pPr>
              <w:pStyle w:val="PlainText"/>
            </w:pPr>
            <w:r>
              <w:t xml:space="preserve">Perception data indicates marginal changes overall, with trends </w:t>
            </w:r>
            <w:proofErr w:type="gramStart"/>
            <w:r>
              <w:t>reverting back</w:t>
            </w:r>
            <w:proofErr w:type="gramEnd"/>
            <w:r>
              <w:t xml:space="preserve"> to the original 2016 baselines for most items, or slight </w:t>
            </w:r>
            <w:r w:rsidR="00203DB3">
              <w:t>decreases</w:t>
            </w:r>
            <w:r>
              <w:t xml:space="preserve">. This data tells us that the school needs to maintain its focus on promoting positive behaviours for students, communicating with families about its processes for supporting each student, and maintaining a strong focus on learning at the school. The school will continue to pay strong attention to the role of staff in bringing about the conditions for a safe and orderly </w:t>
            </w:r>
            <w:r w:rsidR="00203DB3">
              <w:t>environment and</w:t>
            </w:r>
            <w:r>
              <w:t xml:space="preserve"> will continue to celebrate the professional achievements of staff that result in improved student learning. </w:t>
            </w:r>
          </w:p>
          <w:p w14:paraId="71439EAB" w14:textId="22F49139" w:rsidR="00EA6167" w:rsidRDefault="00EA6167" w:rsidP="006E3508">
            <w:pPr>
              <w:pStyle w:val="PlainText"/>
            </w:pPr>
          </w:p>
          <w:p w14:paraId="02C8E81F" w14:textId="6399CF41" w:rsidR="00422FDF" w:rsidRDefault="00422FDF" w:rsidP="006E3508">
            <w:pPr>
              <w:pStyle w:val="PlainText"/>
            </w:pPr>
            <w:r>
              <w:t>A note previous and future targets and measures:</w:t>
            </w:r>
          </w:p>
          <w:p w14:paraId="5194E804" w14:textId="418E473B" w:rsidR="00422FDF" w:rsidRDefault="00422FDF" w:rsidP="003432F0">
            <w:pPr>
              <w:pStyle w:val="PlainText"/>
              <w:numPr>
                <w:ilvl w:val="0"/>
                <w:numId w:val="36"/>
              </w:numPr>
            </w:pPr>
            <w:r>
              <w:t>I</w:t>
            </w:r>
            <w:r w:rsidR="006E3508">
              <w:t>n 2018, partnership documentation was being drafted by ESO. Review of documentation of partnerships is ongoing</w:t>
            </w:r>
            <w:r>
              <w:t xml:space="preserve"> in 2019</w:t>
            </w:r>
            <w:r w:rsidR="006E3508">
              <w:t xml:space="preserve">. </w:t>
            </w:r>
          </w:p>
          <w:p w14:paraId="3361A50C" w14:textId="1C0C05A9" w:rsidR="00422FDF" w:rsidRDefault="00422FDF" w:rsidP="006E3508">
            <w:pPr>
              <w:pStyle w:val="PlainText"/>
              <w:numPr>
                <w:ilvl w:val="0"/>
                <w:numId w:val="36"/>
              </w:numPr>
            </w:pPr>
            <w:r>
              <w:t>The school leadership team will f</w:t>
            </w:r>
            <w:r w:rsidR="003432F0">
              <w:t>urther conside</w:t>
            </w:r>
            <w:r>
              <w:t xml:space="preserve">r </w:t>
            </w:r>
            <w:r w:rsidR="003432F0">
              <w:t>more appropriate data set</w:t>
            </w:r>
            <w:r>
              <w:t>s</w:t>
            </w:r>
            <w:r w:rsidR="003432F0">
              <w:t xml:space="preserve"> in our next Strategic Plan.</w:t>
            </w:r>
          </w:p>
          <w:p w14:paraId="2DFB70DA" w14:textId="40C88900" w:rsidR="003432F0" w:rsidRDefault="00422FDF" w:rsidP="006E3508">
            <w:pPr>
              <w:pStyle w:val="PlainText"/>
              <w:numPr>
                <w:ilvl w:val="0"/>
                <w:numId w:val="36"/>
              </w:numPr>
            </w:pPr>
            <w:r>
              <w:t>Our identification for</w:t>
            </w:r>
            <w:r w:rsidR="003432F0">
              <w:t xml:space="preserve"> areas for improvement com</w:t>
            </w:r>
            <w:r>
              <w:t xml:space="preserve">e </w:t>
            </w:r>
            <w:r w:rsidR="003432F0">
              <w:t xml:space="preserve">from a </w:t>
            </w:r>
            <w:r w:rsidR="00203DB3">
              <w:t>strengths-based</w:t>
            </w:r>
            <w:r w:rsidR="003432F0">
              <w:t xml:space="preserve"> approach.</w:t>
            </w:r>
          </w:p>
        </w:tc>
      </w:tr>
    </w:tbl>
    <w:p w14:paraId="2C475ECA" w14:textId="15DB2FBE" w:rsidR="005611F4" w:rsidRPr="005611F4" w:rsidRDefault="00937D6F" w:rsidP="00236F3D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C21B45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F450CAB" w14:textId="77777777" w:rsidR="00EA6167" w:rsidRDefault="00EA6167" w:rsidP="00CA26FB">
            <w:pPr>
              <w:pStyle w:val="BodyText"/>
              <w:rPr>
                <w:b/>
              </w:rPr>
            </w:pPr>
            <w:r>
              <w:rPr>
                <w:b/>
              </w:rPr>
              <w:t>Priority 1: Increase whole school wellbeing</w:t>
            </w:r>
          </w:p>
          <w:p w14:paraId="51D9F533" w14:textId="77777777" w:rsidR="00EA6167" w:rsidRPr="00860EB6" w:rsidRDefault="00EA6167" w:rsidP="00CA26FB">
            <w:pPr>
              <w:pStyle w:val="BodyText"/>
            </w:pPr>
            <w:r w:rsidRPr="00860EB6">
              <w:t xml:space="preserve">Strategies: </w:t>
            </w:r>
          </w:p>
          <w:p w14:paraId="48765780" w14:textId="65D01D49" w:rsidR="00875E27" w:rsidRDefault="00EA6167" w:rsidP="00D46BD4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A0827">
              <w:t>Introduce improved practices and procedures to develop student and staff wellbeing</w:t>
            </w:r>
            <w:r w:rsidR="0065443F">
              <w:t>.</w:t>
            </w:r>
          </w:p>
          <w:p w14:paraId="4B144FC7" w14:textId="0FA695D5" w:rsidR="00875E27" w:rsidRDefault="00875E27" w:rsidP="00875E27">
            <w:pPr>
              <w:pStyle w:val="ListBullet"/>
            </w:pPr>
            <w:r>
              <w:t>Revision of P</w:t>
            </w:r>
            <w:r w:rsidR="00F56430">
              <w:t xml:space="preserve">ositive </w:t>
            </w:r>
            <w:r>
              <w:t>B</w:t>
            </w:r>
            <w:r w:rsidR="00F56430">
              <w:t xml:space="preserve">ehaviour for </w:t>
            </w:r>
            <w:r>
              <w:t>L</w:t>
            </w:r>
            <w:r w:rsidR="00F56430">
              <w:t>earning (PBL)</w:t>
            </w:r>
            <w:r>
              <w:t xml:space="preserve"> external processes and procedures with all staff</w:t>
            </w:r>
          </w:p>
          <w:p w14:paraId="65456559" w14:textId="0CC934FC" w:rsidR="00875E27" w:rsidRDefault="00875E27" w:rsidP="00875E27">
            <w:pPr>
              <w:pStyle w:val="ListBullet"/>
            </w:pPr>
            <w:r>
              <w:t xml:space="preserve">Staff beginning </w:t>
            </w:r>
            <w:r w:rsidR="00F56430">
              <w:t xml:space="preserve">PBL </w:t>
            </w:r>
            <w:r>
              <w:t>revision with students</w:t>
            </w:r>
          </w:p>
          <w:p w14:paraId="324E024A" w14:textId="77777777" w:rsidR="00875E27" w:rsidRDefault="00875E27" w:rsidP="00875E27">
            <w:pPr>
              <w:pStyle w:val="ListBullet"/>
            </w:pPr>
            <w:r>
              <w:t>Procedures underway in playground and classroom and implemented Expected Classroom Practice 5 and data collected</w:t>
            </w:r>
          </w:p>
          <w:p w14:paraId="75BAAD7E" w14:textId="13F490CF" w:rsidR="00875E27" w:rsidRDefault="00875E27" w:rsidP="00875E27">
            <w:pPr>
              <w:pStyle w:val="ListBullet"/>
            </w:pPr>
            <w:r>
              <w:t>School Evaluation Tool (SET) completed by external coach. Internal and External PBL coaches ongoing collaboration</w:t>
            </w:r>
          </w:p>
          <w:p w14:paraId="1F4C166E" w14:textId="77777777" w:rsidR="00875E27" w:rsidRDefault="00875E27" w:rsidP="00875E27">
            <w:pPr>
              <w:pStyle w:val="ListBullet"/>
            </w:pPr>
            <w:r>
              <w:t>Internal review of Expected Classroom Practice 6 and presentation of Expected Practice 7</w:t>
            </w:r>
          </w:p>
          <w:p w14:paraId="45053528" w14:textId="77777777" w:rsidR="00875E27" w:rsidRDefault="00875E27" w:rsidP="00875E27">
            <w:pPr>
              <w:pStyle w:val="ListBullet"/>
            </w:pPr>
            <w:r>
              <w:t>PBL celebrations at the end on semester one and two</w:t>
            </w:r>
          </w:p>
          <w:p w14:paraId="73D50609" w14:textId="77777777" w:rsidR="00875E27" w:rsidRDefault="00875E27" w:rsidP="00875E27">
            <w:pPr>
              <w:pStyle w:val="ListBullet"/>
            </w:pPr>
            <w:r>
              <w:lastRenderedPageBreak/>
              <w:t>Term 3 review of PBL due to staff turnover. Reinvigoration of PBL processes across school with staff attending professional learning and data collection refined. Community engagement processes refined</w:t>
            </w:r>
          </w:p>
          <w:p w14:paraId="4E55848D" w14:textId="77777777" w:rsidR="00875E27" w:rsidRDefault="00875E27" w:rsidP="00875E27">
            <w:pPr>
              <w:pStyle w:val="ListBullet"/>
            </w:pPr>
            <w:r>
              <w:t>Preschool incorporating PBL language through meetings and environmental signage.</w:t>
            </w:r>
          </w:p>
          <w:p w14:paraId="0D1966FD" w14:textId="5EF7ABB1" w:rsidR="00F56430" w:rsidRDefault="00F56430" w:rsidP="00F56430">
            <w:pPr>
              <w:pStyle w:val="ListBullet"/>
            </w:pPr>
            <w:r w:rsidRPr="00F56430">
              <w:t>Celebrate staff achievements to increase staff social capacity</w:t>
            </w:r>
            <w:r>
              <w:t>, celebrations included in the weekly staff meeting agenda</w:t>
            </w:r>
          </w:p>
          <w:p w14:paraId="58311673" w14:textId="77777777" w:rsidR="0065443F" w:rsidRDefault="0065443F" w:rsidP="0065443F">
            <w:pPr>
              <w:pStyle w:val="ListBullet"/>
            </w:pPr>
            <w:r>
              <w:t>Publicly acknowledge staff achievements in staff meetings, newsletters and assemblies</w:t>
            </w:r>
          </w:p>
          <w:p w14:paraId="6E372406" w14:textId="77777777" w:rsidR="0065443F" w:rsidRDefault="0065443F" w:rsidP="0065443F">
            <w:pPr>
              <w:pStyle w:val="ListBullet"/>
            </w:pPr>
            <w:r>
              <w:t>Audit of staff external interests to share with staff</w:t>
            </w:r>
          </w:p>
          <w:p w14:paraId="546DE9BF" w14:textId="77777777" w:rsidR="0065443F" w:rsidRPr="000006CB" w:rsidRDefault="0065443F" w:rsidP="0065443F">
            <w:pPr>
              <w:pStyle w:val="ListBullet"/>
            </w:pPr>
            <w:r>
              <w:t>Staff wellbeing events include: staff cricket match, master chef cook off with nutritionist and social events at year levels each term.</w:t>
            </w:r>
          </w:p>
          <w:p w14:paraId="1342674E" w14:textId="7581CD29" w:rsidR="00875E27" w:rsidRDefault="00875E27" w:rsidP="00A52769">
            <w:pPr>
              <w:pStyle w:val="ListBullet"/>
              <w:numPr>
                <w:ilvl w:val="0"/>
                <w:numId w:val="0"/>
              </w:numPr>
            </w:pPr>
          </w:p>
          <w:p w14:paraId="2D16C8FE" w14:textId="7C0064BD" w:rsidR="00EA6167" w:rsidRPr="00D46BD4" w:rsidRDefault="00EA6167" w:rsidP="00D46BD4">
            <w:pPr>
              <w:pStyle w:val="ListBullet"/>
              <w:numPr>
                <w:ilvl w:val="0"/>
                <w:numId w:val="0"/>
              </w:numPr>
            </w:pPr>
            <w:r w:rsidRPr="00CA0827">
              <w:t>Establish strategic</w:t>
            </w:r>
            <w:r>
              <w:t xml:space="preserve"> partnerships</w:t>
            </w:r>
            <w:r w:rsidRPr="00CA0827">
              <w:t xml:space="preserve"> to provid</w:t>
            </w:r>
            <w:r>
              <w:t>e</w:t>
            </w:r>
            <w:r w:rsidRPr="00CA0827">
              <w:t xml:space="preserve"> access to experiences, support and intellectual and/or physical resources not available within the school.</w:t>
            </w:r>
          </w:p>
          <w:p w14:paraId="292CE6B3" w14:textId="33584685" w:rsidR="003970C8" w:rsidRDefault="006D0600" w:rsidP="00875E27">
            <w:pPr>
              <w:pStyle w:val="ListBullet"/>
            </w:pPr>
            <w:r>
              <w:t xml:space="preserve">Professional learning for staff in the </w:t>
            </w:r>
            <w:proofErr w:type="spellStart"/>
            <w:r>
              <w:t>UrFab</w:t>
            </w:r>
            <w:proofErr w:type="spellEnd"/>
            <w:r>
              <w:t xml:space="preserve"> program</w:t>
            </w:r>
            <w:r w:rsidR="001F0A6C">
              <w:t xml:space="preserve"> through Child and Adolescent Mental Health Services (CAMHS)</w:t>
            </w:r>
            <w:r>
              <w:t>, emotional coaching for students, teachers and families of year 1/2 students</w:t>
            </w:r>
            <w:r w:rsidR="001F0A6C">
              <w:t>, 32 students</w:t>
            </w:r>
          </w:p>
          <w:p w14:paraId="39A381C3" w14:textId="77777777" w:rsidR="00654240" w:rsidRDefault="006D0600" w:rsidP="00875E27">
            <w:pPr>
              <w:pStyle w:val="ListBullet"/>
            </w:pPr>
            <w:proofErr w:type="spellStart"/>
            <w:r>
              <w:t>Cyclabilites</w:t>
            </w:r>
            <w:proofErr w:type="spellEnd"/>
            <w:r w:rsidR="00654240">
              <w:t xml:space="preserve"> bike riding program for students with developmental/socio-economic barriers (24 students).</w:t>
            </w:r>
            <w:r>
              <w:t xml:space="preserve"> </w:t>
            </w:r>
          </w:p>
          <w:p w14:paraId="5BAC30B5" w14:textId="77777777" w:rsidR="001F0A6C" w:rsidRDefault="006D0600" w:rsidP="00875E27">
            <w:pPr>
              <w:pStyle w:val="ListBullet"/>
            </w:pPr>
            <w:r>
              <w:t>Paint and Play</w:t>
            </w:r>
            <w:r w:rsidR="00654240">
              <w:t xml:space="preserve"> </w:t>
            </w:r>
            <w:r w:rsidR="00654240" w:rsidRPr="00654240">
              <w:t xml:space="preserve">(Belconnen Community Service) </w:t>
            </w:r>
            <w:r w:rsidR="00654240">
              <w:t>and family support services such as Uniting Care Kippax and the West Belconnen Child and Family Centre</w:t>
            </w:r>
            <w:r>
              <w:t xml:space="preserve"> </w:t>
            </w:r>
            <w:r w:rsidR="001F0A6C">
              <w:t>partnerships developed</w:t>
            </w:r>
          </w:p>
          <w:p w14:paraId="0ACF9D2E" w14:textId="34150F1C" w:rsidR="006D0600" w:rsidRDefault="006D0600" w:rsidP="00875E27">
            <w:pPr>
              <w:pStyle w:val="ListBullet"/>
            </w:pPr>
            <w:r>
              <w:t>Learning for Life (Smith Family)</w:t>
            </w:r>
            <w:r w:rsidR="00C97F5F">
              <w:t xml:space="preserve"> </w:t>
            </w:r>
            <w:r>
              <w:t xml:space="preserve">transition and 1:1 tutoring </w:t>
            </w:r>
            <w:proofErr w:type="gramStart"/>
            <w:r>
              <w:t>programs</w:t>
            </w:r>
            <w:proofErr w:type="gramEnd"/>
            <w:r>
              <w:t xml:space="preserve"> facilitated</w:t>
            </w:r>
            <w:r w:rsidR="00C97F5F">
              <w:t xml:space="preserve">. 61 </w:t>
            </w:r>
            <w:r w:rsidR="00654240">
              <w:t>families</w:t>
            </w:r>
            <w:r w:rsidR="001F0A6C">
              <w:t xml:space="preserve"> - </w:t>
            </w:r>
            <w:r w:rsidR="00654240">
              <w:t>22% EALD and 15% Aboriginal of Torres Strait Islander</w:t>
            </w:r>
          </w:p>
          <w:p w14:paraId="5F06B903" w14:textId="3F866F97" w:rsidR="006D0600" w:rsidRDefault="006D0600" w:rsidP="00875E27">
            <w:pPr>
              <w:pStyle w:val="ListBullet"/>
            </w:pPr>
            <w:r>
              <w:t>Nutritionis</w:t>
            </w:r>
            <w:r w:rsidR="001F0A6C">
              <w:t>t</w:t>
            </w:r>
            <w:r w:rsidR="00EF4A5F">
              <w:t>, Lisa Donaldson,</w:t>
            </w:r>
            <w:r>
              <w:t xml:space="preserve"> worked with all student year levels and family members</w:t>
            </w:r>
            <w:r w:rsidR="00EF4A5F">
              <w:t>, food cooking and preparation demonstrations, pop-up stalls and nutritional advice facilitated</w:t>
            </w:r>
            <w:r w:rsidR="001F0A6C">
              <w:t xml:space="preserve"> for 40 parents and carers</w:t>
            </w:r>
          </w:p>
          <w:p w14:paraId="23052456" w14:textId="421B0F3E" w:rsidR="006D0600" w:rsidRDefault="006D0600" w:rsidP="00875E27">
            <w:pPr>
              <w:pStyle w:val="ListBullet"/>
            </w:pPr>
            <w:r>
              <w:t>Dental Clinic, in partnership with ACT Health, on site at Florey Primary School</w:t>
            </w:r>
            <w:r w:rsidR="00EF4A5F">
              <w:t>. Dental examinations and treatments completed</w:t>
            </w:r>
            <w:r w:rsidR="001F0A6C">
              <w:t xml:space="preserve"> for 150 children</w:t>
            </w:r>
          </w:p>
          <w:p w14:paraId="20D6C3D6" w14:textId="05D65BA3" w:rsidR="00EF4A5F" w:rsidRDefault="00EF4A5F" w:rsidP="00875E27">
            <w:pPr>
              <w:pStyle w:val="ListBullet"/>
            </w:pPr>
            <w:r>
              <w:t>Fabulous Florey Community Fair 30 November in partnership with Florey Neighbourhood Watch</w:t>
            </w:r>
            <w:r w:rsidR="001F0A6C">
              <w:t xml:space="preserve"> with over 40 local community and family support organisations</w:t>
            </w:r>
          </w:p>
          <w:p w14:paraId="48C5D032" w14:textId="21113AF9" w:rsidR="00CA26FB" w:rsidRPr="00CA26FB" w:rsidRDefault="00EF4A5F" w:rsidP="00875E27">
            <w:pPr>
              <w:pStyle w:val="ListBullet"/>
            </w:pPr>
            <w:r>
              <w:t xml:space="preserve">Culture Club </w:t>
            </w:r>
            <w:r w:rsidR="001F0A6C">
              <w:t xml:space="preserve">weekly lunch time program, K-year 5. Varied activities including </w:t>
            </w:r>
            <w:r w:rsidR="00894918">
              <w:t xml:space="preserve">Aboriginal and Torres Strait Islander art, story sharing and connections to country. 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60707D9A" w:rsidR="005611F4" w:rsidRPr="005611F4" w:rsidRDefault="00937D6F" w:rsidP="00894918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C21B45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1AD5E03C" w14:textId="6E21C131" w:rsidR="00894918" w:rsidRDefault="00894918" w:rsidP="00894918">
            <w:pPr>
              <w:pStyle w:val="ListBullet"/>
            </w:pPr>
            <w:r>
              <w:t xml:space="preserve">Continue to strengthen Positive Behaviour for Learning </w:t>
            </w:r>
            <w:r w:rsidR="00FC3EE8">
              <w:t>(PBL)</w:t>
            </w:r>
          </w:p>
          <w:p w14:paraId="6EFD70B2" w14:textId="0B8577BB" w:rsidR="00FC3EE8" w:rsidRDefault="00FC3EE8" w:rsidP="00894918">
            <w:pPr>
              <w:pStyle w:val="ListBullet"/>
            </w:pPr>
            <w:r>
              <w:t xml:space="preserve">Priorities for professional learning in 2020 include PBL and Zones of Regulation. </w:t>
            </w:r>
          </w:p>
          <w:p w14:paraId="21501890" w14:textId="5BE5274A" w:rsidR="00894918" w:rsidRDefault="00894918" w:rsidP="00894918">
            <w:pPr>
              <w:pStyle w:val="ListBullet"/>
            </w:pPr>
            <w:r>
              <w:t>C</w:t>
            </w:r>
            <w:r w:rsidR="0098186C">
              <w:t>ommunity Coordinator to further develop relationships and partnerships with community</w:t>
            </w:r>
            <w:r w:rsidR="00FC3EE8">
              <w:t>, especially in enhancing our communication and support provided for all families.</w:t>
            </w:r>
          </w:p>
        </w:tc>
      </w:tr>
    </w:tbl>
    <w:p w14:paraId="2EA0F1D3" w14:textId="378BE4D5" w:rsidR="006D2F6B" w:rsidRDefault="006D2F6B">
      <w:pPr>
        <w:rPr>
          <w:b/>
        </w:rPr>
      </w:pPr>
    </w:p>
    <w:p w14:paraId="3FAD0AD8" w14:textId="77777777" w:rsidR="00585034" w:rsidRPr="00525712" w:rsidRDefault="00EB70CE" w:rsidP="00585034">
      <w:pPr>
        <w:pStyle w:val="Heading3"/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585034" w:rsidRPr="0061079A">
        <w:t>Improve whole school learning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36DB24FF" w:rsidR="00EB70CE" w:rsidRDefault="00EB70CE" w:rsidP="00EB70CE">
      <w:pPr>
        <w:pStyle w:val="BodyText"/>
      </w:pPr>
      <w:r>
        <w:t>By the end of 20</w:t>
      </w:r>
      <w:r w:rsidR="006E3508">
        <w:t>20</w:t>
      </w:r>
      <w:r>
        <w:t xml:space="preserve"> we will achieve:</w:t>
      </w:r>
    </w:p>
    <w:p w14:paraId="433462FA" w14:textId="77777777" w:rsidR="00585034" w:rsidRPr="00AF4F07" w:rsidRDefault="00585034" w:rsidP="00585034">
      <w:pPr>
        <w:pStyle w:val="ListBullet"/>
        <w:rPr>
          <w:b/>
          <w:bCs/>
        </w:rPr>
      </w:pPr>
      <w:r>
        <w:t>A</w:t>
      </w:r>
      <w:r w:rsidRPr="00DE504B">
        <w:t xml:space="preserve"> </w:t>
      </w:r>
      <w:proofErr w:type="gramStart"/>
      <w:r w:rsidRPr="00DE504B">
        <w:t>5 percentage</w:t>
      </w:r>
      <w:proofErr w:type="gramEnd"/>
      <w:r w:rsidRPr="00DE504B">
        <w:t xml:space="preserve"> point increase in the proportion of students gaining greater than or equal to expected growth for NAPLAN reading and numeracy years 3 to 5 up from 50.9 percent in reading to 55.9 percent and from 55.6 percent in numeracy to 60.6 percent</w:t>
      </w:r>
      <w:r>
        <w:t>.</w:t>
      </w:r>
    </w:p>
    <w:p w14:paraId="32DC624E" w14:textId="06E44E6B" w:rsidR="00585034" w:rsidRDefault="00585034" w:rsidP="00585034">
      <w:pPr>
        <w:pStyle w:val="ListBullet"/>
      </w:pPr>
      <w:r>
        <w:lastRenderedPageBreak/>
        <w:t xml:space="preserve">A </w:t>
      </w:r>
      <w:proofErr w:type="gramStart"/>
      <w:r w:rsidRPr="00DE504B">
        <w:t>2 percentage</w:t>
      </w:r>
      <w:proofErr w:type="gramEnd"/>
      <w:r w:rsidRPr="00DE504B">
        <w:t xml:space="preserve"> point increase in the proportion of students in the top two bands for years 3</w:t>
      </w:r>
      <w:r w:rsidR="006E3508">
        <w:t xml:space="preserve"> and </w:t>
      </w:r>
      <w:r w:rsidRPr="00DE504B">
        <w:t>5 in all areas of NAPLAN from: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72"/>
        <w:gridCol w:w="3165"/>
      </w:tblGrid>
      <w:tr w:rsidR="00585034" w:rsidRPr="00DE504B" w14:paraId="749650A0" w14:textId="77777777" w:rsidTr="00C21B45">
        <w:trPr>
          <w:trHeight w:val="5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5CA" w14:textId="77777777" w:rsidR="00585034" w:rsidRPr="00DE504B" w:rsidRDefault="00585034" w:rsidP="00C21B45">
            <w:pPr>
              <w:pStyle w:val="BodyText"/>
              <w:spacing w:after="0"/>
              <w:ind w:left="720"/>
              <w:rPr>
                <w:rFonts w:ascii="Calibri" w:hAnsi="Calibri"/>
                <w:b/>
              </w:rPr>
            </w:pPr>
            <w:r w:rsidRPr="00DE504B">
              <w:rPr>
                <w:rFonts w:ascii="Calibri" w:hAnsi="Calibri"/>
                <w:b/>
              </w:rPr>
              <w:t>Area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CD9" w14:textId="47981AE7" w:rsidR="00585034" w:rsidRDefault="00585034" w:rsidP="00C21B45">
            <w:pPr>
              <w:pStyle w:val="BodyText"/>
              <w:spacing w:after="0"/>
              <w:rPr>
                <w:rFonts w:ascii="Calibri" w:hAnsi="Calibri"/>
                <w:b/>
              </w:rPr>
            </w:pPr>
            <w:r w:rsidRPr="00DE504B">
              <w:rPr>
                <w:rFonts w:ascii="Calibri" w:hAnsi="Calibri"/>
                <w:b/>
              </w:rPr>
              <w:t>Year 3</w:t>
            </w:r>
            <w:r w:rsidR="006E3508">
              <w:rPr>
                <w:rFonts w:ascii="Calibri" w:hAnsi="Calibri"/>
                <w:b/>
              </w:rPr>
              <w:t>,</w:t>
            </w:r>
            <w:r w:rsidRPr="00DE504B">
              <w:rPr>
                <w:rFonts w:ascii="Calibri" w:hAnsi="Calibri"/>
                <w:b/>
              </w:rPr>
              <w:t xml:space="preserve"> </w:t>
            </w:r>
            <w:r w:rsidR="006E3508">
              <w:rPr>
                <w:rFonts w:ascii="Calibri" w:hAnsi="Calibri"/>
                <w:b/>
              </w:rPr>
              <w:t xml:space="preserve">% in Top 2 </w:t>
            </w:r>
            <w:r w:rsidRPr="00DE504B">
              <w:rPr>
                <w:rFonts w:ascii="Calibri" w:hAnsi="Calibri"/>
                <w:b/>
              </w:rPr>
              <w:t>Band</w:t>
            </w:r>
            <w:r w:rsidR="006E3508">
              <w:rPr>
                <w:rFonts w:ascii="Calibri" w:hAnsi="Calibri"/>
                <w:b/>
              </w:rPr>
              <w:t>s</w:t>
            </w:r>
          </w:p>
          <w:p w14:paraId="6EBDC232" w14:textId="77777777" w:rsidR="00585034" w:rsidRPr="00DE504B" w:rsidRDefault="00585034" w:rsidP="00C21B45">
            <w:pPr>
              <w:pStyle w:val="BodyText"/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2013-2015 average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18D" w14:textId="3824F1C4" w:rsidR="00585034" w:rsidRDefault="00585034" w:rsidP="00C21B45">
            <w:pPr>
              <w:pStyle w:val="BodyText"/>
              <w:spacing w:after="0"/>
              <w:rPr>
                <w:rFonts w:ascii="Calibri" w:hAnsi="Calibri"/>
                <w:b/>
              </w:rPr>
            </w:pPr>
            <w:r w:rsidRPr="00DE504B">
              <w:rPr>
                <w:rFonts w:ascii="Calibri" w:hAnsi="Calibri"/>
                <w:b/>
              </w:rPr>
              <w:t>Year 5</w:t>
            </w:r>
            <w:r w:rsidR="006E3508">
              <w:rPr>
                <w:rFonts w:ascii="Calibri" w:hAnsi="Calibri"/>
                <w:b/>
              </w:rPr>
              <w:t xml:space="preserve">, % in Top 2 </w:t>
            </w:r>
            <w:r w:rsidR="006E3508" w:rsidRPr="00DE504B">
              <w:rPr>
                <w:rFonts w:ascii="Calibri" w:hAnsi="Calibri"/>
                <w:b/>
              </w:rPr>
              <w:t>Band</w:t>
            </w:r>
            <w:r w:rsidR="006E3508">
              <w:rPr>
                <w:rFonts w:ascii="Calibri" w:hAnsi="Calibri"/>
                <w:b/>
              </w:rPr>
              <w:t>s</w:t>
            </w:r>
          </w:p>
          <w:p w14:paraId="44726B97" w14:textId="77777777" w:rsidR="00585034" w:rsidRPr="00DE504B" w:rsidRDefault="00585034" w:rsidP="00C21B45">
            <w:pPr>
              <w:pStyle w:val="BodyText"/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2013-2015 average</w:t>
            </w:r>
          </w:p>
        </w:tc>
      </w:tr>
      <w:tr w:rsidR="00585034" w14:paraId="3F8D1E2D" w14:textId="77777777" w:rsidTr="00C21B45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0E73" w14:textId="77777777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Reading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33A" w14:textId="7C5BB45B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22.3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2C8E" w14:textId="128F53AD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16.7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585034" w14:paraId="27C89961" w14:textId="77777777" w:rsidTr="00C21B45">
        <w:trPr>
          <w:trHeight w:val="2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EFA" w14:textId="77777777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Writing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435D" w14:textId="65230430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17.8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18C2" w14:textId="1F89D99C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8.6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585034" w14:paraId="5824381A" w14:textId="77777777" w:rsidTr="00C21B45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BFA" w14:textId="77777777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Spelling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96E" w14:textId="0B648C78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18.3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FB94" w14:textId="066DED46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18.2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585034" w14:paraId="554E1F1F" w14:textId="77777777" w:rsidTr="00C21B45">
        <w:trPr>
          <w:trHeight w:val="2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766" w14:textId="77777777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Grammar &amp; Punctuation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163" w14:textId="2B6D81B4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19.9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8AF" w14:textId="4234415D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17.8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585034" w14:paraId="4E20231A" w14:textId="77777777" w:rsidTr="00C21B45">
        <w:trPr>
          <w:trHeight w:val="27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CD1" w14:textId="77777777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Numeracy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E9F" w14:textId="2315B361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14.8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BA7" w14:textId="69BC69B2" w:rsidR="00585034" w:rsidRPr="006E3508" w:rsidRDefault="00585034" w:rsidP="00C21B45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11.6</w:t>
            </w:r>
            <w:r w:rsidR="006E3508" w:rsidRPr="006E3508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</w:tbl>
    <w:p w14:paraId="41EF89B1" w14:textId="7BBC7A78" w:rsidR="00585034" w:rsidRPr="00DE504B" w:rsidRDefault="00585034" w:rsidP="00585034">
      <w:pPr>
        <w:pStyle w:val="BodyText"/>
        <w:spacing w:after="0"/>
        <w:ind w:left="720"/>
        <w:rPr>
          <w:rFonts w:ascii="Calibri" w:hAnsi="Calibri"/>
        </w:rPr>
      </w:pPr>
      <w:r>
        <w:t xml:space="preserve">Source: </w:t>
      </w:r>
      <w:r w:rsidR="006E3508">
        <w:t xml:space="preserve">SMART Data, </w:t>
      </w:r>
      <w:r>
        <w:t>2015</w:t>
      </w:r>
    </w:p>
    <w:p w14:paraId="4C57CFF8" w14:textId="77777777" w:rsidR="00585034" w:rsidRDefault="00585034" w:rsidP="00EB70CE">
      <w:pPr>
        <w:pStyle w:val="BodyText"/>
      </w:pPr>
    </w:p>
    <w:p w14:paraId="6BF90988" w14:textId="712A77CE" w:rsidR="00EB70CE" w:rsidRPr="00373DC0" w:rsidRDefault="00EB70CE" w:rsidP="00EB70CE">
      <w:pPr>
        <w:pStyle w:val="BodyText"/>
      </w:pPr>
      <w:r w:rsidRPr="00373DC0">
        <w:t>In 20</w:t>
      </w:r>
      <w:r w:rsidR="006E3508">
        <w:t>19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896051A" w14:textId="77777777" w:rsidR="00382E13" w:rsidRDefault="00382E13" w:rsidP="00382E13">
      <w:pPr>
        <w:pStyle w:val="ListBullet"/>
      </w:pPr>
      <w:r w:rsidRPr="00CA0827">
        <w:t xml:space="preserve">Continue the implementation of the Professional Learning Community, including </w:t>
      </w:r>
      <w:r>
        <w:t>three tiers of intervention.</w:t>
      </w:r>
    </w:p>
    <w:p w14:paraId="792B7CF3" w14:textId="71AA97FF" w:rsidR="00382E13" w:rsidRDefault="00382E13" w:rsidP="00382E13">
      <w:pPr>
        <w:pStyle w:val="ListBullet"/>
      </w:pPr>
      <w:r w:rsidRPr="00382E13">
        <w:rPr>
          <w:rFonts w:ascii="Calibri" w:hAnsi="Calibri"/>
        </w:rPr>
        <w:t>Formalise coaching and mentoring procedures.</w:t>
      </w:r>
      <w:r w:rsidRPr="000F0410">
        <w:t xml:space="preserve"> </w:t>
      </w:r>
    </w:p>
    <w:p w14:paraId="567DD824" w14:textId="77777777" w:rsidR="00382E13" w:rsidRPr="00D46A10" w:rsidRDefault="00382E13" w:rsidP="00382E13">
      <w:pPr>
        <w:pStyle w:val="ListBullet"/>
      </w:pPr>
      <w:r w:rsidRPr="00D46A10">
        <w:t>Extend and improve the existing approach to differentiation consistently across the school</w:t>
      </w:r>
      <w:r>
        <w:t>.</w:t>
      </w:r>
    </w:p>
    <w:p w14:paraId="7CF2A55D" w14:textId="77777777" w:rsidR="00382E13" w:rsidRPr="000F0410" w:rsidRDefault="00382E13" w:rsidP="00382E13">
      <w:pPr>
        <w:pStyle w:val="ListBullet"/>
      </w:pPr>
      <w:r w:rsidRPr="00CA0827">
        <w:t>Embed ICT pedagogies across all learning areas.</w:t>
      </w:r>
    </w:p>
    <w:p w14:paraId="32A84660" w14:textId="1E707A26" w:rsidR="00EB70CE" w:rsidRDefault="00EB70CE" w:rsidP="00EB70CE">
      <w:pPr>
        <w:pStyle w:val="PlainText"/>
        <w:rPr>
          <w:noProof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5C0ACCA2" w14:textId="77777777" w:rsidR="00675C00" w:rsidRPr="00997CD0" w:rsidRDefault="00675C00" w:rsidP="00EB70CE">
      <w:pPr>
        <w:pStyle w:val="PlainText"/>
        <w:rPr>
          <w:i/>
        </w:rPr>
      </w:pP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1105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709"/>
        <w:gridCol w:w="596"/>
        <w:gridCol w:w="624"/>
        <w:gridCol w:w="55"/>
        <w:gridCol w:w="569"/>
        <w:gridCol w:w="624"/>
        <w:gridCol w:w="83"/>
        <w:gridCol w:w="542"/>
        <w:gridCol w:w="624"/>
        <w:gridCol w:w="110"/>
        <w:gridCol w:w="514"/>
        <w:gridCol w:w="624"/>
        <w:gridCol w:w="421"/>
        <w:gridCol w:w="203"/>
        <w:gridCol w:w="624"/>
        <w:gridCol w:w="591"/>
      </w:tblGrid>
      <w:tr w:rsidR="00585034" w14:paraId="52A1D276" w14:textId="77777777" w:rsidTr="00AF4FF1">
        <w:trPr>
          <w:jc w:val="center"/>
        </w:trPr>
        <w:tc>
          <w:tcPr>
            <w:tcW w:w="2547" w:type="dxa"/>
            <w:shd w:val="clear" w:color="auto" w:fill="auto"/>
          </w:tcPr>
          <w:p w14:paraId="38831A05" w14:textId="77777777" w:rsidR="00585034" w:rsidRPr="00D03B0C" w:rsidRDefault="00585034" w:rsidP="00C21B45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701" w:type="dxa"/>
            <w:gridSpan w:val="2"/>
          </w:tcPr>
          <w:p w14:paraId="510EEC78" w14:textId="77777777" w:rsidR="00585034" w:rsidRDefault="00585034" w:rsidP="00C21B45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25B2311B" w14:textId="52FA4323" w:rsidR="00C5368C" w:rsidRPr="00D03B0C" w:rsidRDefault="00627DEE" w:rsidP="00C21B4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D428961" w14:textId="77777777" w:rsidR="00585034" w:rsidRDefault="00585034" w:rsidP="00C21B45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7FEBA05C" w14:textId="797D7D0F" w:rsidR="00412B78" w:rsidRPr="00D03B0C" w:rsidRDefault="00627DEE" w:rsidP="00C21B4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BD78312" w14:textId="77777777" w:rsidR="00585034" w:rsidRDefault="00585034" w:rsidP="00C21B45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0D73E116" w14:textId="23AB5BD6" w:rsidR="00627DEE" w:rsidRPr="00D03B0C" w:rsidRDefault="00627DEE" w:rsidP="00C21B4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BA8D37B" w14:textId="77777777" w:rsidR="00585034" w:rsidRDefault="00585034" w:rsidP="00C21B45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318EBF9E" w14:textId="6E696EF7" w:rsidR="00627DEE" w:rsidRPr="00D03B0C" w:rsidRDefault="00627DEE" w:rsidP="00C21B4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C59D3D5" w14:textId="77777777" w:rsidR="00585034" w:rsidRPr="00D03B0C" w:rsidRDefault="00585034" w:rsidP="00C21B45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D207E80" w14:textId="77777777" w:rsidR="00585034" w:rsidRPr="00D03B0C" w:rsidRDefault="00585034" w:rsidP="00C21B45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412B78" w14:paraId="619F7E44" w14:textId="77777777" w:rsidTr="00AF4FF1">
        <w:trPr>
          <w:trHeight w:val="632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2513CA2B" w14:textId="6150EA9D" w:rsidR="00412B78" w:rsidRPr="006E3508" w:rsidRDefault="00412B78" w:rsidP="00627DEE">
            <w:pPr>
              <w:pStyle w:val="ListBullet"/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 xml:space="preserve">A </w:t>
            </w:r>
            <w:proofErr w:type="gramStart"/>
            <w:r w:rsidRPr="006E3508">
              <w:rPr>
                <w:sz w:val="20"/>
                <w:szCs w:val="20"/>
              </w:rPr>
              <w:t>5 percentage</w:t>
            </w:r>
            <w:proofErr w:type="gramEnd"/>
            <w:r w:rsidRPr="006E3508">
              <w:rPr>
                <w:sz w:val="20"/>
                <w:szCs w:val="20"/>
              </w:rPr>
              <w:t xml:space="preserve"> point increase in the proportion of students gaining greater than or equal to expected growth for NAPLAN reading and numeracy years 3 to 5 up from 50.9 percent in reading to 55.9 percent and from 55.6 percent in numeracy to 60.6 percent.</w:t>
            </w:r>
          </w:p>
        </w:tc>
        <w:tc>
          <w:tcPr>
            <w:tcW w:w="1701" w:type="dxa"/>
            <w:gridSpan w:val="2"/>
          </w:tcPr>
          <w:p w14:paraId="271A6A76" w14:textId="3E94896F" w:rsidR="00412B78" w:rsidRPr="006E3508" w:rsidRDefault="00412B78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Reading</w:t>
            </w:r>
            <w:r w:rsidR="00C5368C" w:rsidRPr="006E3508">
              <w:rPr>
                <w:sz w:val="20"/>
                <w:szCs w:val="20"/>
              </w:rPr>
              <w:t>, 2016: 52.8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37A47674" w14:textId="5543D8F8" w:rsidR="00412B78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58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610A06" w14:textId="15F07F6E" w:rsidR="00412B78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64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4CA5668" w14:textId="46556757" w:rsidR="00412B78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76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1619F89" w14:textId="6558B98D" w:rsidR="00412B78" w:rsidRPr="006E3508" w:rsidRDefault="00412B78" w:rsidP="00C21B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93216C0" w14:textId="77777777" w:rsidR="00412B78" w:rsidRPr="006E3508" w:rsidRDefault="00412B78" w:rsidP="00C21B45">
            <w:pPr>
              <w:rPr>
                <w:sz w:val="20"/>
                <w:szCs w:val="20"/>
              </w:rPr>
            </w:pPr>
          </w:p>
        </w:tc>
      </w:tr>
      <w:tr w:rsidR="00C5368C" w14:paraId="1B0FE4BC" w14:textId="77777777" w:rsidTr="00AF4FF1">
        <w:trPr>
          <w:trHeight w:val="631"/>
          <w:jc w:val="center"/>
        </w:trPr>
        <w:tc>
          <w:tcPr>
            <w:tcW w:w="2547" w:type="dxa"/>
            <w:vMerge/>
            <w:shd w:val="clear" w:color="auto" w:fill="auto"/>
          </w:tcPr>
          <w:p w14:paraId="5315B59F" w14:textId="77777777" w:rsidR="00C5368C" w:rsidRPr="006E3508" w:rsidRDefault="00C5368C" w:rsidP="00585034">
            <w:pPr>
              <w:pStyle w:val="ListBulle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2E57935" w14:textId="63692F2E" w:rsidR="00C5368C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Numeracy, 2016: 43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3867995B" w14:textId="26E77318" w:rsidR="00C5368C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47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9730D40" w14:textId="183720C2" w:rsidR="00C5368C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65.4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DD0553F" w14:textId="556A6047" w:rsidR="00C5368C" w:rsidRPr="006E3508" w:rsidRDefault="00C5368C" w:rsidP="00C21B45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63</w:t>
            </w:r>
            <w:r w:rsidR="006E3508" w:rsidRPr="006E350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4C633B9C" w14:textId="1618DFEB" w:rsidR="00C5368C" w:rsidRPr="006E3508" w:rsidRDefault="00C5368C" w:rsidP="00C21B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5F2B4D4" w14:textId="77777777" w:rsidR="00C5368C" w:rsidRPr="006E3508" w:rsidRDefault="00C5368C" w:rsidP="00C21B45">
            <w:pPr>
              <w:rPr>
                <w:sz w:val="20"/>
                <w:szCs w:val="20"/>
              </w:rPr>
            </w:pPr>
          </w:p>
        </w:tc>
      </w:tr>
      <w:tr w:rsidR="00AF4FF1" w14:paraId="4B3410E5" w14:textId="77777777" w:rsidTr="00AF4FF1">
        <w:trPr>
          <w:trHeight w:val="135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433DC3B" w14:textId="0C61E49D" w:rsidR="00585034" w:rsidRPr="006E3508" w:rsidRDefault="00585034" w:rsidP="00AF4FF1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 xml:space="preserve">A </w:t>
            </w:r>
            <w:proofErr w:type="gramStart"/>
            <w:r w:rsidRPr="006E3508">
              <w:rPr>
                <w:sz w:val="20"/>
                <w:szCs w:val="20"/>
              </w:rPr>
              <w:t>2 percentage</w:t>
            </w:r>
            <w:proofErr w:type="gramEnd"/>
            <w:r w:rsidRPr="006E3508">
              <w:rPr>
                <w:sz w:val="20"/>
                <w:szCs w:val="20"/>
              </w:rPr>
              <w:t xml:space="preserve"> point increase in the proportion of students in the top two bands for years 3,5 in all areas of NAPLAN from</w:t>
            </w:r>
          </w:p>
          <w:p w14:paraId="3EBBF196" w14:textId="28007276" w:rsidR="00585034" w:rsidRPr="006E3508" w:rsidRDefault="00585034" w:rsidP="005850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F6BA67" w14:textId="41FA89D5" w:rsidR="00585034" w:rsidRPr="006E3508" w:rsidRDefault="00585034" w:rsidP="005850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B2FDD23" w14:textId="2747E67C" w:rsidR="00585034" w:rsidRPr="006E3508" w:rsidRDefault="00585034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3 Top 2 bands % av</w:t>
            </w:r>
            <w:r w:rsidR="00AF4FF1">
              <w:rPr>
                <w:rFonts w:ascii="Calibri" w:hAnsi="Calibri"/>
                <w:sz w:val="20"/>
                <w:szCs w:val="20"/>
              </w:rPr>
              <w:t>g</w:t>
            </w:r>
            <w:r w:rsidRPr="006E3508">
              <w:rPr>
                <w:rFonts w:ascii="Calibri" w:hAnsi="Calibri"/>
                <w:sz w:val="20"/>
                <w:szCs w:val="20"/>
              </w:rPr>
              <w:t xml:space="preserve"> 2013-2015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14:paraId="478B5222" w14:textId="5CD8F69D" w:rsidR="00585034" w:rsidRPr="006E3508" w:rsidRDefault="00585034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5 Top 2 bands % av</w:t>
            </w:r>
            <w:r w:rsidR="00AF4FF1">
              <w:rPr>
                <w:rFonts w:ascii="Calibri" w:hAnsi="Calibri"/>
                <w:sz w:val="20"/>
                <w:szCs w:val="20"/>
              </w:rPr>
              <w:t>g</w:t>
            </w:r>
            <w:r w:rsidRPr="006E3508">
              <w:rPr>
                <w:rFonts w:ascii="Calibri" w:hAnsi="Calibri"/>
                <w:sz w:val="20"/>
                <w:szCs w:val="20"/>
              </w:rPr>
              <w:t xml:space="preserve"> 2013-2015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6F886135" w14:textId="5C5E40CD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3 Top 2 bands %</w:t>
            </w:r>
          </w:p>
          <w:p w14:paraId="2E6D6D76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55395622" w14:textId="2C1C605C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217EB928" w14:textId="511D6797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5 Top 2 bands %</w:t>
            </w:r>
          </w:p>
          <w:p w14:paraId="1DF8541E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064352CC" w14:textId="0503F750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8942743" w14:textId="7A3EE436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3 Top 2 bands %</w:t>
            </w:r>
          </w:p>
          <w:p w14:paraId="1AD391FE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22619EFC" w14:textId="0CDA5464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625" w:type="dxa"/>
            <w:gridSpan w:val="2"/>
            <w:shd w:val="clear" w:color="auto" w:fill="D9E2F3" w:themeFill="accent5" w:themeFillTint="33"/>
          </w:tcPr>
          <w:p w14:paraId="456C0AE3" w14:textId="1784B998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5 Top 2 bands %</w:t>
            </w:r>
          </w:p>
          <w:p w14:paraId="2DD86486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5FCC0FBC" w14:textId="16C59BE3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7A5BEE36" w14:textId="357B36A4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3 Top 2 bands %</w:t>
            </w:r>
          </w:p>
          <w:p w14:paraId="17121861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6A2B684D" w14:textId="2EE42E8F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55BAC845" w14:textId="4100E1C3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5 Top 2 bands %</w:t>
            </w:r>
          </w:p>
          <w:p w14:paraId="54696728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32847EE8" w14:textId="079B2C21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26B15B45" w14:textId="49309DA1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3 Top 2 bands %</w:t>
            </w:r>
          </w:p>
          <w:p w14:paraId="1A3FAF0E" w14:textId="77777777" w:rsidR="00C5368C" w:rsidRPr="006E3508" w:rsidRDefault="00C5368C" w:rsidP="00585034">
            <w:pPr>
              <w:rPr>
                <w:sz w:val="20"/>
                <w:szCs w:val="20"/>
              </w:rPr>
            </w:pPr>
          </w:p>
          <w:p w14:paraId="528A82F8" w14:textId="0FFC7439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2019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6951BB2E" w14:textId="73C3D328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5 Top 2 bands %</w:t>
            </w:r>
          </w:p>
          <w:p w14:paraId="6E99F66D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20055B6E" w14:textId="295721BF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3397DFE" w14:textId="27480F40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3 Top 2 bands %</w:t>
            </w:r>
          </w:p>
          <w:p w14:paraId="51FE532A" w14:textId="77777777" w:rsidR="00C5368C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</w:p>
          <w:p w14:paraId="164B8DCC" w14:textId="3795E891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591" w:type="dxa"/>
            <w:shd w:val="clear" w:color="auto" w:fill="D9E2F3" w:themeFill="accent5" w:themeFillTint="33"/>
          </w:tcPr>
          <w:p w14:paraId="089A83FB" w14:textId="7F87DBD9" w:rsidR="00585034" w:rsidRPr="006E3508" w:rsidRDefault="00C5368C" w:rsidP="00585034">
            <w:pPr>
              <w:rPr>
                <w:rFonts w:ascii="Calibri" w:hAnsi="Calibri"/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Year 5 Top 2 bands %</w:t>
            </w:r>
          </w:p>
          <w:p w14:paraId="037505AB" w14:textId="77777777" w:rsidR="00C5368C" w:rsidRPr="006E3508" w:rsidRDefault="00C5368C" w:rsidP="00585034">
            <w:pPr>
              <w:rPr>
                <w:sz w:val="20"/>
                <w:szCs w:val="20"/>
              </w:rPr>
            </w:pPr>
          </w:p>
          <w:p w14:paraId="089159F0" w14:textId="6FDBE315" w:rsidR="00C5368C" w:rsidRPr="006E3508" w:rsidRDefault="00C5368C" w:rsidP="00585034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2020</w:t>
            </w:r>
          </w:p>
        </w:tc>
      </w:tr>
      <w:tr w:rsidR="00AF4FF1" w14:paraId="4DF84B00" w14:textId="77777777" w:rsidTr="00AF4FF1">
        <w:trPr>
          <w:trHeight w:val="132"/>
          <w:jc w:val="center"/>
        </w:trPr>
        <w:tc>
          <w:tcPr>
            <w:tcW w:w="2547" w:type="dxa"/>
            <w:vMerge/>
            <w:shd w:val="clear" w:color="auto" w:fill="auto"/>
          </w:tcPr>
          <w:p w14:paraId="2CB769E1" w14:textId="77777777" w:rsidR="00C5368C" w:rsidRPr="006E3508" w:rsidRDefault="00C5368C" w:rsidP="00C5368C">
            <w:pPr>
              <w:pStyle w:val="ListBulle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65A98B" w14:textId="438689FE" w:rsidR="00C5368C" w:rsidRPr="00AF4FF1" w:rsidRDefault="00C5368C" w:rsidP="00C5368C">
            <w:pPr>
              <w:rPr>
                <w:sz w:val="16"/>
                <w:szCs w:val="16"/>
              </w:rPr>
            </w:pPr>
            <w:r w:rsidRPr="00AF4FF1">
              <w:rPr>
                <w:rFonts w:ascii="Calibri" w:hAnsi="Calibri"/>
                <w:sz w:val="16"/>
                <w:szCs w:val="16"/>
              </w:rPr>
              <w:t>Reading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E25F3F1" w14:textId="0CBED0D6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22.3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14:paraId="4FF3FB2A" w14:textId="6309117E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58710DF" w14:textId="15C6A43A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50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510C321A" w14:textId="6E6D66C9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767CD88A" w14:textId="0B28911B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5" w:type="dxa"/>
            <w:gridSpan w:val="2"/>
            <w:shd w:val="clear" w:color="auto" w:fill="D9E2F3" w:themeFill="accent5" w:themeFillTint="33"/>
          </w:tcPr>
          <w:p w14:paraId="5BEAE935" w14:textId="78461600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5AEB2C26" w14:textId="1E5BEE78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5E018752" w14:textId="195BB88E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2747FF43" w14:textId="5D3553BA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7BB1324C" w14:textId="3C933426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026E76AF" w14:textId="5D04CF94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D9E2F3" w:themeFill="accent5" w:themeFillTint="33"/>
          </w:tcPr>
          <w:p w14:paraId="57E381D2" w14:textId="16470E57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FF1" w14:paraId="5306BBCB" w14:textId="77777777" w:rsidTr="00AF4FF1">
        <w:trPr>
          <w:trHeight w:val="132"/>
          <w:jc w:val="center"/>
        </w:trPr>
        <w:tc>
          <w:tcPr>
            <w:tcW w:w="2547" w:type="dxa"/>
            <w:vMerge/>
            <w:shd w:val="clear" w:color="auto" w:fill="auto"/>
          </w:tcPr>
          <w:p w14:paraId="4962268D" w14:textId="77777777" w:rsidR="00C5368C" w:rsidRPr="006E3508" w:rsidRDefault="00C5368C" w:rsidP="00C5368C">
            <w:pPr>
              <w:pStyle w:val="ListBulle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6DCA1C" w14:textId="566E7E7D" w:rsidR="00C5368C" w:rsidRPr="00AF4FF1" w:rsidRDefault="00C5368C" w:rsidP="00C5368C">
            <w:pPr>
              <w:rPr>
                <w:sz w:val="16"/>
                <w:szCs w:val="16"/>
              </w:rPr>
            </w:pPr>
            <w:r w:rsidRPr="00AF4FF1">
              <w:rPr>
                <w:rFonts w:ascii="Calibri" w:hAnsi="Calibri"/>
                <w:sz w:val="16"/>
                <w:szCs w:val="16"/>
              </w:rPr>
              <w:t>Writing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FEF7AAC" w14:textId="46FFD659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17.8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14:paraId="72BE67A2" w14:textId="13CF2E0F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B29A9D1" w14:textId="0096FEFE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46.3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514204E8" w14:textId="4EC77FBC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213E4F95" w14:textId="533149E3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5" w:type="dxa"/>
            <w:gridSpan w:val="2"/>
            <w:shd w:val="clear" w:color="auto" w:fill="D9E2F3" w:themeFill="accent5" w:themeFillTint="33"/>
          </w:tcPr>
          <w:p w14:paraId="6CC30BD3" w14:textId="62314D3E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65775749" w14:textId="5B3304B1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11A98BCD" w14:textId="2F74F955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311C71B6" w14:textId="7DDF152F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3064EB8D" w14:textId="0CB6051B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07F907C4" w14:textId="1C9C3969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D9E2F3" w:themeFill="accent5" w:themeFillTint="33"/>
          </w:tcPr>
          <w:p w14:paraId="2AAD3CEB" w14:textId="3EFDE9DC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FF1" w14:paraId="4CA15395" w14:textId="77777777" w:rsidTr="00AF4FF1">
        <w:trPr>
          <w:trHeight w:val="132"/>
          <w:jc w:val="center"/>
        </w:trPr>
        <w:tc>
          <w:tcPr>
            <w:tcW w:w="2547" w:type="dxa"/>
            <w:vMerge/>
            <w:shd w:val="clear" w:color="auto" w:fill="auto"/>
          </w:tcPr>
          <w:p w14:paraId="445F2BF8" w14:textId="77777777" w:rsidR="00C5368C" w:rsidRPr="006E3508" w:rsidRDefault="00C5368C" w:rsidP="00C5368C">
            <w:pPr>
              <w:pStyle w:val="ListBulle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269F0A" w14:textId="6823D9E3" w:rsidR="00C5368C" w:rsidRPr="00AF4FF1" w:rsidRDefault="00C5368C" w:rsidP="00C5368C">
            <w:pPr>
              <w:rPr>
                <w:sz w:val="16"/>
                <w:szCs w:val="16"/>
              </w:rPr>
            </w:pPr>
            <w:r w:rsidRPr="00AF4FF1">
              <w:rPr>
                <w:rFonts w:ascii="Calibri" w:hAnsi="Calibri"/>
                <w:sz w:val="16"/>
                <w:szCs w:val="16"/>
              </w:rPr>
              <w:t>Spelling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EB00338" w14:textId="26102303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18.3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14:paraId="00CAAA90" w14:textId="7419E4E4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2319779A" w14:textId="3BC11969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38.9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71786B36" w14:textId="2AE3EDDC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41C4516B" w14:textId="0D71D8E7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625" w:type="dxa"/>
            <w:gridSpan w:val="2"/>
            <w:shd w:val="clear" w:color="auto" w:fill="D9E2F3" w:themeFill="accent5" w:themeFillTint="33"/>
          </w:tcPr>
          <w:p w14:paraId="33B5D7CD" w14:textId="10498D21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09AA0B3" w14:textId="4E73A3FD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62249D93" w14:textId="20AFF9B5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1AF5DE2" w14:textId="1D4DCA18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31BE02E5" w14:textId="034ACF83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3B52568" w14:textId="3053200D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D9E2F3" w:themeFill="accent5" w:themeFillTint="33"/>
          </w:tcPr>
          <w:p w14:paraId="6181D3A5" w14:textId="2E0176FD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FF1" w14:paraId="558829B1" w14:textId="77777777" w:rsidTr="00AF4FF1">
        <w:trPr>
          <w:trHeight w:val="132"/>
          <w:jc w:val="center"/>
        </w:trPr>
        <w:tc>
          <w:tcPr>
            <w:tcW w:w="2547" w:type="dxa"/>
            <w:vMerge/>
            <w:shd w:val="clear" w:color="auto" w:fill="auto"/>
          </w:tcPr>
          <w:p w14:paraId="64105185" w14:textId="77777777" w:rsidR="00C5368C" w:rsidRPr="006E3508" w:rsidRDefault="00C5368C" w:rsidP="00C5368C">
            <w:pPr>
              <w:pStyle w:val="ListBulle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1445B6" w14:textId="532E6F43" w:rsidR="00C5368C" w:rsidRPr="00AF4FF1" w:rsidRDefault="00C5368C" w:rsidP="00C5368C">
            <w:pPr>
              <w:rPr>
                <w:sz w:val="16"/>
                <w:szCs w:val="16"/>
              </w:rPr>
            </w:pPr>
            <w:r w:rsidRPr="00AF4FF1">
              <w:rPr>
                <w:rFonts w:ascii="Calibri" w:hAnsi="Calibri"/>
                <w:sz w:val="16"/>
                <w:szCs w:val="16"/>
              </w:rPr>
              <w:t>Grammar &amp; Punctuation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C3549F" w14:textId="278FAECC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19.9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14:paraId="23096DB4" w14:textId="77B288DB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26AA0983" w14:textId="79F8A164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42.6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1D923B1E" w14:textId="0C7D7B20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3D941A91" w14:textId="71D4F2F5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</w:t>
            </w:r>
          </w:p>
        </w:tc>
        <w:tc>
          <w:tcPr>
            <w:tcW w:w="625" w:type="dxa"/>
            <w:gridSpan w:val="2"/>
            <w:shd w:val="clear" w:color="auto" w:fill="D9E2F3" w:themeFill="accent5" w:themeFillTint="33"/>
          </w:tcPr>
          <w:p w14:paraId="0DF2C232" w14:textId="5AE3B59F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79338B12" w14:textId="761292D2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3510B8E7" w14:textId="72286C8C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31A8CE8E" w14:textId="0679CC6B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5D924D5C" w14:textId="49B44CC8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4AE22FF0" w14:textId="00016154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D9E2F3" w:themeFill="accent5" w:themeFillTint="33"/>
          </w:tcPr>
          <w:p w14:paraId="50AE9B49" w14:textId="093E8821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FF1" w14:paraId="61C1763C" w14:textId="77777777" w:rsidTr="00AF4FF1">
        <w:trPr>
          <w:trHeight w:val="132"/>
          <w:jc w:val="center"/>
        </w:trPr>
        <w:tc>
          <w:tcPr>
            <w:tcW w:w="2547" w:type="dxa"/>
            <w:vMerge/>
            <w:shd w:val="clear" w:color="auto" w:fill="auto"/>
          </w:tcPr>
          <w:p w14:paraId="63B453E6" w14:textId="77777777" w:rsidR="00C5368C" w:rsidRPr="006E3508" w:rsidRDefault="00C5368C" w:rsidP="00C5368C">
            <w:pPr>
              <w:pStyle w:val="ListBulle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038E47" w14:textId="0A78D182" w:rsidR="00C5368C" w:rsidRPr="00AF4FF1" w:rsidRDefault="00C5368C" w:rsidP="00C5368C">
            <w:pPr>
              <w:rPr>
                <w:sz w:val="16"/>
                <w:szCs w:val="16"/>
              </w:rPr>
            </w:pPr>
            <w:r w:rsidRPr="00AF4FF1">
              <w:rPr>
                <w:rFonts w:ascii="Calibri" w:hAnsi="Calibri"/>
                <w:sz w:val="16"/>
                <w:szCs w:val="16"/>
              </w:rPr>
              <w:t>Numeracy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B75E699" w14:textId="5DE9CAA7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14.8</w:t>
            </w:r>
          </w:p>
        </w:tc>
        <w:tc>
          <w:tcPr>
            <w:tcW w:w="596" w:type="dxa"/>
            <w:shd w:val="clear" w:color="auto" w:fill="D9E2F3" w:themeFill="accent5" w:themeFillTint="33"/>
          </w:tcPr>
          <w:p w14:paraId="291B8F02" w14:textId="2FE79336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379DA8F2" w14:textId="5254733C" w:rsidR="00C5368C" w:rsidRPr="006E3508" w:rsidRDefault="00C5368C" w:rsidP="00C5368C">
            <w:pPr>
              <w:rPr>
                <w:sz w:val="20"/>
                <w:szCs w:val="20"/>
              </w:rPr>
            </w:pPr>
            <w:r w:rsidRPr="006E3508">
              <w:rPr>
                <w:sz w:val="20"/>
                <w:szCs w:val="20"/>
              </w:rPr>
              <w:t>37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551C6D3F" w14:textId="2BC48329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2DBAC47A" w14:textId="721EAE64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  <w:tc>
          <w:tcPr>
            <w:tcW w:w="625" w:type="dxa"/>
            <w:gridSpan w:val="2"/>
            <w:shd w:val="clear" w:color="auto" w:fill="D9E2F3" w:themeFill="accent5" w:themeFillTint="33"/>
          </w:tcPr>
          <w:p w14:paraId="3E97F8C8" w14:textId="7154B029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7D67E4C2" w14:textId="6BFB3A6E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672FE3E6" w14:textId="1A24761B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1B687D55" w14:textId="7377FBD3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</w:t>
            </w:r>
          </w:p>
        </w:tc>
        <w:tc>
          <w:tcPr>
            <w:tcW w:w="624" w:type="dxa"/>
            <w:gridSpan w:val="2"/>
            <w:shd w:val="clear" w:color="auto" w:fill="D9E2F3" w:themeFill="accent5" w:themeFillTint="33"/>
          </w:tcPr>
          <w:p w14:paraId="3346E731" w14:textId="6DECEAB2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624" w:type="dxa"/>
            <w:shd w:val="clear" w:color="auto" w:fill="E2EFD9" w:themeFill="accent6" w:themeFillTint="33"/>
          </w:tcPr>
          <w:p w14:paraId="41EEFE5A" w14:textId="4FFF7562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D9E2F3" w:themeFill="accent5" w:themeFillTint="33"/>
          </w:tcPr>
          <w:p w14:paraId="42200736" w14:textId="3EF900A7" w:rsidR="00C5368C" w:rsidRPr="006E3508" w:rsidRDefault="00AF4FF1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FF1" w14:paraId="633178D2" w14:textId="77777777" w:rsidTr="00AF4FF1">
        <w:trPr>
          <w:trHeight w:val="132"/>
          <w:jc w:val="center"/>
        </w:trPr>
        <w:tc>
          <w:tcPr>
            <w:tcW w:w="2547" w:type="dxa"/>
            <w:shd w:val="clear" w:color="auto" w:fill="auto"/>
          </w:tcPr>
          <w:p w14:paraId="40EE6573" w14:textId="77777777" w:rsidR="00AF4FF1" w:rsidRPr="006E3508" w:rsidRDefault="00AF4FF1" w:rsidP="00AF4FF1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0560DA" w14:textId="5DD2EFBE" w:rsidR="00AF4FF1" w:rsidRDefault="00AF4FF1" w:rsidP="00627DEE">
            <w:pPr>
              <w:jc w:val="center"/>
              <w:rPr>
                <w:bCs/>
              </w:rPr>
            </w:pPr>
            <w:r w:rsidRPr="00AF4FF1">
              <w:rPr>
                <w:bCs/>
              </w:rPr>
              <w:t>Base</w:t>
            </w:r>
          </w:p>
          <w:p w14:paraId="14B6BC81" w14:textId="1A09BB00" w:rsidR="00AF4FF1" w:rsidRPr="00AF4FF1" w:rsidRDefault="00627DEE" w:rsidP="00627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2016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4574A03F" w14:textId="77777777" w:rsidR="00AF4FF1" w:rsidRDefault="00AF4FF1" w:rsidP="00627DEE">
            <w:pPr>
              <w:jc w:val="center"/>
              <w:rPr>
                <w:bCs/>
              </w:rPr>
            </w:pPr>
            <w:r w:rsidRPr="00AF4FF1">
              <w:rPr>
                <w:bCs/>
              </w:rPr>
              <w:t>Year 1</w:t>
            </w:r>
          </w:p>
          <w:p w14:paraId="416A5E88" w14:textId="7B8F4DCA" w:rsidR="00627DEE" w:rsidRPr="00AF4FF1" w:rsidRDefault="00627DEE" w:rsidP="00627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2017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27B53AD5" w14:textId="77777777" w:rsidR="00AF4FF1" w:rsidRDefault="00AF4FF1" w:rsidP="00627DEE">
            <w:pPr>
              <w:jc w:val="center"/>
              <w:rPr>
                <w:bCs/>
              </w:rPr>
            </w:pPr>
            <w:r w:rsidRPr="00AF4FF1">
              <w:rPr>
                <w:bCs/>
              </w:rPr>
              <w:t>Year 2</w:t>
            </w:r>
          </w:p>
          <w:p w14:paraId="28B94DB1" w14:textId="3B476B03" w:rsidR="00627DEE" w:rsidRPr="00AF4FF1" w:rsidRDefault="00627DEE" w:rsidP="00627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2018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013FA812" w14:textId="77777777" w:rsidR="00AF4FF1" w:rsidRDefault="00AF4FF1" w:rsidP="00627DEE">
            <w:pPr>
              <w:jc w:val="center"/>
              <w:rPr>
                <w:bCs/>
              </w:rPr>
            </w:pPr>
            <w:r w:rsidRPr="00AF4FF1">
              <w:rPr>
                <w:bCs/>
              </w:rPr>
              <w:t>Year 3</w:t>
            </w:r>
          </w:p>
          <w:p w14:paraId="67E6414F" w14:textId="3676F94E" w:rsidR="00627DEE" w:rsidRPr="00AF4FF1" w:rsidRDefault="00627DEE" w:rsidP="00627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2019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76764180" w14:textId="77777777" w:rsidR="00AF4FF1" w:rsidRDefault="00AF4FF1" w:rsidP="00627DEE">
            <w:pPr>
              <w:jc w:val="center"/>
              <w:rPr>
                <w:bCs/>
              </w:rPr>
            </w:pPr>
            <w:r w:rsidRPr="00AF4FF1">
              <w:rPr>
                <w:bCs/>
              </w:rPr>
              <w:t>Year 4</w:t>
            </w:r>
          </w:p>
          <w:p w14:paraId="076474E1" w14:textId="6A9A6208" w:rsidR="00627DEE" w:rsidRPr="00AF4FF1" w:rsidRDefault="00627DEE" w:rsidP="00627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4C72F14" w14:textId="77777777" w:rsidR="00AF4FF1" w:rsidRDefault="00AF4FF1" w:rsidP="00627DEE">
            <w:pPr>
              <w:jc w:val="center"/>
              <w:rPr>
                <w:bCs/>
              </w:rPr>
            </w:pPr>
            <w:r w:rsidRPr="00AF4FF1">
              <w:rPr>
                <w:bCs/>
              </w:rPr>
              <w:t>Year 5</w:t>
            </w:r>
          </w:p>
          <w:p w14:paraId="33E494E9" w14:textId="779820A3" w:rsidR="00627DEE" w:rsidRPr="00AF4FF1" w:rsidRDefault="00627DEE" w:rsidP="00627D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2021</w:t>
            </w:r>
          </w:p>
        </w:tc>
      </w:tr>
      <w:tr w:rsidR="00C5368C" w14:paraId="32872ACC" w14:textId="77777777" w:rsidTr="00AF4FF1">
        <w:trPr>
          <w:trHeight w:val="132"/>
          <w:jc w:val="center"/>
        </w:trPr>
        <w:tc>
          <w:tcPr>
            <w:tcW w:w="2547" w:type="dxa"/>
            <w:shd w:val="clear" w:color="auto" w:fill="auto"/>
          </w:tcPr>
          <w:p w14:paraId="5A672B40" w14:textId="3BAE455E" w:rsidR="00C5368C" w:rsidRPr="006E3508" w:rsidRDefault="00C5368C" w:rsidP="00AF4FF1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E3508">
              <w:rPr>
                <w:rFonts w:ascii="Calibri" w:hAnsi="Calibri"/>
                <w:sz w:val="20"/>
                <w:szCs w:val="20"/>
              </w:rPr>
              <w:t>Increase in the proportion of students achieving key learning as identified by power standards in the areas of literacy and numeracy.</w:t>
            </w:r>
          </w:p>
        </w:tc>
        <w:tc>
          <w:tcPr>
            <w:tcW w:w="1701" w:type="dxa"/>
            <w:gridSpan w:val="2"/>
          </w:tcPr>
          <w:p w14:paraId="13E1D3BB" w14:textId="4DA8B140" w:rsidR="00C5368C" w:rsidRPr="006E3508" w:rsidRDefault="00627DEE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Completed*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49226EE8" w14:textId="592BD4E4" w:rsidR="00C5368C" w:rsidRPr="006E3508" w:rsidRDefault="00627DEE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Completed*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77DF061C" w14:textId="0193091F" w:rsidR="00C5368C" w:rsidRPr="00627DEE" w:rsidRDefault="00627DEE" w:rsidP="00C5368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Completed*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B8CC900" w14:textId="6A3E82B8" w:rsidR="00C5368C" w:rsidRPr="006E3508" w:rsidRDefault="00627DEE" w:rsidP="00C5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N/A*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013BC16D" w14:textId="77777777" w:rsidR="00C5368C" w:rsidRPr="006E3508" w:rsidRDefault="00C5368C" w:rsidP="00C536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8B8544E" w14:textId="77777777" w:rsidR="00C5368C" w:rsidRPr="006E3508" w:rsidRDefault="00C5368C" w:rsidP="00C5368C">
            <w:pPr>
              <w:rPr>
                <w:sz w:val="20"/>
                <w:szCs w:val="20"/>
              </w:rPr>
            </w:pPr>
          </w:p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110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8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9615FC">
        <w:trPr>
          <w:jc w:val="center"/>
        </w:trPr>
        <w:tc>
          <w:tcPr>
            <w:tcW w:w="6298" w:type="dxa"/>
            <w:shd w:val="clear" w:color="auto" w:fill="auto"/>
          </w:tcPr>
          <w:p w14:paraId="6A81EE33" w14:textId="77777777" w:rsidR="00EB70CE" w:rsidRPr="006D2F6B" w:rsidRDefault="00EB70CE" w:rsidP="00C21B45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C1DF2DB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159C188F" w14:textId="289FDF92" w:rsidR="00D314BF" w:rsidRPr="006D2F6B" w:rsidRDefault="00D314BF" w:rsidP="00C21B4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0" w:type="dxa"/>
            <w:shd w:val="clear" w:color="auto" w:fill="auto"/>
          </w:tcPr>
          <w:p w14:paraId="6BA29D24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066ED5C" w14:textId="3EE01CDA" w:rsidR="00D314BF" w:rsidRPr="006D2F6B" w:rsidRDefault="00D314BF" w:rsidP="00C21B4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73D4CDFB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27AC99DF" w14:textId="13426A11" w:rsidR="00D314BF" w:rsidRPr="006D2F6B" w:rsidRDefault="00D314BF" w:rsidP="00C21B4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7253DF9C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2397C360" w14:textId="2951D357" w:rsidR="00D314BF" w:rsidRPr="006D2F6B" w:rsidRDefault="00D314BF" w:rsidP="00C21B4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0FCD4527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102EF8AB" w14:textId="459621D9" w:rsidR="00D314BF" w:rsidRPr="006D2F6B" w:rsidRDefault="00D314BF" w:rsidP="00C21B4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1" w:type="dxa"/>
            <w:shd w:val="clear" w:color="auto" w:fill="auto"/>
          </w:tcPr>
          <w:p w14:paraId="4C742272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750673D6" w14:textId="1BFAFDFC" w:rsidR="00D314BF" w:rsidRPr="006D2F6B" w:rsidRDefault="00D314BF" w:rsidP="00C21B4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B70CE" w14:paraId="715AAF1C" w14:textId="77777777" w:rsidTr="009615FC">
        <w:trPr>
          <w:jc w:val="center"/>
        </w:trPr>
        <w:tc>
          <w:tcPr>
            <w:tcW w:w="6298" w:type="dxa"/>
            <w:shd w:val="clear" w:color="auto" w:fill="auto"/>
          </w:tcPr>
          <w:p w14:paraId="1BB77CFA" w14:textId="7B24BE6C" w:rsidR="00EB70CE" w:rsidRPr="006D2F6B" w:rsidRDefault="00D765DB" w:rsidP="00C21B45">
            <w:pPr>
              <w:pStyle w:val="PlainText"/>
            </w:pPr>
            <w:r>
              <w:t xml:space="preserve">A </w:t>
            </w:r>
            <w:proofErr w:type="gramStart"/>
            <w:r>
              <w:t>5 percentage</w:t>
            </w:r>
            <w:proofErr w:type="gramEnd"/>
            <w:r>
              <w:t xml:space="preserve"> point increase in the proportion of staff who ‘agree or strongly agree’ that “I receive useful feedback about my work at this school” from 66 percent.</w:t>
            </w:r>
          </w:p>
        </w:tc>
        <w:tc>
          <w:tcPr>
            <w:tcW w:w="790" w:type="dxa"/>
            <w:shd w:val="clear" w:color="auto" w:fill="auto"/>
          </w:tcPr>
          <w:p w14:paraId="694253E4" w14:textId="73A26A99" w:rsidR="00EB70CE" w:rsidRPr="006D2F6B" w:rsidRDefault="00D314BF" w:rsidP="00C21B45">
            <w:r>
              <w:t>69.8%</w:t>
            </w:r>
          </w:p>
        </w:tc>
        <w:tc>
          <w:tcPr>
            <w:tcW w:w="790" w:type="dxa"/>
            <w:shd w:val="clear" w:color="auto" w:fill="auto"/>
          </w:tcPr>
          <w:p w14:paraId="30994033" w14:textId="38E0572C" w:rsidR="00EB70CE" w:rsidRPr="006D2F6B" w:rsidRDefault="00D314BF" w:rsidP="00C21B45">
            <w:r>
              <w:t>81.8%</w:t>
            </w:r>
          </w:p>
        </w:tc>
        <w:tc>
          <w:tcPr>
            <w:tcW w:w="790" w:type="dxa"/>
            <w:shd w:val="clear" w:color="auto" w:fill="auto"/>
          </w:tcPr>
          <w:p w14:paraId="0240AD5D" w14:textId="117CFE4A" w:rsidR="00EB70CE" w:rsidRPr="006D2F6B" w:rsidRDefault="00D314BF" w:rsidP="00C21B45">
            <w:r>
              <w:t>81.6%</w:t>
            </w:r>
          </w:p>
        </w:tc>
        <w:tc>
          <w:tcPr>
            <w:tcW w:w="790" w:type="dxa"/>
            <w:shd w:val="clear" w:color="auto" w:fill="auto"/>
          </w:tcPr>
          <w:p w14:paraId="06476B2E" w14:textId="3308CCB8" w:rsidR="00EB70CE" w:rsidRPr="006D2F6B" w:rsidRDefault="00D314BF" w:rsidP="00C21B45">
            <w:r>
              <w:t>67.6%</w:t>
            </w:r>
          </w:p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C21B45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C21B45"/>
        </w:tc>
      </w:tr>
      <w:tr w:rsidR="00EB70CE" w14:paraId="6DD2C688" w14:textId="77777777" w:rsidTr="009615FC">
        <w:trPr>
          <w:jc w:val="center"/>
        </w:trPr>
        <w:tc>
          <w:tcPr>
            <w:tcW w:w="6298" w:type="dxa"/>
            <w:shd w:val="clear" w:color="auto" w:fill="auto"/>
          </w:tcPr>
          <w:p w14:paraId="3EFCC141" w14:textId="1BACF015" w:rsidR="00EB70CE" w:rsidRPr="006D2F6B" w:rsidRDefault="00D765DB" w:rsidP="00C21B45">
            <w:r w:rsidRPr="00CA0827">
              <w:rPr>
                <w:rFonts w:ascii="Calibri" w:hAnsi="Calibri"/>
                <w:color w:val="000000"/>
              </w:rPr>
              <w:t>Proportion of staff who ‘</w:t>
            </w:r>
            <w:r w:rsidRPr="00CA0827">
              <w:rPr>
                <w:rFonts w:ascii="Calibri" w:hAnsi="Calibri"/>
              </w:rPr>
              <w:t xml:space="preserve">agree or strongly agree’ that </w:t>
            </w:r>
            <w:r w:rsidRPr="00CA0827">
              <w:rPr>
                <w:rFonts w:ascii="Calibri" w:hAnsi="Calibri"/>
                <w:color w:val="000000"/>
              </w:rPr>
              <w:t>computer technology is an integral part of learning and teaching at this school, increasing from 72 percent.</w:t>
            </w:r>
          </w:p>
        </w:tc>
        <w:tc>
          <w:tcPr>
            <w:tcW w:w="790" w:type="dxa"/>
            <w:shd w:val="clear" w:color="auto" w:fill="auto"/>
          </w:tcPr>
          <w:p w14:paraId="018EACAA" w14:textId="66A52364" w:rsidR="00EB70CE" w:rsidRPr="006D2F6B" w:rsidRDefault="00E83AE5" w:rsidP="00C21B45">
            <w:r>
              <w:t>100%</w:t>
            </w:r>
          </w:p>
        </w:tc>
        <w:tc>
          <w:tcPr>
            <w:tcW w:w="790" w:type="dxa"/>
            <w:shd w:val="clear" w:color="auto" w:fill="auto"/>
          </w:tcPr>
          <w:p w14:paraId="5982A543" w14:textId="684BABF6" w:rsidR="00EB70CE" w:rsidRPr="006D2F6B" w:rsidRDefault="00E83AE5" w:rsidP="00C21B45">
            <w:r>
              <w:t>93%</w:t>
            </w:r>
          </w:p>
        </w:tc>
        <w:tc>
          <w:tcPr>
            <w:tcW w:w="790" w:type="dxa"/>
            <w:shd w:val="clear" w:color="auto" w:fill="auto"/>
          </w:tcPr>
          <w:p w14:paraId="040ADB54" w14:textId="3A10E724" w:rsidR="00EB70CE" w:rsidRPr="006D2F6B" w:rsidRDefault="00E83AE5" w:rsidP="00C21B45">
            <w:r>
              <w:t>97.4%</w:t>
            </w:r>
          </w:p>
        </w:tc>
        <w:tc>
          <w:tcPr>
            <w:tcW w:w="790" w:type="dxa"/>
            <w:shd w:val="clear" w:color="auto" w:fill="auto"/>
          </w:tcPr>
          <w:p w14:paraId="2F8CD83E" w14:textId="358023B3" w:rsidR="00EB70CE" w:rsidRPr="006D2F6B" w:rsidRDefault="00E83AE5" w:rsidP="00C21B45">
            <w:r>
              <w:t>91.2%</w:t>
            </w:r>
          </w:p>
        </w:tc>
        <w:tc>
          <w:tcPr>
            <w:tcW w:w="790" w:type="dxa"/>
            <w:shd w:val="clear" w:color="auto" w:fill="auto"/>
          </w:tcPr>
          <w:p w14:paraId="49509B3D" w14:textId="77777777" w:rsidR="00EB70CE" w:rsidRPr="006D2F6B" w:rsidRDefault="00EB70CE" w:rsidP="00C21B45"/>
        </w:tc>
        <w:tc>
          <w:tcPr>
            <w:tcW w:w="791" w:type="dxa"/>
            <w:shd w:val="clear" w:color="auto" w:fill="auto"/>
          </w:tcPr>
          <w:p w14:paraId="34604F66" w14:textId="77777777" w:rsidR="00EB70CE" w:rsidRPr="006D2F6B" w:rsidRDefault="00EB70CE" w:rsidP="00C21B45"/>
        </w:tc>
      </w:tr>
      <w:tr w:rsidR="00E83AE5" w14:paraId="614C2FF5" w14:textId="77777777" w:rsidTr="009615FC">
        <w:trPr>
          <w:jc w:val="center"/>
        </w:trPr>
        <w:tc>
          <w:tcPr>
            <w:tcW w:w="6298" w:type="dxa"/>
            <w:shd w:val="clear" w:color="auto" w:fill="auto"/>
          </w:tcPr>
          <w:p w14:paraId="42D8BBD2" w14:textId="77777777" w:rsidR="00E83AE5" w:rsidRPr="00756E7A" w:rsidRDefault="00E83AE5" w:rsidP="00E83AE5">
            <w:pPr>
              <w:widowControl w:val="0"/>
              <w:rPr>
                <w:color w:val="000000"/>
                <w:sz w:val="16"/>
                <w:szCs w:val="16"/>
              </w:rPr>
            </w:pPr>
            <w:r w:rsidRPr="0032094C">
              <w:rPr>
                <w:color w:val="000000"/>
              </w:rPr>
              <w:t>Proportion of students who ‘</w:t>
            </w:r>
            <w:r w:rsidRPr="0032094C">
              <w:t xml:space="preserve">agree or strongly agree’ </w:t>
            </w:r>
            <w:r>
              <w:t xml:space="preserve">that </w:t>
            </w:r>
            <w:r w:rsidRPr="0032094C">
              <w:t>‘</w:t>
            </w:r>
            <w:r w:rsidRPr="0032094C">
              <w:rPr>
                <w:color w:val="000000"/>
              </w:rPr>
              <w:t>at this school I have access to equipment such as computers, interne</w:t>
            </w:r>
            <w:r>
              <w:rPr>
                <w:color w:val="000000"/>
              </w:rPr>
              <w:t>t and digital cameras’ from 81 percent.</w:t>
            </w:r>
          </w:p>
          <w:p w14:paraId="607F61A7" w14:textId="77777777" w:rsidR="00E83AE5" w:rsidRPr="00CA0827" w:rsidRDefault="00E83AE5" w:rsidP="00E83A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</w:tcPr>
          <w:p w14:paraId="11D233B0" w14:textId="66B38B0C" w:rsidR="00E83AE5" w:rsidRPr="006D2F6B" w:rsidRDefault="00E83AE5" w:rsidP="00E83AE5">
            <w:r>
              <w:t>91.4%</w:t>
            </w:r>
          </w:p>
        </w:tc>
        <w:tc>
          <w:tcPr>
            <w:tcW w:w="790" w:type="dxa"/>
            <w:shd w:val="clear" w:color="auto" w:fill="auto"/>
          </w:tcPr>
          <w:p w14:paraId="4815AF9E" w14:textId="10EA451F" w:rsidR="00E83AE5" w:rsidRPr="006D2F6B" w:rsidRDefault="00E83AE5" w:rsidP="00E83AE5">
            <w:r>
              <w:t>88.3%</w:t>
            </w:r>
          </w:p>
        </w:tc>
        <w:tc>
          <w:tcPr>
            <w:tcW w:w="790" w:type="dxa"/>
            <w:shd w:val="clear" w:color="auto" w:fill="auto"/>
          </w:tcPr>
          <w:p w14:paraId="02FF2196" w14:textId="066A701C" w:rsidR="00E83AE5" w:rsidRPr="006D2F6B" w:rsidRDefault="00E83AE5" w:rsidP="00E83AE5">
            <w:r>
              <w:t>N/A</w:t>
            </w:r>
          </w:p>
        </w:tc>
        <w:tc>
          <w:tcPr>
            <w:tcW w:w="790" w:type="dxa"/>
            <w:shd w:val="clear" w:color="auto" w:fill="auto"/>
          </w:tcPr>
          <w:p w14:paraId="10B81B29" w14:textId="3C5B9E57" w:rsidR="00E83AE5" w:rsidRPr="006D2F6B" w:rsidRDefault="00E83AE5" w:rsidP="00E83AE5">
            <w:r>
              <w:t>86.3%</w:t>
            </w:r>
          </w:p>
        </w:tc>
        <w:tc>
          <w:tcPr>
            <w:tcW w:w="790" w:type="dxa"/>
            <w:shd w:val="clear" w:color="auto" w:fill="auto"/>
          </w:tcPr>
          <w:p w14:paraId="01F6B90F" w14:textId="77777777" w:rsidR="00E83AE5" w:rsidRPr="006D2F6B" w:rsidRDefault="00E83AE5" w:rsidP="00E83AE5"/>
        </w:tc>
        <w:tc>
          <w:tcPr>
            <w:tcW w:w="791" w:type="dxa"/>
            <w:shd w:val="clear" w:color="auto" w:fill="auto"/>
          </w:tcPr>
          <w:p w14:paraId="712631AA" w14:textId="77777777" w:rsidR="00E83AE5" w:rsidRPr="006D2F6B" w:rsidRDefault="00E83AE5" w:rsidP="00E83AE5"/>
        </w:tc>
      </w:tr>
      <w:tr w:rsidR="00E83AE5" w14:paraId="19A932ED" w14:textId="77777777" w:rsidTr="009615FC">
        <w:trPr>
          <w:jc w:val="center"/>
        </w:trPr>
        <w:tc>
          <w:tcPr>
            <w:tcW w:w="6298" w:type="dxa"/>
            <w:shd w:val="clear" w:color="auto" w:fill="auto"/>
          </w:tcPr>
          <w:p w14:paraId="43DBAF18" w14:textId="0B1366D2" w:rsidR="00E83AE5" w:rsidRPr="0032094C" w:rsidRDefault="00E83AE5" w:rsidP="00E83AE5">
            <w:pPr>
              <w:widowControl w:val="0"/>
              <w:rPr>
                <w:color w:val="000000"/>
              </w:rPr>
            </w:pPr>
            <w:r w:rsidRPr="00E34891">
              <w:rPr>
                <w:color w:val="000000"/>
              </w:rPr>
              <w:t>Proportion of parents/carers who ‘</w:t>
            </w:r>
            <w:r w:rsidRPr="00CA0827">
              <w:t xml:space="preserve">agree or strongly agree’ that </w:t>
            </w:r>
            <w:r w:rsidRPr="00E34891">
              <w:rPr>
                <w:color w:val="000000"/>
              </w:rPr>
              <w:t>computer technology is an integral part of learning and teaching at this school, increasing from 92%.</w:t>
            </w:r>
          </w:p>
        </w:tc>
        <w:tc>
          <w:tcPr>
            <w:tcW w:w="790" w:type="dxa"/>
            <w:shd w:val="clear" w:color="auto" w:fill="auto"/>
          </w:tcPr>
          <w:p w14:paraId="5DD914D7" w14:textId="21AEAD6C" w:rsidR="00E83AE5" w:rsidRPr="006D2F6B" w:rsidRDefault="00E83AE5" w:rsidP="00E83AE5">
            <w:r>
              <w:t>89.4%</w:t>
            </w:r>
          </w:p>
        </w:tc>
        <w:tc>
          <w:tcPr>
            <w:tcW w:w="790" w:type="dxa"/>
            <w:shd w:val="clear" w:color="auto" w:fill="auto"/>
          </w:tcPr>
          <w:p w14:paraId="6C01763C" w14:textId="453FD9C2" w:rsidR="00E83AE5" w:rsidRPr="006D2F6B" w:rsidRDefault="00E83AE5" w:rsidP="00E83AE5">
            <w:r>
              <w:t>93.3%</w:t>
            </w:r>
          </w:p>
        </w:tc>
        <w:tc>
          <w:tcPr>
            <w:tcW w:w="790" w:type="dxa"/>
            <w:shd w:val="clear" w:color="auto" w:fill="auto"/>
          </w:tcPr>
          <w:p w14:paraId="0F21DEDA" w14:textId="3D91B2EE" w:rsidR="00E83AE5" w:rsidRPr="006D2F6B" w:rsidRDefault="00E83AE5" w:rsidP="00E83AE5">
            <w:r>
              <w:t>88.5%</w:t>
            </w:r>
          </w:p>
        </w:tc>
        <w:tc>
          <w:tcPr>
            <w:tcW w:w="790" w:type="dxa"/>
            <w:shd w:val="clear" w:color="auto" w:fill="auto"/>
          </w:tcPr>
          <w:p w14:paraId="216EF8D6" w14:textId="198A2AEE" w:rsidR="00E83AE5" w:rsidRPr="006D2F6B" w:rsidRDefault="00E83AE5" w:rsidP="00E83AE5">
            <w:r>
              <w:t>76.3%</w:t>
            </w:r>
          </w:p>
        </w:tc>
        <w:tc>
          <w:tcPr>
            <w:tcW w:w="790" w:type="dxa"/>
            <w:shd w:val="clear" w:color="auto" w:fill="auto"/>
          </w:tcPr>
          <w:p w14:paraId="394CE097" w14:textId="77777777" w:rsidR="00E83AE5" w:rsidRPr="006D2F6B" w:rsidRDefault="00E83AE5" w:rsidP="00E83AE5"/>
        </w:tc>
        <w:tc>
          <w:tcPr>
            <w:tcW w:w="791" w:type="dxa"/>
            <w:shd w:val="clear" w:color="auto" w:fill="auto"/>
          </w:tcPr>
          <w:p w14:paraId="5550D932" w14:textId="77777777" w:rsidR="00E83AE5" w:rsidRPr="006D2F6B" w:rsidRDefault="00E83AE5" w:rsidP="00E83AE5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10603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3"/>
        <w:gridCol w:w="1207"/>
        <w:gridCol w:w="1207"/>
        <w:gridCol w:w="1207"/>
        <w:gridCol w:w="739"/>
        <w:gridCol w:w="735"/>
        <w:gridCol w:w="735"/>
      </w:tblGrid>
      <w:tr w:rsidR="00EB70CE" w14:paraId="18FB16D9" w14:textId="77777777" w:rsidTr="00382E13">
        <w:trPr>
          <w:jc w:val="center"/>
        </w:trPr>
        <w:tc>
          <w:tcPr>
            <w:tcW w:w="5862" w:type="dxa"/>
            <w:shd w:val="clear" w:color="auto" w:fill="auto"/>
          </w:tcPr>
          <w:p w14:paraId="78C0C329" w14:textId="77777777" w:rsidR="00EB70CE" w:rsidRPr="006D2F6B" w:rsidRDefault="00EB70CE" w:rsidP="00C21B45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5A226576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160BF761" w14:textId="08A39B6F" w:rsidR="00C21B45" w:rsidRPr="006D2F6B" w:rsidRDefault="00C21B45" w:rsidP="00C21B4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90" w:type="dxa"/>
            <w:shd w:val="clear" w:color="auto" w:fill="auto"/>
          </w:tcPr>
          <w:p w14:paraId="239067C6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641E04E6" w14:textId="617B84C5" w:rsidR="00C21B45" w:rsidRPr="006D2F6B" w:rsidRDefault="00C21B45" w:rsidP="00C21B4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2205B9AF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6EAEE263" w14:textId="7B4B7FF7" w:rsidR="00C21B45" w:rsidRPr="006D2F6B" w:rsidRDefault="00C21B45" w:rsidP="00C21B4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524A11B4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462FF350" w14:textId="3498336B" w:rsidR="00C21B45" w:rsidRPr="006D2F6B" w:rsidRDefault="00C21B45" w:rsidP="00C21B4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5C65C359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38962DF0" w14:textId="2AC10EE8" w:rsidR="00C21B45" w:rsidRPr="006D2F6B" w:rsidRDefault="00C21B45" w:rsidP="00C21B4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1" w:type="dxa"/>
            <w:shd w:val="clear" w:color="auto" w:fill="auto"/>
          </w:tcPr>
          <w:p w14:paraId="79A8DA0A" w14:textId="77777777" w:rsidR="00EB70CE" w:rsidRDefault="00EB70CE" w:rsidP="00C21B45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746D1CE9" w14:textId="0BACD7A4" w:rsidR="00C21B45" w:rsidRPr="006D2F6B" w:rsidRDefault="00C21B45" w:rsidP="00C21B4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B70CE" w14:paraId="1A210E0B" w14:textId="77777777" w:rsidTr="00382E13">
        <w:trPr>
          <w:jc w:val="center"/>
        </w:trPr>
        <w:tc>
          <w:tcPr>
            <w:tcW w:w="5862" w:type="dxa"/>
            <w:shd w:val="clear" w:color="auto" w:fill="auto"/>
          </w:tcPr>
          <w:p w14:paraId="0844EE3D" w14:textId="282E97AC" w:rsidR="00D765DB" w:rsidRPr="00CB1D01" w:rsidRDefault="00D765DB" w:rsidP="00D765DB">
            <w:pPr>
              <w:pStyle w:val="BodyText"/>
              <w:widowControl w:val="0"/>
              <w:spacing w:after="0"/>
              <w:rPr>
                <w:rFonts w:ascii="Calibri" w:hAnsi="Calibri"/>
              </w:rPr>
            </w:pPr>
            <w:r w:rsidRPr="00CB1D01">
              <w:rPr>
                <w:rFonts w:ascii="Calibri" w:hAnsi="Calibri"/>
              </w:rPr>
              <w:t>Proportion of teaching programs showing evidence of differentiated learning.</w:t>
            </w:r>
          </w:p>
          <w:p w14:paraId="73A85493" w14:textId="1EAA59D4" w:rsidR="00EB70CE" w:rsidRPr="006D2F6B" w:rsidRDefault="00EB70CE" w:rsidP="00C21B45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1BC19220" w14:textId="00D97683" w:rsidR="00EB70CE" w:rsidRPr="006D2F6B" w:rsidRDefault="00C21B45" w:rsidP="00C21B45">
            <w:r>
              <w:t>Completed*</w:t>
            </w:r>
          </w:p>
        </w:tc>
        <w:tc>
          <w:tcPr>
            <w:tcW w:w="790" w:type="dxa"/>
            <w:shd w:val="clear" w:color="auto" w:fill="auto"/>
          </w:tcPr>
          <w:p w14:paraId="6C0F9FE0" w14:textId="2CF2A8BB" w:rsidR="00EB70CE" w:rsidRPr="006D2F6B" w:rsidRDefault="00C21B45" w:rsidP="00C21B45">
            <w:r>
              <w:t>Completed*</w:t>
            </w:r>
          </w:p>
        </w:tc>
        <w:tc>
          <w:tcPr>
            <w:tcW w:w="790" w:type="dxa"/>
            <w:shd w:val="clear" w:color="auto" w:fill="auto"/>
          </w:tcPr>
          <w:p w14:paraId="2E7554CE" w14:textId="743FE602" w:rsidR="00EB70CE" w:rsidRPr="006D2F6B" w:rsidRDefault="00C21B45" w:rsidP="00C21B45">
            <w:r>
              <w:t>Completed*</w:t>
            </w:r>
          </w:p>
        </w:tc>
        <w:tc>
          <w:tcPr>
            <w:tcW w:w="790" w:type="dxa"/>
            <w:shd w:val="clear" w:color="auto" w:fill="auto"/>
          </w:tcPr>
          <w:p w14:paraId="66432333" w14:textId="699D7966" w:rsidR="00EB70CE" w:rsidRPr="006D2F6B" w:rsidRDefault="00C21B45" w:rsidP="00C21B45">
            <w:r>
              <w:t>N/A*</w:t>
            </w:r>
          </w:p>
        </w:tc>
        <w:tc>
          <w:tcPr>
            <w:tcW w:w="790" w:type="dxa"/>
            <w:shd w:val="clear" w:color="auto" w:fill="auto"/>
          </w:tcPr>
          <w:p w14:paraId="38AA367E" w14:textId="77777777" w:rsidR="00EB70CE" w:rsidRPr="006D2F6B" w:rsidRDefault="00EB70CE" w:rsidP="00C21B45"/>
        </w:tc>
        <w:tc>
          <w:tcPr>
            <w:tcW w:w="791" w:type="dxa"/>
            <w:shd w:val="clear" w:color="auto" w:fill="auto"/>
          </w:tcPr>
          <w:p w14:paraId="74F946E1" w14:textId="77777777" w:rsidR="00EB70CE" w:rsidRPr="006D2F6B" w:rsidRDefault="00EB70CE" w:rsidP="00C21B45"/>
        </w:tc>
      </w:tr>
      <w:tr w:rsidR="00EB70CE" w14:paraId="5C5005AD" w14:textId="77777777" w:rsidTr="00382E13">
        <w:trPr>
          <w:jc w:val="center"/>
        </w:trPr>
        <w:tc>
          <w:tcPr>
            <w:tcW w:w="5862" w:type="dxa"/>
            <w:shd w:val="clear" w:color="auto" w:fill="auto"/>
          </w:tcPr>
          <w:p w14:paraId="26637D0D" w14:textId="77777777" w:rsidR="00D765DB" w:rsidRPr="00CE39FD" w:rsidRDefault="00D765DB" w:rsidP="00627DEE">
            <w:pPr>
              <w:pStyle w:val="BodyText"/>
              <w:widowControl w:val="0"/>
              <w:spacing w:after="0"/>
              <w:rPr>
                <w:rFonts w:ascii="Calibri" w:hAnsi="Calibri"/>
              </w:rPr>
            </w:pPr>
            <w:r w:rsidRPr="00CE39FD">
              <w:rPr>
                <w:rFonts w:ascii="Calibri" w:hAnsi="Calibri"/>
              </w:rPr>
              <w:t>An increase in the percentage of students who have achieved against their ILP and PLP goals.</w:t>
            </w:r>
          </w:p>
          <w:p w14:paraId="0124697B" w14:textId="4C2AF0C4" w:rsidR="00EB70CE" w:rsidRPr="006D2F6B" w:rsidRDefault="00EB70CE" w:rsidP="00C21B45"/>
        </w:tc>
        <w:tc>
          <w:tcPr>
            <w:tcW w:w="790" w:type="dxa"/>
            <w:shd w:val="clear" w:color="auto" w:fill="auto"/>
          </w:tcPr>
          <w:p w14:paraId="6CEF50F9" w14:textId="7561FD03" w:rsidR="00EB70CE" w:rsidRPr="006D2F6B" w:rsidRDefault="00C21B45" w:rsidP="00C21B45">
            <w:r>
              <w:t>Completed*</w:t>
            </w:r>
          </w:p>
        </w:tc>
        <w:tc>
          <w:tcPr>
            <w:tcW w:w="790" w:type="dxa"/>
            <w:shd w:val="clear" w:color="auto" w:fill="auto"/>
          </w:tcPr>
          <w:p w14:paraId="340250A0" w14:textId="4B346582" w:rsidR="00EB70CE" w:rsidRPr="006D2F6B" w:rsidRDefault="00C21B45" w:rsidP="00C21B45">
            <w:r>
              <w:t>Completed*</w:t>
            </w:r>
          </w:p>
        </w:tc>
        <w:tc>
          <w:tcPr>
            <w:tcW w:w="790" w:type="dxa"/>
            <w:shd w:val="clear" w:color="auto" w:fill="auto"/>
          </w:tcPr>
          <w:p w14:paraId="57DBEC5B" w14:textId="34270B29" w:rsidR="00EB70CE" w:rsidRPr="006D2F6B" w:rsidRDefault="00C21B45" w:rsidP="00C21B45">
            <w:r>
              <w:t>Completed*</w:t>
            </w:r>
          </w:p>
        </w:tc>
        <w:tc>
          <w:tcPr>
            <w:tcW w:w="790" w:type="dxa"/>
            <w:shd w:val="clear" w:color="auto" w:fill="auto"/>
          </w:tcPr>
          <w:p w14:paraId="2B073DEB" w14:textId="0CFA4EAC" w:rsidR="00EB70CE" w:rsidRPr="006D2F6B" w:rsidRDefault="00C21B45" w:rsidP="00C21B45">
            <w:r>
              <w:t>N/A*</w:t>
            </w:r>
          </w:p>
        </w:tc>
        <w:tc>
          <w:tcPr>
            <w:tcW w:w="790" w:type="dxa"/>
            <w:shd w:val="clear" w:color="auto" w:fill="auto"/>
          </w:tcPr>
          <w:p w14:paraId="4FDF3890" w14:textId="77777777" w:rsidR="00EB70CE" w:rsidRPr="006D2F6B" w:rsidRDefault="00EB70CE" w:rsidP="00C21B45"/>
        </w:tc>
        <w:tc>
          <w:tcPr>
            <w:tcW w:w="791" w:type="dxa"/>
            <w:shd w:val="clear" w:color="auto" w:fill="auto"/>
          </w:tcPr>
          <w:p w14:paraId="4189BE22" w14:textId="77777777" w:rsidR="00EB70CE" w:rsidRPr="006D2F6B" w:rsidRDefault="00EB70CE" w:rsidP="00C21B45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4A6B36C" w14:textId="7D661F5A" w:rsidR="00FC3EE8" w:rsidRDefault="00FC3EE8" w:rsidP="00627DEE">
            <w:pPr>
              <w:pStyle w:val="PlainText"/>
            </w:pPr>
            <w:r>
              <w:t xml:space="preserve">Data </w:t>
            </w:r>
            <w:r w:rsidR="001D34FA">
              <w:t>a</w:t>
            </w:r>
            <w:r>
              <w:t>bout student learning indicates:</w:t>
            </w:r>
          </w:p>
          <w:p w14:paraId="1925063D" w14:textId="77777777" w:rsidR="00FC3EE8" w:rsidRDefault="00FC3EE8" w:rsidP="00FC3EE8">
            <w:pPr>
              <w:pStyle w:val="PlainText"/>
              <w:numPr>
                <w:ilvl w:val="0"/>
                <w:numId w:val="36"/>
              </w:numPr>
            </w:pPr>
            <w:r>
              <w:t xml:space="preserve">An increasing proportion of students achieved growth in their Reading and Numeracy (from years 3 to 5). </w:t>
            </w:r>
          </w:p>
          <w:p w14:paraId="204311B9" w14:textId="51CDB316" w:rsidR="00FC3EE8" w:rsidRDefault="00FC3EE8" w:rsidP="00FC3EE8">
            <w:pPr>
              <w:pStyle w:val="PlainText"/>
              <w:numPr>
                <w:ilvl w:val="0"/>
                <w:numId w:val="36"/>
              </w:numPr>
            </w:pPr>
            <w:r>
              <w:t xml:space="preserve">In terms of the %of students in the Top 2 bands of NAPLAN, these figures have been </w:t>
            </w:r>
            <w:r w:rsidR="001D34FA">
              <w:t xml:space="preserve">on a </w:t>
            </w:r>
            <w:r>
              <w:t>constant</w:t>
            </w:r>
            <w:r w:rsidR="001D34FA">
              <w:t xml:space="preserve"> improvement trend</w:t>
            </w:r>
            <w:r>
              <w:t>, with a</w:t>
            </w:r>
            <w:r w:rsidR="001D34FA">
              <w:t xml:space="preserve">n increase from the baseline set. Data indicates </w:t>
            </w:r>
            <w:r w:rsidR="001D34FA">
              <w:lastRenderedPageBreak/>
              <w:t xml:space="preserve">increasing the %of students in the Top 2 Bands remains a priority because school data is below statistically similar schools. </w:t>
            </w:r>
            <w:r>
              <w:t xml:space="preserve"> </w:t>
            </w:r>
          </w:p>
          <w:p w14:paraId="5B5C2257" w14:textId="3464805D" w:rsidR="001D34FA" w:rsidRDefault="001D34FA" w:rsidP="00FC3EE8">
            <w:pPr>
              <w:pStyle w:val="PlainText"/>
              <w:numPr>
                <w:ilvl w:val="0"/>
                <w:numId w:val="36"/>
              </w:numPr>
            </w:pPr>
            <w:r>
              <w:t>There is a gap between staff, student and parent/carer perceptions about digital literacies, however this reflects system trends.</w:t>
            </w:r>
          </w:p>
          <w:p w14:paraId="0E9D45A8" w14:textId="4285F7A7" w:rsidR="001D34FA" w:rsidRDefault="001D34FA" w:rsidP="001D34FA">
            <w:pPr>
              <w:pStyle w:val="PlainText"/>
            </w:pPr>
          </w:p>
          <w:p w14:paraId="287A8F4C" w14:textId="7C1033C3" w:rsidR="001D34FA" w:rsidRDefault="001D34FA" w:rsidP="001D34FA">
            <w:pPr>
              <w:pStyle w:val="PlainText"/>
            </w:pPr>
            <w:r>
              <w:t>A note previous and future targets and measures:</w:t>
            </w:r>
          </w:p>
          <w:p w14:paraId="4BDED8B1" w14:textId="4A650E71" w:rsidR="001D34FA" w:rsidRDefault="00627DEE" w:rsidP="00C21B45">
            <w:pPr>
              <w:pStyle w:val="PlainTex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t xml:space="preserve">The school collected and reported on the </w:t>
            </w:r>
            <w:r w:rsidRPr="006E3508">
              <w:rPr>
                <w:sz w:val="20"/>
                <w:szCs w:val="20"/>
              </w:rPr>
              <w:t>proportion of students achieving key learning as identified by power standards in the areas of literacy and numeracy</w:t>
            </w:r>
            <w:r>
              <w:rPr>
                <w:sz w:val="20"/>
                <w:szCs w:val="20"/>
              </w:rPr>
              <w:t xml:space="preserve"> from 2016 to 2018. This collation for impact reporting was not completed in 2019</w:t>
            </w:r>
            <w:r w:rsidR="00860EB6">
              <w:rPr>
                <w:sz w:val="20"/>
                <w:szCs w:val="20"/>
              </w:rPr>
              <w:t xml:space="preserve"> due to leadership changes.</w:t>
            </w:r>
          </w:p>
          <w:p w14:paraId="0713AAC6" w14:textId="77777777" w:rsidR="001D34FA" w:rsidRDefault="00C21B45" w:rsidP="00C21B45">
            <w:pPr>
              <w:pStyle w:val="PlainTex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D34FA">
              <w:rPr>
                <w:sz w:val="20"/>
                <w:szCs w:val="20"/>
              </w:rPr>
              <w:t xml:space="preserve">In 2018, 100% of mainstream curriculum documentation showed differentiation with ongoing improvement of release programs occurring. </w:t>
            </w:r>
          </w:p>
          <w:p w14:paraId="17DDC188" w14:textId="5BE8A520" w:rsidR="00C21B45" w:rsidRPr="001D34FA" w:rsidRDefault="00C21B45" w:rsidP="00C21B45">
            <w:pPr>
              <w:pStyle w:val="PlainTex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t>In 2019, data was not collated on a cohort basis for students’ achievement ILP or PLP goals.</w:t>
            </w:r>
          </w:p>
        </w:tc>
      </w:tr>
    </w:tbl>
    <w:p w14:paraId="7A877F34" w14:textId="23EAE65F" w:rsidR="005611F4" w:rsidRPr="005611F4" w:rsidRDefault="00937D6F" w:rsidP="001A7762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C21B45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0E5D794F" w14:textId="4C7AEF29" w:rsidR="00675C00" w:rsidRDefault="00860EB6" w:rsidP="00CA26FB">
            <w:pPr>
              <w:pStyle w:val="BodyText"/>
              <w:rPr>
                <w:b/>
              </w:rPr>
            </w:pPr>
            <w:r>
              <w:rPr>
                <w:b/>
              </w:rPr>
              <w:t>Priority 2: Improve whole school learning</w:t>
            </w:r>
          </w:p>
          <w:p w14:paraId="0B73FC06" w14:textId="2D863A00" w:rsidR="00860EB6" w:rsidRPr="00C97DBA" w:rsidRDefault="00860EB6" w:rsidP="00860EB6">
            <w:pPr>
              <w:pStyle w:val="BodyText"/>
            </w:pPr>
            <w:r>
              <w:t xml:space="preserve">Strategies: </w:t>
            </w:r>
          </w:p>
          <w:p w14:paraId="16B891E8" w14:textId="3625A417" w:rsidR="00860EB6" w:rsidRDefault="00C97DBA" w:rsidP="00D46BD4">
            <w:pPr>
              <w:pStyle w:val="ListBullet"/>
              <w:numPr>
                <w:ilvl w:val="0"/>
                <w:numId w:val="0"/>
              </w:numPr>
            </w:pPr>
            <w:r w:rsidRPr="00CA0827">
              <w:t xml:space="preserve">Continue the implementation of the Professional Learning Community, including </w:t>
            </w:r>
            <w:r>
              <w:t>three tiers of intervention.</w:t>
            </w:r>
          </w:p>
          <w:p w14:paraId="2E0540E4" w14:textId="77777777" w:rsidR="00D46BD4" w:rsidRPr="00D46BD4" w:rsidRDefault="00D46BD4" w:rsidP="00340B97">
            <w:pPr>
              <w:pStyle w:val="BodyText"/>
              <w:numPr>
                <w:ilvl w:val="0"/>
                <w:numId w:val="30"/>
              </w:numPr>
              <w:rPr>
                <w:b/>
              </w:rPr>
            </w:pPr>
            <w:r>
              <w:t>R</w:t>
            </w:r>
            <w:r w:rsidRPr="00D46BD4">
              <w:t>eview</w:t>
            </w:r>
            <w:r>
              <w:t>ed</w:t>
            </w:r>
            <w:r w:rsidRPr="00D46BD4">
              <w:t xml:space="preserve"> data in leadership meetings to ensure consistency and to ensure best uses of resources to meet Tier 2 and Tier 3 intervention</w:t>
            </w:r>
          </w:p>
          <w:p w14:paraId="1A97427F" w14:textId="77777777" w:rsidR="00D46BD4" w:rsidRPr="00F71E2F" w:rsidRDefault="00D46BD4" w:rsidP="00340B97">
            <w:pPr>
              <w:pStyle w:val="BodyText"/>
              <w:numPr>
                <w:ilvl w:val="0"/>
                <w:numId w:val="30"/>
              </w:numPr>
            </w:pPr>
            <w:r w:rsidRPr="00F71E2F">
              <w:t>Spelling and Reading data reviewed Semester 1</w:t>
            </w:r>
          </w:p>
          <w:p w14:paraId="37DEC98B" w14:textId="77777777" w:rsidR="00D46BD4" w:rsidRPr="00F71E2F" w:rsidRDefault="00D46BD4" w:rsidP="00340B97">
            <w:pPr>
              <w:pStyle w:val="BodyText"/>
              <w:numPr>
                <w:ilvl w:val="0"/>
                <w:numId w:val="30"/>
              </w:numPr>
            </w:pPr>
            <w:r w:rsidRPr="00F71E2F">
              <w:t>Four operations data from year 1 to year 6, and number identification data across kindergarten year level reviewed</w:t>
            </w:r>
            <w:r>
              <w:t xml:space="preserve"> Semester 1</w:t>
            </w:r>
          </w:p>
          <w:p w14:paraId="78E6B74E" w14:textId="77777777" w:rsidR="00D46BD4" w:rsidRPr="00F71E2F" w:rsidRDefault="00D46BD4" w:rsidP="00340B97">
            <w:pPr>
              <w:pStyle w:val="BodyText"/>
              <w:numPr>
                <w:ilvl w:val="0"/>
                <w:numId w:val="30"/>
              </w:numPr>
            </w:pPr>
            <w:r w:rsidRPr="00F71E2F">
              <w:t>School executive SLCs facilitated workshop on visible learning and formative assessment</w:t>
            </w:r>
            <w:r>
              <w:t xml:space="preserve"> in Semester 2</w:t>
            </w:r>
          </w:p>
          <w:p w14:paraId="5D14E2E4" w14:textId="05512B2F" w:rsidR="00D46BD4" w:rsidRDefault="00D46BD4" w:rsidP="00D46BD4">
            <w:pPr>
              <w:pStyle w:val="ListBullet"/>
              <w:numPr>
                <w:ilvl w:val="0"/>
                <w:numId w:val="0"/>
              </w:numPr>
            </w:pPr>
          </w:p>
          <w:p w14:paraId="37D48A06" w14:textId="48705773" w:rsidR="00675C00" w:rsidRDefault="00675C00" w:rsidP="00340B97">
            <w:pPr>
              <w:pStyle w:val="ListBullet"/>
              <w:numPr>
                <w:ilvl w:val="0"/>
                <w:numId w:val="0"/>
              </w:numPr>
            </w:pPr>
            <w:r w:rsidRPr="00382E13">
              <w:rPr>
                <w:rFonts w:ascii="Calibri" w:hAnsi="Calibri"/>
              </w:rPr>
              <w:t>Formalise coaching and mentoring procedures.</w:t>
            </w:r>
            <w:r w:rsidRPr="000F0410">
              <w:t xml:space="preserve"> </w:t>
            </w:r>
          </w:p>
          <w:p w14:paraId="0703163C" w14:textId="77777777" w:rsidR="00340B97" w:rsidRDefault="00340B97" w:rsidP="00340B97">
            <w:pPr>
              <w:pStyle w:val="BodyText"/>
              <w:numPr>
                <w:ilvl w:val="0"/>
                <w:numId w:val="30"/>
              </w:numPr>
            </w:pPr>
            <w:r>
              <w:t>Christine Topfer visits in Semesters 1 and 2. Demonstration of writing sessions and work alongside professional learning teams to review school planning documents. Christine presented a whole school professional learning session on spelling and planning sessions with all teams facilitated</w:t>
            </w:r>
          </w:p>
          <w:p w14:paraId="1C78B3D9" w14:textId="77777777" w:rsidR="00340B97" w:rsidRDefault="00340B97" w:rsidP="00340B97">
            <w:pPr>
              <w:pStyle w:val="BodyText"/>
              <w:numPr>
                <w:ilvl w:val="0"/>
                <w:numId w:val="30"/>
              </w:numPr>
            </w:pPr>
            <w:r>
              <w:t>Inquiry approach to spelling with professional learning teams from K-year 6</w:t>
            </w:r>
          </w:p>
          <w:p w14:paraId="5D983A36" w14:textId="6CC238FF" w:rsidR="00340B97" w:rsidRDefault="00340B97" w:rsidP="00340B97">
            <w:pPr>
              <w:pStyle w:val="BodyText"/>
              <w:numPr>
                <w:ilvl w:val="0"/>
                <w:numId w:val="30"/>
              </w:numPr>
            </w:pPr>
            <w:r>
              <w:t xml:space="preserve">Spiral of inquiry focus on writing for Kindergarten with Christine Topfer. Kindergarten goal: create a culture of writing for term one 2020, year1/2: assessment, year 3/4: effective spelling program development, year 5/6: development of teacher understanding of word origins. Preschool: teaching early literacy skills. </w:t>
            </w:r>
          </w:p>
          <w:p w14:paraId="7CBCF002" w14:textId="773C4012" w:rsidR="00340B97" w:rsidRPr="000F4D91" w:rsidRDefault="00340B97" w:rsidP="00340B97">
            <w:pPr>
              <w:pStyle w:val="BodyText"/>
              <w:numPr>
                <w:ilvl w:val="0"/>
                <w:numId w:val="30"/>
              </w:numPr>
            </w:pPr>
            <w:r w:rsidRPr="000F4D91">
              <w:t xml:space="preserve">Readers workshops coaching throughout </w:t>
            </w:r>
            <w:r>
              <w:t>S</w:t>
            </w:r>
            <w:r w:rsidRPr="000F4D91">
              <w:t xml:space="preserve">emester 1. Reading workshop for community members facilitated in </w:t>
            </w:r>
            <w:r w:rsidR="00511810">
              <w:t>S</w:t>
            </w:r>
            <w:r w:rsidR="00511810" w:rsidRPr="000F4D91">
              <w:t>emester</w:t>
            </w:r>
            <w:r w:rsidRPr="000F4D91">
              <w:t xml:space="preserve"> </w:t>
            </w:r>
            <w:r>
              <w:t>1 and r</w:t>
            </w:r>
            <w:r w:rsidRPr="000F4D91">
              <w:t>eading data reviewed</w:t>
            </w:r>
            <w:r>
              <w:t>.</w:t>
            </w:r>
          </w:p>
          <w:p w14:paraId="721173F0" w14:textId="77777777" w:rsidR="00340B97" w:rsidRPr="00F71E2F" w:rsidRDefault="00340B97" w:rsidP="00225C73">
            <w:pPr>
              <w:pStyle w:val="BodyText"/>
            </w:pPr>
          </w:p>
          <w:p w14:paraId="6FBFC8B1" w14:textId="33FE142B" w:rsidR="00675C00" w:rsidRDefault="00675C00" w:rsidP="00340B97">
            <w:pPr>
              <w:pStyle w:val="ListBullet"/>
              <w:numPr>
                <w:ilvl w:val="0"/>
                <w:numId w:val="0"/>
              </w:numPr>
            </w:pPr>
            <w:r w:rsidRPr="00D46A10">
              <w:t>Extend and improve the existing approach to differentiation consistently across the school</w:t>
            </w:r>
            <w:r>
              <w:t>.</w:t>
            </w:r>
          </w:p>
          <w:p w14:paraId="182BF3C8" w14:textId="77099188" w:rsidR="00340B97" w:rsidRPr="00340B97" w:rsidRDefault="00340B97" w:rsidP="00340B97">
            <w:pPr>
              <w:pStyle w:val="BodyText"/>
              <w:numPr>
                <w:ilvl w:val="0"/>
                <w:numId w:val="30"/>
              </w:numPr>
            </w:pPr>
            <w:r>
              <w:t>C</w:t>
            </w:r>
            <w:r w:rsidRPr="00340B97">
              <w:t xml:space="preserve">ontinued the </w:t>
            </w:r>
            <w:proofErr w:type="spellStart"/>
            <w:r w:rsidRPr="00340B97">
              <w:t>IExCel</w:t>
            </w:r>
            <w:proofErr w:type="spellEnd"/>
            <w:r w:rsidRPr="00340B97">
              <w:t xml:space="preserve"> for Tier 2 and Tier 3 interventions</w:t>
            </w:r>
          </w:p>
          <w:p w14:paraId="6933FC7F" w14:textId="77777777" w:rsidR="00340B97" w:rsidRPr="0050205E" w:rsidRDefault="00340B97" w:rsidP="00340B97">
            <w:pPr>
              <w:pStyle w:val="BodyText"/>
              <w:numPr>
                <w:ilvl w:val="0"/>
                <w:numId w:val="30"/>
              </w:numPr>
            </w:pPr>
            <w:r w:rsidRPr="00F828E7">
              <w:lastRenderedPageBreak/>
              <w:t>Tier 2 and Tier 3 interventions and coaching. Power standards for place value, addition</w:t>
            </w:r>
            <w:r>
              <w:t xml:space="preserve"> </w:t>
            </w:r>
            <w:r w:rsidRPr="00F828E7">
              <w:t>and subtraction term 2. Multiplication and division and fraction power standards, year 3</w:t>
            </w:r>
            <w:r>
              <w:t xml:space="preserve"> to year</w:t>
            </w:r>
            <w:r w:rsidRPr="00F828E7">
              <w:t xml:space="preserve"> 6 developed in </w:t>
            </w:r>
            <w:r>
              <w:t>Semester 1</w:t>
            </w:r>
            <w:r w:rsidRPr="00F828E7">
              <w:t>.</w:t>
            </w:r>
          </w:p>
          <w:p w14:paraId="32DE40E7" w14:textId="77777777" w:rsidR="00340B97" w:rsidRPr="000F4D91" w:rsidRDefault="00340B97" w:rsidP="00340B97">
            <w:pPr>
              <w:pStyle w:val="BodyText"/>
              <w:numPr>
                <w:ilvl w:val="0"/>
                <w:numId w:val="30"/>
              </w:numPr>
            </w:pPr>
            <w:proofErr w:type="spellStart"/>
            <w:r w:rsidRPr="000F4D91">
              <w:t>MacqLit</w:t>
            </w:r>
            <w:proofErr w:type="spellEnd"/>
            <w:r w:rsidRPr="000F4D91">
              <w:t xml:space="preserve"> testing for students and interventions year 3-6, four groups</w:t>
            </w:r>
          </w:p>
          <w:p w14:paraId="5EF5C912" w14:textId="08270B74" w:rsidR="00340B97" w:rsidRPr="00340B97" w:rsidRDefault="00340B97" w:rsidP="00340B97">
            <w:pPr>
              <w:pStyle w:val="BodyText"/>
              <w:numPr>
                <w:ilvl w:val="0"/>
                <w:numId w:val="30"/>
              </w:numPr>
              <w:rPr>
                <w:i/>
              </w:rPr>
            </w:pPr>
            <w:r>
              <w:t>Professional Learning in week 0, using Standards from the Australian Curriculum to assist with differentiation</w:t>
            </w:r>
          </w:p>
          <w:p w14:paraId="5CCE2DDC" w14:textId="77777777" w:rsidR="00340B97" w:rsidRDefault="00340B97" w:rsidP="00340B9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2B831734" w14:textId="5CEF20E7" w:rsidR="00675C00" w:rsidRPr="000F0410" w:rsidRDefault="00675C00" w:rsidP="00340B9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A0827">
              <w:t>Embed ICT pedagogies across all learning areas.</w:t>
            </w:r>
          </w:p>
          <w:p w14:paraId="4F19C6D9" w14:textId="3185412F" w:rsidR="00937D6F" w:rsidRPr="001E629B" w:rsidRDefault="00225C73" w:rsidP="00225C73">
            <w:pPr>
              <w:pStyle w:val="BodyText"/>
              <w:numPr>
                <w:ilvl w:val="0"/>
                <w:numId w:val="30"/>
              </w:numPr>
            </w:pPr>
            <w:r w:rsidRPr="003F10D4">
              <w:t>Review of planning documents across the school commenced</w:t>
            </w:r>
            <w:r>
              <w:t xml:space="preserve"> in Semester 1.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2ACE728B" w14:textId="4B929145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50DBDD88" w14:textId="74100574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C21B45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6F55F41F" w14:textId="77777777" w:rsidR="00AB185A" w:rsidRDefault="00AB185A" w:rsidP="00826968">
            <w:pPr>
              <w:pStyle w:val="ListBullet"/>
            </w:pPr>
            <w:r>
              <w:t xml:space="preserve">Florey Primary School will </w:t>
            </w:r>
          </w:p>
          <w:p w14:paraId="42484191" w14:textId="7EE1FFAB" w:rsidR="00AB185A" w:rsidRDefault="00826968" w:rsidP="00AB185A">
            <w:pPr>
              <w:pStyle w:val="ListBullet"/>
              <w:numPr>
                <w:ilvl w:val="0"/>
                <w:numId w:val="36"/>
              </w:numPr>
            </w:pPr>
            <w:r>
              <w:t>Continue to strengthen Professional Learning Community and Professional Learning Team model</w:t>
            </w:r>
            <w:r w:rsidR="00AB185A">
              <w:t xml:space="preserve">. Anecdotally teachers value the time they are provided with to collaborate, plan, and target their responses to student need. </w:t>
            </w:r>
          </w:p>
          <w:p w14:paraId="3F1A51B6" w14:textId="5D72E075" w:rsidR="00AB185A" w:rsidRDefault="00AB185A" w:rsidP="00AB185A">
            <w:pPr>
              <w:pStyle w:val="ListBullet"/>
              <w:numPr>
                <w:ilvl w:val="0"/>
                <w:numId w:val="36"/>
              </w:numPr>
            </w:pPr>
            <w:r>
              <w:t xml:space="preserve">Develop a whole-school approach to coaching and mentoring, leveraging existing approaches and frameworks. This will aid in improving </w:t>
            </w:r>
            <w:r w:rsidR="00511810">
              <w:t>teachers’</w:t>
            </w:r>
            <w:r>
              <w:t xml:space="preserve"> capabilities and focus on the practice of differentiating curriculum, pedagogy and assessment across the school. </w:t>
            </w:r>
          </w:p>
          <w:p w14:paraId="6F33B0E6" w14:textId="1B19D454" w:rsidR="00AB185A" w:rsidRDefault="00AB185A" w:rsidP="00AB185A">
            <w:pPr>
              <w:pStyle w:val="ListBullet"/>
              <w:numPr>
                <w:ilvl w:val="0"/>
                <w:numId w:val="36"/>
              </w:numPr>
            </w:pPr>
            <w:r>
              <w:t xml:space="preserve">Undergo an assessment rating and review for its Preschool </w:t>
            </w:r>
            <w:r w:rsidR="00511810">
              <w:t>service and</w:t>
            </w:r>
            <w:r>
              <w:t xml:space="preserve"> will consider priorities actions from its Quality Improvement Plan in the next Action Plan. </w:t>
            </w:r>
          </w:p>
          <w:p w14:paraId="4D0D0527" w14:textId="7696BE75" w:rsidR="00937D6F" w:rsidRDefault="00937D6F" w:rsidP="00AB185A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5D03B15F" w14:textId="60227553" w:rsidR="00EB70CE" w:rsidRDefault="00EB70CE" w:rsidP="00EB70CE">
      <w:pPr>
        <w:rPr>
          <w:b/>
        </w:rPr>
      </w:pPr>
    </w:p>
    <w:sectPr w:rsidR="00EB70CE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6DBBA" w14:textId="77777777" w:rsidR="00AE485B" w:rsidRDefault="00AE485B" w:rsidP="00CA0BAD">
      <w:pPr>
        <w:spacing w:after="0" w:line="240" w:lineRule="auto"/>
      </w:pPr>
      <w:r>
        <w:separator/>
      </w:r>
    </w:p>
  </w:endnote>
  <w:endnote w:type="continuationSeparator" w:id="0">
    <w:p w14:paraId="6419E02D" w14:textId="77777777" w:rsidR="00AE485B" w:rsidRDefault="00AE485B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51FAD270" w:rsidR="00FC3EE8" w:rsidRPr="00BF488D" w:rsidRDefault="00FC3EE8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640A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Thursday, 19 December 2019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FC3EE8" w:rsidRPr="008679D5" w:rsidRDefault="00FC3EE8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8D9D" w14:textId="77777777" w:rsidR="00AE485B" w:rsidRDefault="00AE485B" w:rsidP="00CA0BAD">
      <w:pPr>
        <w:spacing w:after="0" w:line="240" w:lineRule="auto"/>
      </w:pPr>
      <w:r>
        <w:separator/>
      </w:r>
    </w:p>
  </w:footnote>
  <w:footnote w:type="continuationSeparator" w:id="0">
    <w:p w14:paraId="763E361F" w14:textId="77777777" w:rsidR="00AE485B" w:rsidRDefault="00AE485B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128F" w14:textId="77777777" w:rsidR="00FC3EE8" w:rsidRDefault="00FC3EE8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34A" w14:textId="77777777" w:rsidR="00FC3EE8" w:rsidRDefault="00FC3EE8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CA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F3502"/>
    <w:multiLevelType w:val="hybridMultilevel"/>
    <w:tmpl w:val="B6184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209D"/>
    <w:multiLevelType w:val="hybridMultilevel"/>
    <w:tmpl w:val="B5D2C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F1B77"/>
    <w:multiLevelType w:val="hybridMultilevel"/>
    <w:tmpl w:val="C18E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F57A3"/>
    <w:multiLevelType w:val="hybridMultilevel"/>
    <w:tmpl w:val="78EC6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F0205"/>
    <w:multiLevelType w:val="hybridMultilevel"/>
    <w:tmpl w:val="65CCE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43D6D"/>
    <w:multiLevelType w:val="hybridMultilevel"/>
    <w:tmpl w:val="7CDA5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7254F"/>
    <w:multiLevelType w:val="hybridMultilevel"/>
    <w:tmpl w:val="61AA1768"/>
    <w:lvl w:ilvl="0" w:tplc="D0A86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35389"/>
    <w:multiLevelType w:val="hybridMultilevel"/>
    <w:tmpl w:val="22326426"/>
    <w:lvl w:ilvl="0" w:tplc="FEC8E9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514C5"/>
    <w:multiLevelType w:val="hybridMultilevel"/>
    <w:tmpl w:val="F5D8E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30A15"/>
    <w:multiLevelType w:val="hybridMultilevel"/>
    <w:tmpl w:val="1662F5AC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A6DF7"/>
    <w:multiLevelType w:val="hybridMultilevel"/>
    <w:tmpl w:val="9D08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F56E7"/>
    <w:multiLevelType w:val="hybridMultilevel"/>
    <w:tmpl w:val="1F207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80F58"/>
    <w:multiLevelType w:val="hybridMultilevel"/>
    <w:tmpl w:val="B2120D2E"/>
    <w:lvl w:ilvl="0" w:tplc="0C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400B284C"/>
    <w:multiLevelType w:val="hybridMultilevel"/>
    <w:tmpl w:val="6E60BB38"/>
    <w:lvl w:ilvl="0" w:tplc="0C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472D4335"/>
    <w:multiLevelType w:val="hybridMultilevel"/>
    <w:tmpl w:val="40AA0F0A"/>
    <w:lvl w:ilvl="0" w:tplc="0C09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7273B25"/>
    <w:multiLevelType w:val="hybridMultilevel"/>
    <w:tmpl w:val="5B707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850B8"/>
    <w:multiLevelType w:val="hybridMultilevel"/>
    <w:tmpl w:val="C3DC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80FB3"/>
    <w:multiLevelType w:val="hybridMultilevel"/>
    <w:tmpl w:val="15FA8518"/>
    <w:lvl w:ilvl="0" w:tplc="7BD2A23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95F8B"/>
    <w:multiLevelType w:val="hybridMultilevel"/>
    <w:tmpl w:val="4524E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8517F"/>
    <w:multiLevelType w:val="hybridMultilevel"/>
    <w:tmpl w:val="529CB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23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31"/>
  </w:num>
  <w:num w:numId="18">
    <w:abstractNumId w:val="27"/>
  </w:num>
  <w:num w:numId="19">
    <w:abstractNumId w:val="32"/>
  </w:num>
  <w:num w:numId="20">
    <w:abstractNumId w:val="28"/>
  </w:num>
  <w:num w:numId="21">
    <w:abstractNumId w:val="26"/>
  </w:num>
  <w:num w:numId="22">
    <w:abstractNumId w:val="24"/>
  </w:num>
  <w:num w:numId="23">
    <w:abstractNumId w:val="11"/>
  </w:num>
  <w:num w:numId="24">
    <w:abstractNumId w:val="33"/>
  </w:num>
  <w:num w:numId="25">
    <w:abstractNumId w:val="13"/>
  </w:num>
  <w:num w:numId="26">
    <w:abstractNumId w:val="16"/>
  </w:num>
  <w:num w:numId="27">
    <w:abstractNumId w:val="22"/>
  </w:num>
  <w:num w:numId="28">
    <w:abstractNumId w:val="35"/>
  </w:num>
  <w:num w:numId="29">
    <w:abstractNumId w:val="12"/>
  </w:num>
  <w:num w:numId="30">
    <w:abstractNumId w:val="14"/>
  </w:num>
  <w:num w:numId="31">
    <w:abstractNumId w:val="25"/>
  </w:num>
  <w:num w:numId="32">
    <w:abstractNumId w:val="20"/>
  </w:num>
  <w:num w:numId="33">
    <w:abstractNumId w:val="15"/>
  </w:num>
  <w:num w:numId="34">
    <w:abstractNumId w:val="34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06CB"/>
    <w:rsid w:val="000031B5"/>
    <w:rsid w:val="00013D5A"/>
    <w:rsid w:val="00015198"/>
    <w:rsid w:val="000409A6"/>
    <w:rsid w:val="000466E5"/>
    <w:rsid w:val="00057DAD"/>
    <w:rsid w:val="000640AA"/>
    <w:rsid w:val="000F4D91"/>
    <w:rsid w:val="000F7E7C"/>
    <w:rsid w:val="00107AE2"/>
    <w:rsid w:val="00115AA9"/>
    <w:rsid w:val="00132917"/>
    <w:rsid w:val="00132B8E"/>
    <w:rsid w:val="0014725F"/>
    <w:rsid w:val="00161E50"/>
    <w:rsid w:val="00163579"/>
    <w:rsid w:val="0018276D"/>
    <w:rsid w:val="00183DE5"/>
    <w:rsid w:val="001A7762"/>
    <w:rsid w:val="001B26EA"/>
    <w:rsid w:val="001B2E33"/>
    <w:rsid w:val="001D34FA"/>
    <w:rsid w:val="001E629B"/>
    <w:rsid w:val="001F0A6C"/>
    <w:rsid w:val="00203DB3"/>
    <w:rsid w:val="002145F7"/>
    <w:rsid w:val="00225C73"/>
    <w:rsid w:val="00236F3D"/>
    <w:rsid w:val="0024781C"/>
    <w:rsid w:val="00266E77"/>
    <w:rsid w:val="00271528"/>
    <w:rsid w:val="00283A4F"/>
    <w:rsid w:val="002A2DFC"/>
    <w:rsid w:val="002F2C6F"/>
    <w:rsid w:val="002F4184"/>
    <w:rsid w:val="00300F72"/>
    <w:rsid w:val="0032695B"/>
    <w:rsid w:val="00334BBF"/>
    <w:rsid w:val="00340B97"/>
    <w:rsid w:val="00342B3F"/>
    <w:rsid w:val="003432F0"/>
    <w:rsid w:val="00365890"/>
    <w:rsid w:val="00365A1C"/>
    <w:rsid w:val="00371819"/>
    <w:rsid w:val="00373DC0"/>
    <w:rsid w:val="00377F0F"/>
    <w:rsid w:val="00382E13"/>
    <w:rsid w:val="003970C8"/>
    <w:rsid w:val="003B5E3D"/>
    <w:rsid w:val="003C2864"/>
    <w:rsid w:val="003C69DC"/>
    <w:rsid w:val="003E1EFB"/>
    <w:rsid w:val="003F10D4"/>
    <w:rsid w:val="00412B78"/>
    <w:rsid w:val="00422FDF"/>
    <w:rsid w:val="00435AB7"/>
    <w:rsid w:val="00435C6B"/>
    <w:rsid w:val="00436626"/>
    <w:rsid w:val="00461D07"/>
    <w:rsid w:val="00476DC7"/>
    <w:rsid w:val="00481BD2"/>
    <w:rsid w:val="00492440"/>
    <w:rsid w:val="004C32E2"/>
    <w:rsid w:val="004D00F4"/>
    <w:rsid w:val="004D5E45"/>
    <w:rsid w:val="0050205E"/>
    <w:rsid w:val="00511810"/>
    <w:rsid w:val="00513923"/>
    <w:rsid w:val="00520A86"/>
    <w:rsid w:val="00557F65"/>
    <w:rsid w:val="005611F4"/>
    <w:rsid w:val="0057672E"/>
    <w:rsid w:val="0058339C"/>
    <w:rsid w:val="00585034"/>
    <w:rsid w:val="0059350F"/>
    <w:rsid w:val="005A4749"/>
    <w:rsid w:val="005C7432"/>
    <w:rsid w:val="005E76E4"/>
    <w:rsid w:val="005F3B55"/>
    <w:rsid w:val="00610A38"/>
    <w:rsid w:val="00627DEE"/>
    <w:rsid w:val="00631663"/>
    <w:rsid w:val="00654240"/>
    <w:rsid w:val="0065443F"/>
    <w:rsid w:val="0066643F"/>
    <w:rsid w:val="00674E1D"/>
    <w:rsid w:val="00675C00"/>
    <w:rsid w:val="006830C3"/>
    <w:rsid w:val="006A31D6"/>
    <w:rsid w:val="006A5062"/>
    <w:rsid w:val="006C100F"/>
    <w:rsid w:val="006D0600"/>
    <w:rsid w:val="006D2F6B"/>
    <w:rsid w:val="006E3508"/>
    <w:rsid w:val="007347A7"/>
    <w:rsid w:val="007375B4"/>
    <w:rsid w:val="00752390"/>
    <w:rsid w:val="007B0189"/>
    <w:rsid w:val="007D407C"/>
    <w:rsid w:val="00826968"/>
    <w:rsid w:val="008300DD"/>
    <w:rsid w:val="00837137"/>
    <w:rsid w:val="00846E51"/>
    <w:rsid w:val="00851097"/>
    <w:rsid w:val="00860EB6"/>
    <w:rsid w:val="008679D5"/>
    <w:rsid w:val="00875E27"/>
    <w:rsid w:val="00894918"/>
    <w:rsid w:val="00896B58"/>
    <w:rsid w:val="008A01DA"/>
    <w:rsid w:val="008B16B7"/>
    <w:rsid w:val="00901302"/>
    <w:rsid w:val="00915ADE"/>
    <w:rsid w:val="0093040B"/>
    <w:rsid w:val="00932E67"/>
    <w:rsid w:val="00937D6F"/>
    <w:rsid w:val="009615FC"/>
    <w:rsid w:val="0098186C"/>
    <w:rsid w:val="00997CD0"/>
    <w:rsid w:val="009B454E"/>
    <w:rsid w:val="009B7107"/>
    <w:rsid w:val="009E2D26"/>
    <w:rsid w:val="00A112C4"/>
    <w:rsid w:val="00A1525D"/>
    <w:rsid w:val="00A52769"/>
    <w:rsid w:val="00A549B3"/>
    <w:rsid w:val="00A93275"/>
    <w:rsid w:val="00A967A3"/>
    <w:rsid w:val="00AB185A"/>
    <w:rsid w:val="00AB3505"/>
    <w:rsid w:val="00AD7D38"/>
    <w:rsid w:val="00AE1CAD"/>
    <w:rsid w:val="00AE2FBD"/>
    <w:rsid w:val="00AE3C70"/>
    <w:rsid w:val="00AE485B"/>
    <w:rsid w:val="00AF4FF1"/>
    <w:rsid w:val="00B06296"/>
    <w:rsid w:val="00B10319"/>
    <w:rsid w:val="00B36AF4"/>
    <w:rsid w:val="00B41802"/>
    <w:rsid w:val="00B45D58"/>
    <w:rsid w:val="00B53B59"/>
    <w:rsid w:val="00B734D8"/>
    <w:rsid w:val="00C0648C"/>
    <w:rsid w:val="00C06492"/>
    <w:rsid w:val="00C21B45"/>
    <w:rsid w:val="00C36B48"/>
    <w:rsid w:val="00C5368C"/>
    <w:rsid w:val="00C63CC4"/>
    <w:rsid w:val="00C77B0A"/>
    <w:rsid w:val="00C91C8E"/>
    <w:rsid w:val="00C97DBA"/>
    <w:rsid w:val="00C97F5F"/>
    <w:rsid w:val="00CA0BAD"/>
    <w:rsid w:val="00CA26FB"/>
    <w:rsid w:val="00CF3F40"/>
    <w:rsid w:val="00D03B0C"/>
    <w:rsid w:val="00D21886"/>
    <w:rsid w:val="00D314BF"/>
    <w:rsid w:val="00D46BD4"/>
    <w:rsid w:val="00D56F59"/>
    <w:rsid w:val="00D66148"/>
    <w:rsid w:val="00D731BD"/>
    <w:rsid w:val="00D765DB"/>
    <w:rsid w:val="00DA09ED"/>
    <w:rsid w:val="00DA4480"/>
    <w:rsid w:val="00DB037A"/>
    <w:rsid w:val="00DE43E6"/>
    <w:rsid w:val="00DE75EB"/>
    <w:rsid w:val="00DF0245"/>
    <w:rsid w:val="00DF695B"/>
    <w:rsid w:val="00E061B8"/>
    <w:rsid w:val="00E14A54"/>
    <w:rsid w:val="00E434FA"/>
    <w:rsid w:val="00E83AE5"/>
    <w:rsid w:val="00EA1B8A"/>
    <w:rsid w:val="00EA6167"/>
    <w:rsid w:val="00EB70CE"/>
    <w:rsid w:val="00EB73BA"/>
    <w:rsid w:val="00ED3FB9"/>
    <w:rsid w:val="00EF2574"/>
    <w:rsid w:val="00EF4A5F"/>
    <w:rsid w:val="00F05C79"/>
    <w:rsid w:val="00F262E9"/>
    <w:rsid w:val="00F536D7"/>
    <w:rsid w:val="00F5634B"/>
    <w:rsid w:val="00F56430"/>
    <w:rsid w:val="00F71E2F"/>
    <w:rsid w:val="00F828E7"/>
    <w:rsid w:val="00F87A19"/>
    <w:rsid w:val="00FA6811"/>
    <w:rsid w:val="00FA6A61"/>
    <w:rsid w:val="00FB31F0"/>
    <w:rsid w:val="00FC3EE8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99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link w:val="ListParagraph"/>
    <w:uiPriority w:val="99"/>
    <w:locked/>
    <w:rsid w:val="00585034"/>
  </w:style>
  <w:style w:type="paragraph" w:customStyle="1" w:styleId="NumberedList">
    <w:name w:val="Numbered List"/>
    <w:basedOn w:val="Normal"/>
    <w:qFormat/>
    <w:rsid w:val="00382E13"/>
    <w:pPr>
      <w:numPr>
        <w:numId w:val="22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1610FD"/>
    <w:rsid w:val="003D1F1C"/>
    <w:rsid w:val="004E1C45"/>
    <w:rsid w:val="008A0DAB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Bersinic, Kathy</cp:lastModifiedBy>
  <cp:revision>2</cp:revision>
  <cp:lastPrinted>2018-11-20T01:48:00Z</cp:lastPrinted>
  <dcterms:created xsi:type="dcterms:W3CDTF">2019-12-19T04:41:00Z</dcterms:created>
  <dcterms:modified xsi:type="dcterms:W3CDTF">2019-12-19T04:41:00Z</dcterms:modified>
</cp:coreProperties>
</file>