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C0FB5" w:rsidRDefault="000A10F1">
      <w:pPr>
        <w:pStyle w:val="Title"/>
        <w:spacing w:after="0"/>
        <w:ind w:left="-46"/>
      </w:pPr>
      <w:r>
        <w:rPr>
          <w:noProof/>
        </w:rPr>
        <w:drawing>
          <wp:inline distT="114300" distB="114300" distL="114300" distR="114300">
            <wp:extent cx="3981450" cy="1404075"/>
            <wp:effectExtent l="0" t="0" r="0" b="0"/>
            <wp:docPr id="1" name="image01.png" descr="logo@2x-600x182.png"/>
            <wp:cNvGraphicFramePr/>
            <a:graphic xmlns:a="http://schemas.openxmlformats.org/drawingml/2006/main">
              <a:graphicData uri="http://schemas.openxmlformats.org/drawingml/2006/picture">
                <pic:pic xmlns:pic="http://schemas.openxmlformats.org/drawingml/2006/picture">
                  <pic:nvPicPr>
                    <pic:cNvPr id="0" name="image01.png" descr="logo@2x-600x182.png"/>
                    <pic:cNvPicPr preferRelativeResize="0"/>
                  </pic:nvPicPr>
                  <pic:blipFill>
                    <a:blip r:embed="rId7" cstate="print"/>
                    <a:srcRect l="15968" t="11998" r="14354" b="7428"/>
                    <a:stretch>
                      <a:fillRect/>
                    </a:stretch>
                  </pic:blipFill>
                  <pic:spPr>
                    <a:xfrm>
                      <a:off x="0" y="0"/>
                      <a:ext cx="3981450" cy="1404075"/>
                    </a:xfrm>
                    <a:prstGeom prst="rect">
                      <a:avLst/>
                    </a:prstGeom>
                    <a:ln/>
                  </pic:spPr>
                </pic:pic>
              </a:graphicData>
            </a:graphic>
          </wp:inline>
        </w:drawing>
      </w:r>
    </w:p>
    <w:p w:rsidR="00EC0FB5" w:rsidRDefault="000A10F1">
      <w:pPr>
        <w:pStyle w:val="Title"/>
        <w:spacing w:after="0"/>
        <w:ind w:left="-46"/>
      </w:pPr>
      <w:r>
        <w:t xml:space="preserve">Gungahlin College Strategic Plan </w:t>
      </w:r>
    </w:p>
    <w:p w:rsidR="00EC0FB5" w:rsidRDefault="000A10F1">
      <w:pPr>
        <w:pStyle w:val="Title"/>
        <w:spacing w:after="0"/>
        <w:ind w:left="-46"/>
      </w:pPr>
      <w:r>
        <w:t xml:space="preserve">2016-2020 </w:t>
      </w:r>
    </w:p>
    <w:p w:rsidR="00EC0FB5" w:rsidRDefault="000A10F1">
      <w:pPr>
        <w:pStyle w:val="Title"/>
        <w:ind w:left="-46"/>
      </w:pPr>
      <w:r>
        <w:t>North Canberra/Gungahlin Network</w:t>
      </w:r>
    </w:p>
    <w:p w:rsidR="00EC0FB5" w:rsidRDefault="000A10F1">
      <w:pPr>
        <w:pStyle w:val="normal0"/>
        <w:spacing w:before="120" w:after="600"/>
        <w:ind w:left="-46"/>
      </w:pPr>
      <w:r>
        <w:rPr>
          <w:b/>
          <w:color w:val="737277"/>
          <w:sz w:val="24"/>
          <w:szCs w:val="24"/>
        </w:rPr>
        <w:t>Endorsement by School Principal</w:t>
      </w:r>
    </w:p>
    <w:p w:rsidR="00EC0FB5" w:rsidRDefault="000A10F1">
      <w:pPr>
        <w:pStyle w:val="normal0"/>
        <w:widowControl/>
        <w:spacing w:after="210"/>
      </w:pPr>
      <w:r>
        <w:rPr>
          <w:color w:val="747378"/>
          <w:sz w:val="24"/>
          <w:szCs w:val="24"/>
        </w:rPr>
        <w:t>Name:</w:t>
      </w:r>
      <w:r>
        <w:rPr>
          <w:color w:val="747378"/>
          <w:sz w:val="24"/>
          <w:szCs w:val="24"/>
        </w:rPr>
        <w:tab/>
      </w:r>
      <w:r>
        <w:rPr>
          <w:color w:val="747378"/>
          <w:sz w:val="24"/>
          <w:szCs w:val="24"/>
        </w:rPr>
        <w:tab/>
        <w:t>John Alston-Campbell</w:t>
      </w:r>
    </w:p>
    <w:tbl>
      <w:tblPr>
        <w:tblStyle w:val="a"/>
        <w:tblW w:w="964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091"/>
        <w:gridCol w:w="3705"/>
        <w:gridCol w:w="2437"/>
        <w:gridCol w:w="2409"/>
      </w:tblGrid>
      <w:tr w:rsidR="00EC0FB5">
        <w:trPr>
          <w:trHeight w:val="520"/>
        </w:trPr>
        <w:tc>
          <w:tcPr>
            <w:tcW w:w="1091" w:type="dxa"/>
            <w:tcBorders>
              <w:top w:val="nil"/>
              <w:left w:val="nil"/>
              <w:bottom w:val="nil"/>
              <w:right w:val="nil"/>
            </w:tcBorders>
            <w:vAlign w:val="bottom"/>
          </w:tcPr>
          <w:p w:rsidR="00EC0FB5" w:rsidRDefault="000A10F1">
            <w:pPr>
              <w:pStyle w:val="normal0"/>
              <w:widowControl/>
              <w:spacing w:before="240" w:after="240" w:line="360" w:lineRule="auto"/>
            </w:pPr>
            <w:r>
              <w:rPr>
                <w:color w:val="747378"/>
                <w:sz w:val="24"/>
                <w:szCs w:val="24"/>
              </w:rPr>
              <w:t>Signed:</w:t>
            </w:r>
          </w:p>
        </w:tc>
        <w:tc>
          <w:tcPr>
            <w:tcW w:w="3705" w:type="dxa"/>
            <w:tcBorders>
              <w:top w:val="nil"/>
              <w:left w:val="nil"/>
              <w:right w:val="nil"/>
            </w:tcBorders>
            <w:vAlign w:val="bottom"/>
          </w:tcPr>
          <w:p w:rsidR="00EC0FB5" w:rsidRDefault="00EC0FB5">
            <w:pPr>
              <w:pStyle w:val="normal0"/>
              <w:widowControl/>
              <w:spacing w:before="240" w:after="240" w:line="360" w:lineRule="auto"/>
            </w:pPr>
          </w:p>
        </w:tc>
        <w:tc>
          <w:tcPr>
            <w:tcW w:w="2437" w:type="dxa"/>
            <w:tcBorders>
              <w:top w:val="nil"/>
              <w:left w:val="nil"/>
              <w:bottom w:val="nil"/>
              <w:right w:val="nil"/>
            </w:tcBorders>
            <w:vAlign w:val="bottom"/>
          </w:tcPr>
          <w:p w:rsidR="00EC0FB5" w:rsidRDefault="000A10F1">
            <w:pPr>
              <w:pStyle w:val="normal0"/>
              <w:widowControl/>
              <w:spacing w:before="240" w:after="240" w:line="360" w:lineRule="auto"/>
              <w:ind w:left="720"/>
            </w:pPr>
            <w:r>
              <w:rPr>
                <w:color w:val="747378"/>
                <w:sz w:val="24"/>
                <w:szCs w:val="24"/>
              </w:rPr>
              <w:t>Date:</w:t>
            </w:r>
          </w:p>
        </w:tc>
        <w:tc>
          <w:tcPr>
            <w:tcW w:w="2409" w:type="dxa"/>
            <w:tcBorders>
              <w:top w:val="nil"/>
              <w:left w:val="nil"/>
              <w:right w:val="nil"/>
            </w:tcBorders>
            <w:vAlign w:val="bottom"/>
          </w:tcPr>
          <w:p w:rsidR="00EC0FB5" w:rsidRDefault="000A10F1">
            <w:pPr>
              <w:pStyle w:val="normal0"/>
              <w:widowControl/>
              <w:spacing w:before="240" w:after="240" w:line="360" w:lineRule="auto"/>
              <w:jc w:val="center"/>
            </w:pPr>
            <w:r>
              <w:rPr>
                <w:color w:val="747378"/>
                <w:sz w:val="24"/>
                <w:szCs w:val="24"/>
              </w:rPr>
              <w:t>X / X / 2016</w:t>
            </w:r>
          </w:p>
        </w:tc>
      </w:tr>
    </w:tbl>
    <w:p w:rsidR="00EC0FB5" w:rsidRDefault="00EC0FB5">
      <w:pPr>
        <w:pStyle w:val="normal0"/>
        <w:spacing w:before="240" w:after="240" w:line="360" w:lineRule="auto"/>
      </w:pPr>
    </w:p>
    <w:p w:rsidR="00EC0FB5" w:rsidRDefault="000A10F1">
      <w:pPr>
        <w:pStyle w:val="normal0"/>
        <w:spacing w:before="120" w:after="600"/>
        <w:ind w:left="-46"/>
      </w:pPr>
      <w:r>
        <w:rPr>
          <w:b/>
          <w:color w:val="737277"/>
          <w:sz w:val="24"/>
          <w:szCs w:val="24"/>
        </w:rPr>
        <w:t>Endorsement by School Board Chair</w:t>
      </w:r>
    </w:p>
    <w:p w:rsidR="00EC0FB5" w:rsidRDefault="000A10F1">
      <w:pPr>
        <w:pStyle w:val="normal0"/>
        <w:widowControl/>
        <w:spacing w:after="210"/>
      </w:pPr>
      <w:r>
        <w:rPr>
          <w:color w:val="747378"/>
          <w:sz w:val="24"/>
          <w:szCs w:val="24"/>
        </w:rPr>
        <w:t>Name:</w:t>
      </w:r>
      <w:r>
        <w:rPr>
          <w:color w:val="747378"/>
          <w:sz w:val="24"/>
          <w:szCs w:val="24"/>
        </w:rPr>
        <w:tab/>
      </w:r>
      <w:r>
        <w:rPr>
          <w:color w:val="747378"/>
          <w:sz w:val="24"/>
          <w:szCs w:val="24"/>
        </w:rPr>
        <w:tab/>
        <w:t>David Vernon</w:t>
      </w:r>
    </w:p>
    <w:tbl>
      <w:tblPr>
        <w:tblStyle w:val="a0"/>
        <w:tblW w:w="964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091"/>
        <w:gridCol w:w="3705"/>
        <w:gridCol w:w="2437"/>
        <w:gridCol w:w="2409"/>
      </w:tblGrid>
      <w:tr w:rsidR="00EC0FB5">
        <w:trPr>
          <w:trHeight w:val="640"/>
        </w:trPr>
        <w:tc>
          <w:tcPr>
            <w:tcW w:w="1091" w:type="dxa"/>
            <w:tcBorders>
              <w:top w:val="nil"/>
              <w:left w:val="nil"/>
              <w:bottom w:val="nil"/>
              <w:right w:val="nil"/>
            </w:tcBorders>
            <w:vAlign w:val="bottom"/>
          </w:tcPr>
          <w:p w:rsidR="00EC0FB5" w:rsidRDefault="000A10F1">
            <w:pPr>
              <w:pStyle w:val="normal0"/>
              <w:widowControl/>
              <w:spacing w:before="240" w:after="240" w:line="360" w:lineRule="auto"/>
            </w:pPr>
            <w:r>
              <w:rPr>
                <w:color w:val="747378"/>
                <w:sz w:val="24"/>
                <w:szCs w:val="24"/>
              </w:rPr>
              <w:t xml:space="preserve">Signed: </w:t>
            </w:r>
          </w:p>
        </w:tc>
        <w:tc>
          <w:tcPr>
            <w:tcW w:w="3705" w:type="dxa"/>
            <w:tcBorders>
              <w:top w:val="nil"/>
              <w:left w:val="nil"/>
              <w:right w:val="nil"/>
            </w:tcBorders>
          </w:tcPr>
          <w:p w:rsidR="00EC0FB5" w:rsidRDefault="00EC0FB5">
            <w:pPr>
              <w:pStyle w:val="normal0"/>
              <w:widowControl/>
              <w:spacing w:before="240" w:after="240" w:line="360" w:lineRule="auto"/>
            </w:pPr>
          </w:p>
        </w:tc>
        <w:tc>
          <w:tcPr>
            <w:tcW w:w="2437" w:type="dxa"/>
            <w:tcBorders>
              <w:top w:val="nil"/>
              <w:left w:val="nil"/>
              <w:bottom w:val="nil"/>
              <w:right w:val="nil"/>
            </w:tcBorders>
            <w:vAlign w:val="bottom"/>
          </w:tcPr>
          <w:p w:rsidR="00EC0FB5" w:rsidRDefault="000A10F1">
            <w:pPr>
              <w:pStyle w:val="normal0"/>
              <w:widowControl/>
              <w:spacing w:before="240" w:after="240" w:line="360" w:lineRule="auto"/>
              <w:ind w:left="720"/>
            </w:pPr>
            <w:r>
              <w:rPr>
                <w:color w:val="747378"/>
                <w:sz w:val="24"/>
                <w:szCs w:val="24"/>
              </w:rPr>
              <w:t>Date:</w:t>
            </w:r>
          </w:p>
        </w:tc>
        <w:tc>
          <w:tcPr>
            <w:tcW w:w="2409" w:type="dxa"/>
            <w:tcBorders>
              <w:top w:val="nil"/>
              <w:left w:val="nil"/>
              <w:right w:val="nil"/>
            </w:tcBorders>
          </w:tcPr>
          <w:p w:rsidR="00EC0FB5" w:rsidRDefault="000A10F1">
            <w:pPr>
              <w:pStyle w:val="normal0"/>
              <w:widowControl/>
              <w:spacing w:before="240" w:after="240" w:line="360" w:lineRule="auto"/>
              <w:jc w:val="center"/>
            </w:pPr>
            <w:r>
              <w:rPr>
                <w:color w:val="747378"/>
                <w:sz w:val="24"/>
                <w:szCs w:val="24"/>
              </w:rPr>
              <w:t>X / X / 2016</w:t>
            </w:r>
          </w:p>
        </w:tc>
      </w:tr>
    </w:tbl>
    <w:p w:rsidR="00EC0FB5" w:rsidRDefault="00EC0FB5">
      <w:pPr>
        <w:pStyle w:val="normal0"/>
        <w:spacing w:before="240" w:after="240" w:line="360" w:lineRule="auto"/>
      </w:pPr>
    </w:p>
    <w:p w:rsidR="00EC0FB5" w:rsidRDefault="000A10F1">
      <w:pPr>
        <w:pStyle w:val="normal0"/>
        <w:spacing w:before="120" w:after="600"/>
        <w:ind w:left="-46"/>
      </w:pPr>
      <w:r>
        <w:rPr>
          <w:b/>
          <w:color w:val="737277"/>
          <w:sz w:val="24"/>
          <w:szCs w:val="24"/>
        </w:rPr>
        <w:t>Endorsement by School Network Leader</w:t>
      </w:r>
    </w:p>
    <w:p w:rsidR="00EC0FB5" w:rsidRDefault="000A10F1">
      <w:pPr>
        <w:pStyle w:val="normal0"/>
        <w:widowControl/>
        <w:spacing w:after="210"/>
      </w:pPr>
      <w:r>
        <w:rPr>
          <w:color w:val="747378"/>
          <w:sz w:val="24"/>
          <w:szCs w:val="24"/>
        </w:rPr>
        <w:t xml:space="preserve">Name: </w:t>
      </w:r>
      <w:r>
        <w:rPr>
          <w:color w:val="747378"/>
          <w:sz w:val="24"/>
          <w:szCs w:val="24"/>
        </w:rPr>
        <w:tab/>
      </w:r>
      <w:r>
        <w:rPr>
          <w:color w:val="747378"/>
          <w:sz w:val="24"/>
          <w:szCs w:val="24"/>
        </w:rPr>
        <w:tab/>
        <w:t>Judy Hamilton</w:t>
      </w:r>
    </w:p>
    <w:tbl>
      <w:tblPr>
        <w:tblStyle w:val="a1"/>
        <w:tblW w:w="964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091"/>
        <w:gridCol w:w="3705"/>
        <w:gridCol w:w="2437"/>
        <w:gridCol w:w="2409"/>
      </w:tblGrid>
      <w:tr w:rsidR="00EC0FB5">
        <w:trPr>
          <w:trHeight w:val="520"/>
        </w:trPr>
        <w:tc>
          <w:tcPr>
            <w:tcW w:w="1091" w:type="dxa"/>
            <w:tcBorders>
              <w:top w:val="nil"/>
              <w:left w:val="nil"/>
              <w:bottom w:val="nil"/>
              <w:right w:val="nil"/>
            </w:tcBorders>
            <w:vAlign w:val="bottom"/>
          </w:tcPr>
          <w:p w:rsidR="00EC0FB5" w:rsidRDefault="000A10F1">
            <w:pPr>
              <w:pStyle w:val="normal0"/>
              <w:widowControl/>
              <w:spacing w:after="210"/>
            </w:pPr>
            <w:r>
              <w:rPr>
                <w:color w:val="747378"/>
                <w:sz w:val="24"/>
                <w:szCs w:val="24"/>
              </w:rPr>
              <w:t xml:space="preserve">Signed: </w:t>
            </w:r>
          </w:p>
        </w:tc>
        <w:tc>
          <w:tcPr>
            <w:tcW w:w="3705" w:type="dxa"/>
            <w:tcBorders>
              <w:top w:val="nil"/>
              <w:left w:val="nil"/>
              <w:right w:val="nil"/>
            </w:tcBorders>
          </w:tcPr>
          <w:p w:rsidR="00EC0FB5" w:rsidRDefault="00EC0FB5">
            <w:pPr>
              <w:pStyle w:val="normal0"/>
              <w:widowControl/>
              <w:spacing w:after="210"/>
            </w:pPr>
          </w:p>
        </w:tc>
        <w:tc>
          <w:tcPr>
            <w:tcW w:w="2437" w:type="dxa"/>
            <w:tcBorders>
              <w:top w:val="nil"/>
              <w:left w:val="nil"/>
              <w:bottom w:val="nil"/>
              <w:right w:val="nil"/>
            </w:tcBorders>
            <w:vAlign w:val="bottom"/>
          </w:tcPr>
          <w:p w:rsidR="00EC0FB5" w:rsidRDefault="000A10F1">
            <w:pPr>
              <w:pStyle w:val="normal0"/>
              <w:widowControl/>
              <w:spacing w:after="210"/>
              <w:ind w:left="720"/>
            </w:pPr>
            <w:r>
              <w:rPr>
                <w:color w:val="747378"/>
                <w:sz w:val="24"/>
                <w:szCs w:val="24"/>
              </w:rPr>
              <w:t>Date:</w:t>
            </w:r>
          </w:p>
        </w:tc>
        <w:tc>
          <w:tcPr>
            <w:tcW w:w="2409" w:type="dxa"/>
            <w:tcBorders>
              <w:top w:val="nil"/>
              <w:left w:val="nil"/>
              <w:right w:val="nil"/>
            </w:tcBorders>
          </w:tcPr>
          <w:p w:rsidR="00EC0FB5" w:rsidRDefault="000A10F1">
            <w:pPr>
              <w:pStyle w:val="normal0"/>
              <w:widowControl/>
              <w:spacing w:after="210"/>
              <w:jc w:val="center"/>
            </w:pPr>
            <w:r>
              <w:rPr>
                <w:color w:val="747378"/>
                <w:sz w:val="24"/>
                <w:szCs w:val="24"/>
              </w:rPr>
              <w:t>X / X / 2016</w:t>
            </w:r>
          </w:p>
        </w:tc>
      </w:tr>
    </w:tbl>
    <w:p w:rsidR="00EC0FB5" w:rsidRDefault="000A10F1">
      <w:pPr>
        <w:pStyle w:val="normal0"/>
      </w:pPr>
      <w:r>
        <w:br w:type="page"/>
      </w:r>
    </w:p>
    <w:p w:rsidR="00EC0FB5" w:rsidRDefault="00EC0FB5">
      <w:pPr>
        <w:pStyle w:val="Heading1"/>
        <w:spacing w:before="120"/>
      </w:pPr>
    </w:p>
    <w:p w:rsidR="00EC0FB5" w:rsidRDefault="00EC0FB5">
      <w:pPr>
        <w:pStyle w:val="normal0"/>
        <w:spacing w:before="240"/>
      </w:pPr>
    </w:p>
    <w:tbl>
      <w:tblPr>
        <w:tblStyle w:val="a2"/>
        <w:tblW w:w="102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0295"/>
      </w:tblGrid>
      <w:tr w:rsidR="00EC0FB5">
        <w:tc>
          <w:tcPr>
            <w:tcW w:w="10295" w:type="dxa"/>
            <w:shd w:val="clear" w:color="auto" w:fill="9FC5E8"/>
            <w:tcMar>
              <w:top w:w="100" w:type="dxa"/>
              <w:left w:w="100" w:type="dxa"/>
              <w:bottom w:w="100" w:type="dxa"/>
              <w:right w:w="100" w:type="dxa"/>
            </w:tcMar>
          </w:tcPr>
          <w:p w:rsidR="00EC0FB5" w:rsidRDefault="000A10F1">
            <w:pPr>
              <w:pStyle w:val="normal0"/>
              <w:spacing w:before="240"/>
            </w:pPr>
            <w:r>
              <w:rPr>
                <w:b/>
                <w:sz w:val="24"/>
                <w:szCs w:val="24"/>
              </w:rPr>
              <w:t>School Profile</w:t>
            </w:r>
          </w:p>
          <w:p w:rsidR="00EC0FB5" w:rsidRDefault="000A10F1">
            <w:pPr>
              <w:pStyle w:val="normal0"/>
              <w:spacing w:before="240"/>
            </w:pPr>
            <w:r>
              <w:rPr>
                <w:sz w:val="24"/>
                <w:szCs w:val="24"/>
              </w:rPr>
              <w:t xml:space="preserve">Gungahlin College is a dynamic, inspiring and nurturing learning community dedicated to supporting all students to achieve their individual potential. It is a young school that has already distinguished itself in terms of outstanding student performance, student welfare and innovative teaching for the 21st Century. </w:t>
            </w:r>
          </w:p>
          <w:p w:rsidR="00EC0FB5" w:rsidRDefault="000A10F1">
            <w:pPr>
              <w:pStyle w:val="normal0"/>
              <w:spacing w:before="240"/>
            </w:pPr>
            <w:r>
              <w:rPr>
                <w:sz w:val="24"/>
                <w:szCs w:val="24"/>
              </w:rPr>
              <w:t>We value diversity and the richness it brings to school culture. Equally, a sense of respect, tolerance and inclusivity pervades the atmosphere of the open teaching spaces, classrooms and hallways.</w:t>
            </w:r>
          </w:p>
          <w:p w:rsidR="00EC0FB5" w:rsidRDefault="000A10F1">
            <w:pPr>
              <w:pStyle w:val="normal0"/>
              <w:spacing w:before="240"/>
            </w:pPr>
            <w:r>
              <w:rPr>
                <w:sz w:val="24"/>
                <w:szCs w:val="24"/>
              </w:rPr>
              <w:t xml:space="preserve">While we have selective programs and are also a high demand school, no student (who follows our enrolment timeline) is denied a place at the college. Equally, we run alternate programs to meet the needs of students who cannot fit or commit to the mainstream. </w:t>
            </w:r>
          </w:p>
          <w:p w:rsidR="00EC0FB5" w:rsidRDefault="000A10F1">
            <w:pPr>
              <w:pStyle w:val="normal0"/>
              <w:spacing w:before="240"/>
            </w:pPr>
            <w:r>
              <w:rPr>
                <w:sz w:val="24"/>
                <w:szCs w:val="24"/>
              </w:rPr>
              <w:t xml:space="preserve">We value evidence-based decision-making and are working to build capacity of all staff to </w:t>
            </w:r>
            <w:proofErr w:type="gramStart"/>
            <w:r>
              <w:rPr>
                <w:sz w:val="24"/>
                <w:szCs w:val="24"/>
              </w:rPr>
              <w:t>analyse  student</w:t>
            </w:r>
            <w:proofErr w:type="gramEnd"/>
            <w:r>
              <w:rPr>
                <w:sz w:val="24"/>
                <w:szCs w:val="24"/>
              </w:rPr>
              <w:t xml:space="preserve"> performance data. We track our students from enrolment to graduation and beyond, where possible. This ensures that no student misses out on targeted intervention where appropriate and their successes are celebrated.</w:t>
            </w:r>
          </w:p>
          <w:p w:rsidR="00EC0FB5" w:rsidRDefault="000A10F1">
            <w:pPr>
              <w:pStyle w:val="normal0"/>
              <w:spacing w:before="240"/>
            </w:pPr>
            <w:r>
              <w:rPr>
                <w:sz w:val="24"/>
                <w:szCs w:val="24"/>
              </w:rPr>
              <w:t>Our self-assessment began with the validation process where staff, collectively, used the National School Improvement Tool (NSIT) to rate the college against each of the domains. Concurrently, the school leadership and executive teams conducted the same assessment. Finally, the leadership team determined a final assessment against NSIT using consensus and informed by the individual assessments.</w:t>
            </w:r>
          </w:p>
          <w:p w:rsidR="00EC0FB5" w:rsidRDefault="000A10F1">
            <w:pPr>
              <w:pStyle w:val="normal0"/>
              <w:spacing w:before="240" w:after="200"/>
            </w:pPr>
            <w:r>
              <w:rPr>
                <w:sz w:val="24"/>
                <w:szCs w:val="24"/>
              </w:rPr>
              <w:t>To shape our strategic priorities for the period 2016 – 2020, we asked staff, parents and students to rank the recommendations from validation in a series of consultations. Staff also had the option to add recommendations of their own. The subsequent development of this plan made use of both the NSIT self-assessments and the staff consultations in its formulation.</w:t>
            </w:r>
          </w:p>
        </w:tc>
      </w:tr>
    </w:tbl>
    <w:p w:rsidR="00EC0FB5" w:rsidRDefault="00EC0FB5">
      <w:pPr>
        <w:pStyle w:val="normal0"/>
        <w:spacing w:before="240"/>
      </w:pPr>
    </w:p>
    <w:p w:rsidR="00EC0FB5" w:rsidRDefault="000A10F1">
      <w:pPr>
        <w:pStyle w:val="normal0"/>
      </w:pPr>
      <w:r>
        <w:br w:type="page"/>
      </w:r>
    </w:p>
    <w:p w:rsidR="00EC0FB5" w:rsidRDefault="00EC0FB5">
      <w:pPr>
        <w:pStyle w:val="normal0"/>
        <w:spacing w:before="240"/>
      </w:pPr>
    </w:p>
    <w:p w:rsidR="00EC0FB5" w:rsidRDefault="000A10F1">
      <w:pPr>
        <w:pStyle w:val="normal0"/>
        <w:spacing w:before="240"/>
      </w:pPr>
      <w:r>
        <w:rPr>
          <w:b/>
          <w:sz w:val="24"/>
          <w:szCs w:val="24"/>
        </w:rPr>
        <w:t>Strategic Priority 1:</w:t>
      </w:r>
      <w:r>
        <w:rPr>
          <w:color w:val="0000FF"/>
          <w:sz w:val="24"/>
          <w:szCs w:val="24"/>
        </w:rPr>
        <w:t xml:space="preserve"> Inspiring teaching</w:t>
      </w:r>
      <w:r>
        <w:rPr>
          <w:color w:val="0000FF"/>
          <w:sz w:val="24"/>
          <w:szCs w:val="24"/>
        </w:rPr>
        <w:br/>
      </w:r>
    </w:p>
    <w:p w:rsidR="00EC0FB5" w:rsidRDefault="000A10F1">
      <w:pPr>
        <w:pStyle w:val="normal0"/>
      </w:pPr>
      <w:r>
        <w:rPr>
          <w:b/>
          <w:sz w:val="24"/>
          <w:szCs w:val="24"/>
        </w:rPr>
        <w:t xml:space="preserve">Outcomes to be achieved: </w:t>
      </w:r>
    </w:p>
    <w:p w:rsidR="00EC0FB5" w:rsidRDefault="000A10F1">
      <w:pPr>
        <w:pStyle w:val="normal0"/>
        <w:numPr>
          <w:ilvl w:val="0"/>
          <w:numId w:val="4"/>
        </w:numPr>
        <w:ind w:hanging="360"/>
        <w:contextualSpacing/>
        <w:rPr>
          <w:sz w:val="24"/>
          <w:szCs w:val="24"/>
        </w:rPr>
      </w:pPr>
      <w:r>
        <w:rPr>
          <w:sz w:val="24"/>
          <w:szCs w:val="24"/>
        </w:rPr>
        <w:t>sustained educational growth of all students</w:t>
      </w:r>
    </w:p>
    <w:p w:rsidR="00EC0FB5" w:rsidRDefault="000A10F1">
      <w:pPr>
        <w:pStyle w:val="normal0"/>
        <w:numPr>
          <w:ilvl w:val="0"/>
          <w:numId w:val="4"/>
        </w:numPr>
        <w:ind w:hanging="360"/>
      </w:pPr>
      <w:r>
        <w:rPr>
          <w:sz w:val="24"/>
          <w:szCs w:val="24"/>
        </w:rPr>
        <w:t>highly effective and innovative teachers and school leaders</w:t>
      </w:r>
    </w:p>
    <w:p w:rsidR="00EC0FB5" w:rsidRDefault="000A10F1">
      <w:pPr>
        <w:pStyle w:val="normal0"/>
        <w:numPr>
          <w:ilvl w:val="0"/>
          <w:numId w:val="4"/>
        </w:numPr>
        <w:ind w:hanging="360"/>
        <w:contextualSpacing/>
        <w:rPr>
          <w:sz w:val="24"/>
          <w:szCs w:val="24"/>
        </w:rPr>
      </w:pPr>
      <w:r>
        <w:rPr>
          <w:sz w:val="24"/>
          <w:szCs w:val="24"/>
        </w:rPr>
        <w:t>data collected in a coherent and consistent manner over the life of the plan</w:t>
      </w:r>
    </w:p>
    <w:p w:rsidR="00EC0FB5" w:rsidRDefault="00EC0FB5">
      <w:pPr>
        <w:pStyle w:val="normal0"/>
      </w:pPr>
    </w:p>
    <w:p w:rsidR="00EC0FB5" w:rsidRDefault="000A10F1">
      <w:pPr>
        <w:pStyle w:val="normal0"/>
      </w:pPr>
      <w:r>
        <w:rPr>
          <w:b/>
          <w:sz w:val="24"/>
          <w:szCs w:val="24"/>
        </w:rPr>
        <w:t>Targets</w:t>
      </w:r>
    </w:p>
    <w:p w:rsidR="00EC0FB5" w:rsidRDefault="000A10F1">
      <w:pPr>
        <w:pStyle w:val="normal0"/>
      </w:pPr>
      <w:r>
        <w:rPr>
          <w:sz w:val="24"/>
          <w:szCs w:val="24"/>
        </w:rPr>
        <w:t>By the end of 2020 the College will achieve:</w:t>
      </w:r>
    </w:p>
    <w:p w:rsidR="00EC0FB5" w:rsidRDefault="000A10F1">
      <w:pPr>
        <w:pStyle w:val="normal0"/>
        <w:widowControl/>
        <w:numPr>
          <w:ilvl w:val="0"/>
          <w:numId w:val="3"/>
        </w:numPr>
        <w:spacing w:line="276" w:lineRule="auto"/>
        <w:ind w:hanging="360"/>
        <w:contextualSpacing/>
        <w:rPr>
          <w:sz w:val="24"/>
          <w:szCs w:val="24"/>
        </w:rPr>
      </w:pPr>
      <w:r>
        <w:rPr>
          <w:sz w:val="24"/>
          <w:szCs w:val="24"/>
        </w:rPr>
        <w:t>90% or more students agree or strongly agree that they are getting a good education at the school (84% in 2015 from School Satisfaction Survey)</w:t>
      </w:r>
    </w:p>
    <w:p w:rsidR="00EC0FB5" w:rsidRDefault="000A10F1">
      <w:pPr>
        <w:pStyle w:val="normal0"/>
        <w:widowControl/>
        <w:numPr>
          <w:ilvl w:val="0"/>
          <w:numId w:val="3"/>
        </w:numPr>
        <w:spacing w:line="276" w:lineRule="auto"/>
        <w:ind w:hanging="360"/>
        <w:contextualSpacing/>
        <w:rPr>
          <w:sz w:val="24"/>
          <w:szCs w:val="24"/>
        </w:rPr>
      </w:pPr>
      <w:r>
        <w:rPr>
          <w:sz w:val="24"/>
          <w:szCs w:val="24"/>
        </w:rPr>
        <w:t>85% or more students agree or strongly agree that their teachers motivate them to learn (77% in 2015 School Satisfaction Survey)</w:t>
      </w:r>
    </w:p>
    <w:p w:rsidR="00EC0FB5" w:rsidRDefault="000A10F1">
      <w:pPr>
        <w:pStyle w:val="normal0"/>
        <w:widowControl/>
        <w:numPr>
          <w:ilvl w:val="0"/>
          <w:numId w:val="3"/>
        </w:numPr>
        <w:spacing w:line="276" w:lineRule="auto"/>
        <w:ind w:hanging="360"/>
        <w:contextualSpacing/>
        <w:rPr>
          <w:sz w:val="24"/>
          <w:szCs w:val="24"/>
        </w:rPr>
      </w:pPr>
      <w:r>
        <w:rPr>
          <w:sz w:val="24"/>
          <w:szCs w:val="24"/>
        </w:rPr>
        <w:t>85% or more students agree or strongly agree that they like being at school (78% in 2015 from School Satisfaction Survey)</w:t>
      </w:r>
    </w:p>
    <w:p w:rsidR="00EC0FB5" w:rsidRDefault="000A10F1">
      <w:pPr>
        <w:pStyle w:val="normal0"/>
        <w:widowControl/>
        <w:numPr>
          <w:ilvl w:val="0"/>
          <w:numId w:val="3"/>
        </w:numPr>
        <w:spacing w:line="276" w:lineRule="auto"/>
        <w:ind w:hanging="360"/>
        <w:contextualSpacing/>
      </w:pPr>
      <w:r>
        <w:rPr>
          <w:sz w:val="24"/>
          <w:szCs w:val="24"/>
        </w:rPr>
        <w:t>100% of Professional Learning Teams report against an evidence base (not measurable in 2015)</w:t>
      </w:r>
    </w:p>
    <w:p w:rsidR="00EC0FB5" w:rsidRDefault="000A10F1">
      <w:pPr>
        <w:pStyle w:val="normal0"/>
        <w:widowControl/>
        <w:numPr>
          <w:ilvl w:val="0"/>
          <w:numId w:val="3"/>
        </w:numPr>
        <w:spacing w:line="276" w:lineRule="auto"/>
        <w:ind w:hanging="360"/>
        <w:contextualSpacing/>
        <w:rPr>
          <w:sz w:val="24"/>
          <w:szCs w:val="24"/>
        </w:rPr>
      </w:pPr>
      <w:r>
        <w:rPr>
          <w:sz w:val="24"/>
          <w:szCs w:val="24"/>
        </w:rPr>
        <w:t>Increasing grade point average growth between S1, Year 11 and S2, Year 12 (not currently measured)</w:t>
      </w:r>
    </w:p>
    <w:p w:rsidR="00EC0FB5" w:rsidRDefault="000A10F1">
      <w:pPr>
        <w:pStyle w:val="normal0"/>
        <w:numPr>
          <w:ilvl w:val="0"/>
          <w:numId w:val="3"/>
        </w:numPr>
        <w:ind w:hanging="360"/>
        <w:contextualSpacing/>
        <w:rPr>
          <w:sz w:val="24"/>
          <w:szCs w:val="24"/>
        </w:rPr>
      </w:pPr>
      <w:r>
        <w:rPr>
          <w:sz w:val="24"/>
          <w:szCs w:val="24"/>
        </w:rPr>
        <w:t>Improved success of graduates as measured by:</w:t>
      </w:r>
    </w:p>
    <w:p w:rsidR="00EC0FB5" w:rsidRDefault="000A10F1">
      <w:pPr>
        <w:pStyle w:val="normal0"/>
        <w:numPr>
          <w:ilvl w:val="1"/>
          <w:numId w:val="3"/>
        </w:numPr>
        <w:ind w:hanging="360"/>
        <w:contextualSpacing/>
        <w:rPr>
          <w:sz w:val="24"/>
          <w:szCs w:val="24"/>
        </w:rPr>
      </w:pPr>
      <w:r>
        <w:rPr>
          <w:sz w:val="24"/>
          <w:szCs w:val="24"/>
        </w:rPr>
        <w:t>95% of students receiving an ACT Senior Secondary Certificate (93% in 2015)</w:t>
      </w:r>
    </w:p>
    <w:p w:rsidR="00EC0FB5" w:rsidRDefault="000A10F1">
      <w:pPr>
        <w:pStyle w:val="normal0"/>
        <w:numPr>
          <w:ilvl w:val="1"/>
          <w:numId w:val="3"/>
        </w:numPr>
        <w:ind w:hanging="360"/>
        <w:contextualSpacing/>
        <w:rPr>
          <w:sz w:val="24"/>
          <w:szCs w:val="24"/>
        </w:rPr>
      </w:pPr>
      <w:r>
        <w:rPr>
          <w:sz w:val="24"/>
          <w:szCs w:val="24"/>
        </w:rPr>
        <w:t>30% of students receiving an ACT Senior Secondary Certificate also receive at least one Vocational Certificate (27.5% in 2015)</w:t>
      </w:r>
    </w:p>
    <w:p w:rsidR="00EC0FB5" w:rsidRDefault="00EC0FB5">
      <w:pPr>
        <w:pStyle w:val="normal0"/>
        <w:widowControl/>
        <w:spacing w:line="276" w:lineRule="auto"/>
        <w:ind w:left="720"/>
      </w:pPr>
    </w:p>
    <w:tbl>
      <w:tblPr>
        <w:tblStyle w:val="a3"/>
        <w:tblW w:w="9524"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124"/>
        <w:gridCol w:w="5400"/>
      </w:tblGrid>
      <w:tr w:rsidR="00EC0FB5">
        <w:tc>
          <w:tcPr>
            <w:tcW w:w="4124" w:type="dxa"/>
            <w:shd w:val="clear" w:color="auto" w:fill="B8CCE4"/>
          </w:tcPr>
          <w:p w:rsidR="00EC0FB5" w:rsidRDefault="000A10F1">
            <w:pPr>
              <w:pStyle w:val="normal0"/>
              <w:ind w:left="103"/>
            </w:pPr>
            <w:r>
              <w:rPr>
                <w:b/>
              </w:rPr>
              <w:t>Key Improvement Strategies</w:t>
            </w:r>
          </w:p>
        </w:tc>
        <w:tc>
          <w:tcPr>
            <w:tcW w:w="5400" w:type="dxa"/>
            <w:shd w:val="clear" w:color="auto" w:fill="B8CCE4"/>
          </w:tcPr>
          <w:p w:rsidR="00EC0FB5" w:rsidRDefault="000A10F1">
            <w:pPr>
              <w:pStyle w:val="normal0"/>
              <w:ind w:left="103"/>
            </w:pPr>
            <w:r>
              <w:rPr>
                <w:b/>
              </w:rPr>
              <w:t>Key Performance Indicators</w:t>
            </w:r>
          </w:p>
        </w:tc>
      </w:tr>
      <w:tr w:rsidR="00EC0FB5">
        <w:tc>
          <w:tcPr>
            <w:tcW w:w="4124" w:type="dxa"/>
          </w:tcPr>
          <w:p w:rsidR="00EC0FB5" w:rsidRDefault="00EC0FB5">
            <w:pPr>
              <w:pStyle w:val="normal0"/>
              <w:ind w:left="103"/>
            </w:pPr>
          </w:p>
          <w:p w:rsidR="00EC0FB5" w:rsidRDefault="000A10F1">
            <w:pPr>
              <w:pStyle w:val="normal0"/>
              <w:ind w:left="103"/>
            </w:pPr>
            <w:r>
              <w:t xml:space="preserve">Promote and share great teaching and learning with a focus on innovation, coaching and mentoring of staff </w:t>
            </w:r>
          </w:p>
        </w:tc>
        <w:tc>
          <w:tcPr>
            <w:tcW w:w="5400" w:type="dxa"/>
          </w:tcPr>
          <w:p w:rsidR="00EC0FB5" w:rsidRDefault="00EC0FB5">
            <w:pPr>
              <w:pStyle w:val="normal0"/>
            </w:pPr>
          </w:p>
          <w:p w:rsidR="00EC0FB5" w:rsidRDefault="000A10F1">
            <w:pPr>
              <w:pStyle w:val="normal0"/>
            </w:pPr>
            <w:r>
              <w:t># of Professional Learning Team reports shared via our Professional Learning programs</w:t>
            </w:r>
          </w:p>
          <w:p w:rsidR="00EC0FB5" w:rsidRDefault="00EC0FB5">
            <w:pPr>
              <w:pStyle w:val="normal0"/>
            </w:pPr>
          </w:p>
          <w:p w:rsidR="00EC0FB5" w:rsidRDefault="000A10F1">
            <w:pPr>
              <w:pStyle w:val="normal0"/>
            </w:pPr>
            <w:r>
              <w:t># of teacher reports to the College on external Professional Learning</w:t>
            </w:r>
          </w:p>
          <w:p w:rsidR="00EC0FB5" w:rsidRDefault="00EC0FB5">
            <w:pPr>
              <w:pStyle w:val="normal0"/>
            </w:pPr>
          </w:p>
          <w:p w:rsidR="00EC0FB5" w:rsidRDefault="000A10F1">
            <w:pPr>
              <w:pStyle w:val="normal0"/>
            </w:pPr>
            <w:r>
              <w:t>Frequency of items identified as exemplary as a result of the peer review moderation process</w:t>
            </w:r>
          </w:p>
          <w:p w:rsidR="00EC0FB5" w:rsidRDefault="00EC0FB5">
            <w:pPr>
              <w:pStyle w:val="normal0"/>
              <w:ind w:left="103"/>
            </w:pPr>
          </w:p>
        </w:tc>
      </w:tr>
      <w:tr w:rsidR="00EC0FB5">
        <w:tc>
          <w:tcPr>
            <w:tcW w:w="4124" w:type="dxa"/>
          </w:tcPr>
          <w:p w:rsidR="00EC0FB5" w:rsidRDefault="00EC0FB5">
            <w:pPr>
              <w:pStyle w:val="normal0"/>
              <w:ind w:left="103"/>
            </w:pPr>
          </w:p>
          <w:p w:rsidR="00EC0FB5" w:rsidRDefault="000A10F1">
            <w:pPr>
              <w:pStyle w:val="normal0"/>
              <w:ind w:left="103"/>
            </w:pPr>
            <w:r>
              <w:t>Develop and embed a culture of pedagogical reflection and improvement based on evidence (inclusive of system data, BSSS data, school developed tools and regular student feedback)</w:t>
            </w:r>
          </w:p>
        </w:tc>
        <w:tc>
          <w:tcPr>
            <w:tcW w:w="5400" w:type="dxa"/>
          </w:tcPr>
          <w:p w:rsidR="00EC0FB5" w:rsidRDefault="00EC0FB5">
            <w:pPr>
              <w:pStyle w:val="normal0"/>
              <w:ind w:left="103"/>
            </w:pPr>
          </w:p>
          <w:p w:rsidR="00EC0FB5" w:rsidRDefault="000A10F1">
            <w:pPr>
              <w:pStyle w:val="normal0"/>
              <w:ind w:left="103"/>
            </w:pPr>
            <w:r>
              <w:t>% of Professional Learning Team plan priorities linked to student performance data</w:t>
            </w:r>
          </w:p>
          <w:p w:rsidR="00EC0FB5" w:rsidRDefault="00EC0FB5">
            <w:pPr>
              <w:pStyle w:val="normal0"/>
            </w:pPr>
          </w:p>
          <w:p w:rsidR="00EC0FB5" w:rsidRDefault="000A10F1">
            <w:pPr>
              <w:pStyle w:val="normal0"/>
              <w:ind w:left="103"/>
            </w:pPr>
            <w:r>
              <w:t>% of staff who agree teachers use system data and system processes to inform teaching</w:t>
            </w:r>
          </w:p>
          <w:p w:rsidR="00EC0FB5" w:rsidRDefault="00EC0FB5">
            <w:pPr>
              <w:pStyle w:val="normal0"/>
              <w:ind w:left="103"/>
            </w:pPr>
          </w:p>
          <w:p w:rsidR="00EC0FB5" w:rsidRDefault="000A10F1">
            <w:pPr>
              <w:pStyle w:val="normal0"/>
              <w:ind w:left="103"/>
            </w:pPr>
            <w:r>
              <w:t>% of classes who complete end of unit student evaluations</w:t>
            </w:r>
          </w:p>
          <w:p w:rsidR="00EC0FB5" w:rsidRDefault="00EC0FB5">
            <w:pPr>
              <w:pStyle w:val="normal0"/>
            </w:pPr>
          </w:p>
        </w:tc>
      </w:tr>
    </w:tbl>
    <w:p w:rsidR="00EC0FB5" w:rsidRDefault="00EC0FB5">
      <w:pPr>
        <w:pStyle w:val="normal0"/>
        <w:spacing w:before="240"/>
      </w:pPr>
    </w:p>
    <w:p w:rsidR="00EC0FB5" w:rsidRDefault="000A10F1">
      <w:pPr>
        <w:pStyle w:val="normal0"/>
        <w:spacing w:before="240"/>
      </w:pPr>
      <w:r>
        <w:rPr>
          <w:b/>
          <w:sz w:val="24"/>
          <w:szCs w:val="24"/>
        </w:rPr>
        <w:lastRenderedPageBreak/>
        <w:t>Strategic Priority 2:</w:t>
      </w:r>
      <w:r>
        <w:rPr>
          <w:color w:val="0000FF"/>
          <w:sz w:val="24"/>
          <w:szCs w:val="24"/>
        </w:rPr>
        <w:t xml:space="preserve"> Successful transitions</w:t>
      </w:r>
    </w:p>
    <w:p w:rsidR="00EC0FB5" w:rsidRDefault="00EC0FB5">
      <w:pPr>
        <w:pStyle w:val="normal0"/>
      </w:pPr>
    </w:p>
    <w:p w:rsidR="00EC0FB5" w:rsidRDefault="000A10F1">
      <w:pPr>
        <w:pStyle w:val="normal0"/>
      </w:pPr>
      <w:r>
        <w:rPr>
          <w:b/>
          <w:sz w:val="24"/>
          <w:szCs w:val="24"/>
        </w:rPr>
        <w:t>Outcomes to be achieved:</w:t>
      </w:r>
    </w:p>
    <w:p w:rsidR="00EC0FB5" w:rsidRDefault="000A10F1">
      <w:pPr>
        <w:pStyle w:val="normal0"/>
        <w:numPr>
          <w:ilvl w:val="0"/>
          <w:numId w:val="1"/>
        </w:numPr>
        <w:ind w:hanging="360"/>
      </w:pPr>
      <w:r>
        <w:rPr>
          <w:sz w:val="24"/>
          <w:szCs w:val="24"/>
        </w:rPr>
        <w:t>senior secondary education is a preferred post-year 10 pathway for young people</w:t>
      </w:r>
    </w:p>
    <w:p w:rsidR="00EC0FB5" w:rsidRDefault="000A10F1">
      <w:pPr>
        <w:pStyle w:val="normal0"/>
        <w:numPr>
          <w:ilvl w:val="0"/>
          <w:numId w:val="1"/>
        </w:numPr>
        <w:ind w:hanging="360"/>
      </w:pPr>
      <w:r>
        <w:rPr>
          <w:sz w:val="24"/>
          <w:szCs w:val="24"/>
        </w:rPr>
        <w:t>settled College commencement for students</w:t>
      </w:r>
    </w:p>
    <w:p w:rsidR="00EC0FB5" w:rsidRDefault="000A10F1">
      <w:pPr>
        <w:pStyle w:val="normal0"/>
        <w:numPr>
          <w:ilvl w:val="0"/>
          <w:numId w:val="1"/>
        </w:numPr>
        <w:ind w:hanging="360"/>
      </w:pPr>
      <w:r>
        <w:rPr>
          <w:sz w:val="24"/>
          <w:szCs w:val="24"/>
        </w:rPr>
        <w:t>flexible and employable graduates</w:t>
      </w:r>
    </w:p>
    <w:p w:rsidR="00EC0FB5" w:rsidRDefault="000A10F1">
      <w:pPr>
        <w:pStyle w:val="normal0"/>
        <w:numPr>
          <w:ilvl w:val="0"/>
          <w:numId w:val="1"/>
        </w:numPr>
        <w:ind w:hanging="360"/>
      </w:pPr>
      <w:r>
        <w:rPr>
          <w:sz w:val="24"/>
          <w:szCs w:val="24"/>
        </w:rPr>
        <w:t>foundations for lifelong learning established in graduates</w:t>
      </w:r>
    </w:p>
    <w:p w:rsidR="00EC0FB5" w:rsidRDefault="00EC0FB5">
      <w:pPr>
        <w:pStyle w:val="normal0"/>
      </w:pPr>
    </w:p>
    <w:p w:rsidR="00EC0FB5" w:rsidRDefault="000A10F1">
      <w:pPr>
        <w:pStyle w:val="normal0"/>
      </w:pPr>
      <w:r>
        <w:rPr>
          <w:b/>
          <w:sz w:val="24"/>
          <w:szCs w:val="24"/>
        </w:rPr>
        <w:t>Targets</w:t>
      </w:r>
    </w:p>
    <w:p w:rsidR="00EC0FB5" w:rsidRDefault="000A10F1">
      <w:pPr>
        <w:pStyle w:val="normal0"/>
      </w:pPr>
      <w:r>
        <w:rPr>
          <w:sz w:val="24"/>
          <w:szCs w:val="24"/>
        </w:rPr>
        <w:t>By the end of 2020 the College will achieve:</w:t>
      </w:r>
    </w:p>
    <w:p w:rsidR="00EC0FB5" w:rsidRDefault="000A10F1">
      <w:pPr>
        <w:pStyle w:val="normal0"/>
        <w:numPr>
          <w:ilvl w:val="0"/>
          <w:numId w:val="2"/>
        </w:numPr>
        <w:ind w:hanging="360"/>
        <w:rPr>
          <w:sz w:val="24"/>
          <w:szCs w:val="24"/>
        </w:rPr>
      </w:pPr>
      <w:r>
        <w:rPr>
          <w:sz w:val="24"/>
          <w:szCs w:val="24"/>
        </w:rPr>
        <w:t>15% or fewer students who have one or more V grades as a proportion of the total cohort in S1 (23% in 2015)</w:t>
      </w:r>
    </w:p>
    <w:p w:rsidR="00EC0FB5" w:rsidRDefault="000A10F1">
      <w:pPr>
        <w:pStyle w:val="normal0"/>
        <w:numPr>
          <w:ilvl w:val="0"/>
          <w:numId w:val="2"/>
        </w:numPr>
        <w:ind w:hanging="360"/>
        <w:rPr>
          <w:sz w:val="24"/>
          <w:szCs w:val="24"/>
        </w:rPr>
      </w:pPr>
      <w:r>
        <w:rPr>
          <w:sz w:val="24"/>
          <w:szCs w:val="24"/>
        </w:rPr>
        <w:t>Improved success of graduates as measured by:</w:t>
      </w:r>
    </w:p>
    <w:p w:rsidR="00EC0FB5" w:rsidRDefault="000A10F1">
      <w:pPr>
        <w:pStyle w:val="normal0"/>
        <w:numPr>
          <w:ilvl w:val="1"/>
          <w:numId w:val="2"/>
        </w:numPr>
        <w:ind w:hanging="360"/>
        <w:rPr>
          <w:sz w:val="24"/>
          <w:szCs w:val="24"/>
        </w:rPr>
      </w:pPr>
      <w:r>
        <w:rPr>
          <w:sz w:val="24"/>
          <w:szCs w:val="24"/>
        </w:rPr>
        <w:t>95% of students receiving an ACT Senior Secondary Certificate (93% in 2015)</w:t>
      </w:r>
    </w:p>
    <w:p w:rsidR="00EC0FB5" w:rsidRDefault="000A10F1">
      <w:pPr>
        <w:pStyle w:val="normal0"/>
        <w:numPr>
          <w:ilvl w:val="1"/>
          <w:numId w:val="2"/>
        </w:numPr>
        <w:ind w:hanging="360"/>
        <w:rPr>
          <w:sz w:val="24"/>
          <w:szCs w:val="24"/>
        </w:rPr>
      </w:pPr>
      <w:r>
        <w:rPr>
          <w:sz w:val="24"/>
          <w:szCs w:val="24"/>
        </w:rPr>
        <w:t>30% of students receiving an ACT Senior Secondary Certificate also receive at least one Vocational Certificate (27.5% in 2015)</w:t>
      </w:r>
    </w:p>
    <w:p w:rsidR="00EC0FB5" w:rsidRDefault="000A10F1">
      <w:pPr>
        <w:pStyle w:val="normal0"/>
        <w:numPr>
          <w:ilvl w:val="0"/>
          <w:numId w:val="2"/>
        </w:numPr>
        <w:ind w:hanging="360"/>
        <w:rPr>
          <w:sz w:val="24"/>
          <w:szCs w:val="24"/>
        </w:rPr>
      </w:pPr>
      <w:r>
        <w:rPr>
          <w:sz w:val="24"/>
          <w:szCs w:val="24"/>
        </w:rPr>
        <w:t>5% increase (on 2016 baseline) of students reporting plans to go on to further study or employment in the Gungahlin College Yr 12 exit survey (not measured in 2015)</w:t>
      </w:r>
    </w:p>
    <w:p w:rsidR="00EC0FB5" w:rsidRDefault="00EC0FB5">
      <w:pPr>
        <w:pStyle w:val="normal0"/>
        <w:widowControl/>
        <w:ind w:left="720"/>
      </w:pPr>
    </w:p>
    <w:tbl>
      <w:tblPr>
        <w:tblStyle w:val="a4"/>
        <w:tblW w:w="9524"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124"/>
        <w:gridCol w:w="5400"/>
      </w:tblGrid>
      <w:tr w:rsidR="00EC0FB5">
        <w:tc>
          <w:tcPr>
            <w:tcW w:w="4124" w:type="dxa"/>
            <w:shd w:val="clear" w:color="auto" w:fill="B8CCE4"/>
          </w:tcPr>
          <w:p w:rsidR="00EC0FB5" w:rsidRDefault="000A10F1">
            <w:pPr>
              <w:pStyle w:val="normal0"/>
              <w:ind w:left="103"/>
            </w:pPr>
            <w:r>
              <w:rPr>
                <w:b/>
              </w:rPr>
              <w:t>Key Improvement Strategies</w:t>
            </w:r>
          </w:p>
        </w:tc>
        <w:tc>
          <w:tcPr>
            <w:tcW w:w="5400" w:type="dxa"/>
            <w:shd w:val="clear" w:color="auto" w:fill="B8CCE4"/>
          </w:tcPr>
          <w:p w:rsidR="00EC0FB5" w:rsidRDefault="000A10F1">
            <w:pPr>
              <w:pStyle w:val="normal0"/>
              <w:ind w:left="103"/>
            </w:pPr>
            <w:r>
              <w:rPr>
                <w:b/>
              </w:rPr>
              <w:t>Key Performance Indicators</w:t>
            </w:r>
          </w:p>
        </w:tc>
      </w:tr>
      <w:tr w:rsidR="00EC0FB5">
        <w:tc>
          <w:tcPr>
            <w:tcW w:w="4124" w:type="dxa"/>
          </w:tcPr>
          <w:p w:rsidR="00EC0FB5" w:rsidRDefault="00EC0FB5">
            <w:pPr>
              <w:pStyle w:val="normal0"/>
              <w:ind w:left="103"/>
            </w:pPr>
          </w:p>
          <w:p w:rsidR="00EC0FB5" w:rsidRDefault="000A10F1">
            <w:pPr>
              <w:pStyle w:val="normal0"/>
              <w:ind w:left="103"/>
            </w:pPr>
            <w:r>
              <w:t>Continuous evaluation and improvement of existing processes and programs to assist with transitions to and from college with specific additional attention to Aboriginal and Torres Strait Islander (ATSI) students</w:t>
            </w:r>
          </w:p>
        </w:tc>
        <w:tc>
          <w:tcPr>
            <w:tcW w:w="5400" w:type="dxa"/>
          </w:tcPr>
          <w:p w:rsidR="00EC0FB5" w:rsidRDefault="00EC0FB5">
            <w:pPr>
              <w:pStyle w:val="normal0"/>
            </w:pPr>
          </w:p>
          <w:p w:rsidR="00EC0FB5" w:rsidRDefault="000A10F1">
            <w:pPr>
              <w:pStyle w:val="normal0"/>
              <w:ind w:left="103"/>
            </w:pPr>
            <w:r>
              <w:t>% of enrolments in each Yr 9 NAPLAN Band (Reading and Numeracy) who go on to complete a Tertiary Entrance Statement</w:t>
            </w:r>
          </w:p>
          <w:p w:rsidR="00EC0FB5" w:rsidRDefault="00EC0FB5">
            <w:pPr>
              <w:pStyle w:val="normal0"/>
              <w:ind w:left="103"/>
            </w:pPr>
          </w:p>
          <w:p w:rsidR="00EC0FB5" w:rsidRDefault="000A10F1">
            <w:pPr>
              <w:pStyle w:val="normal0"/>
              <w:ind w:left="103"/>
            </w:pPr>
            <w:r>
              <w:t>% of enrolments in each Yr 9 NAPLAN Band (Reading and Numeracy) who go on to complete a Senior Secondary Certificate</w:t>
            </w:r>
          </w:p>
          <w:p w:rsidR="00EC0FB5" w:rsidRDefault="00EC0FB5">
            <w:pPr>
              <w:pStyle w:val="normal0"/>
              <w:ind w:left="103"/>
            </w:pPr>
          </w:p>
          <w:p w:rsidR="00EC0FB5" w:rsidRDefault="000A10F1">
            <w:pPr>
              <w:pStyle w:val="normal0"/>
              <w:ind w:left="103"/>
            </w:pPr>
            <w:r>
              <w:t>% of enrolments in each Yr 9 NAPLAN Band (Reading and Numeracy) who go on to complete a  Cert II or above</w:t>
            </w:r>
          </w:p>
          <w:p w:rsidR="00EC0FB5" w:rsidRDefault="00EC0FB5">
            <w:pPr>
              <w:pStyle w:val="normal0"/>
              <w:ind w:left="103"/>
            </w:pPr>
          </w:p>
          <w:p w:rsidR="00EC0FB5" w:rsidRDefault="000A10F1">
            <w:pPr>
              <w:pStyle w:val="normal0"/>
              <w:ind w:left="103"/>
            </w:pPr>
            <w:r>
              <w:t>% of ATSI enrolments who go on to complete a Senior Secondary Certificate</w:t>
            </w:r>
          </w:p>
          <w:p w:rsidR="00EC0FB5" w:rsidRDefault="00EC0FB5">
            <w:pPr>
              <w:pStyle w:val="normal0"/>
            </w:pPr>
          </w:p>
        </w:tc>
      </w:tr>
      <w:tr w:rsidR="00EC0FB5">
        <w:tc>
          <w:tcPr>
            <w:tcW w:w="4124" w:type="dxa"/>
          </w:tcPr>
          <w:p w:rsidR="00EC0FB5" w:rsidRDefault="00EC0FB5">
            <w:pPr>
              <w:pStyle w:val="normal0"/>
              <w:ind w:left="103"/>
            </w:pPr>
          </w:p>
          <w:p w:rsidR="00EC0FB5" w:rsidRDefault="000A10F1">
            <w:pPr>
              <w:pStyle w:val="normal0"/>
              <w:ind w:left="103"/>
            </w:pPr>
            <w:r>
              <w:t>Expand knowledge and understanding of Gungahlin College culture through strengthened partnerships</w:t>
            </w:r>
          </w:p>
        </w:tc>
        <w:tc>
          <w:tcPr>
            <w:tcW w:w="5400" w:type="dxa"/>
          </w:tcPr>
          <w:p w:rsidR="00EC0FB5" w:rsidRDefault="00EC0FB5">
            <w:pPr>
              <w:pStyle w:val="normal0"/>
              <w:ind w:left="103"/>
            </w:pPr>
          </w:p>
          <w:p w:rsidR="00EC0FB5" w:rsidRDefault="000A10F1">
            <w:pPr>
              <w:pStyle w:val="normal0"/>
              <w:ind w:left="103"/>
            </w:pPr>
            <w:r>
              <w:t># of cluster school joint events/activities conducted each year and reported on</w:t>
            </w:r>
          </w:p>
          <w:p w:rsidR="00EC0FB5" w:rsidRDefault="00EC0FB5">
            <w:pPr>
              <w:pStyle w:val="normal0"/>
              <w:ind w:left="103"/>
            </w:pPr>
          </w:p>
          <w:p w:rsidR="00EC0FB5" w:rsidRDefault="000A10F1">
            <w:pPr>
              <w:pStyle w:val="normal0"/>
              <w:ind w:left="103"/>
            </w:pPr>
            <w:r>
              <w:t># of assessment items moderated across cluster high schools involving our Year 10’s</w:t>
            </w:r>
          </w:p>
          <w:p w:rsidR="00EC0FB5" w:rsidRDefault="00EC0FB5">
            <w:pPr>
              <w:pStyle w:val="normal0"/>
              <w:ind w:left="103"/>
            </w:pPr>
          </w:p>
          <w:p w:rsidR="00EC0FB5" w:rsidRDefault="000A10F1">
            <w:pPr>
              <w:pStyle w:val="normal0"/>
              <w:ind w:left="103"/>
            </w:pPr>
            <w:r>
              <w:t># of documented external partnerships</w:t>
            </w:r>
          </w:p>
          <w:p w:rsidR="00EC0FB5" w:rsidRDefault="00EC0FB5">
            <w:pPr>
              <w:pStyle w:val="normal0"/>
            </w:pPr>
          </w:p>
        </w:tc>
      </w:tr>
    </w:tbl>
    <w:p w:rsidR="00EC0FB5" w:rsidRDefault="000A10F1">
      <w:pPr>
        <w:pStyle w:val="normal0"/>
      </w:pPr>
      <w:r>
        <w:br w:type="page"/>
      </w:r>
    </w:p>
    <w:p w:rsidR="00EC0FB5" w:rsidRDefault="00EC0FB5">
      <w:pPr>
        <w:pStyle w:val="normal0"/>
        <w:spacing w:before="240"/>
      </w:pPr>
    </w:p>
    <w:p w:rsidR="00EC0FB5" w:rsidRDefault="000A10F1">
      <w:pPr>
        <w:pStyle w:val="normal0"/>
        <w:spacing w:before="240"/>
      </w:pPr>
      <w:r>
        <w:rPr>
          <w:b/>
          <w:sz w:val="24"/>
          <w:szCs w:val="24"/>
        </w:rPr>
        <w:t>Strategic Priority 3:</w:t>
      </w:r>
      <w:r>
        <w:rPr>
          <w:color w:val="0000FF"/>
          <w:sz w:val="24"/>
          <w:szCs w:val="24"/>
        </w:rPr>
        <w:t xml:space="preserve"> Vibrant community</w:t>
      </w:r>
    </w:p>
    <w:p w:rsidR="00EC0FB5" w:rsidRDefault="000A10F1">
      <w:pPr>
        <w:pStyle w:val="normal0"/>
      </w:pPr>
      <w:r>
        <w:rPr>
          <w:b/>
          <w:sz w:val="24"/>
          <w:szCs w:val="24"/>
        </w:rPr>
        <w:t>Outcomes to be achieved:</w:t>
      </w:r>
    </w:p>
    <w:p w:rsidR="00EC0FB5" w:rsidRDefault="000A10F1">
      <w:pPr>
        <w:pStyle w:val="normal0"/>
        <w:widowControl/>
        <w:numPr>
          <w:ilvl w:val="0"/>
          <w:numId w:val="3"/>
        </w:numPr>
        <w:spacing w:line="276" w:lineRule="auto"/>
        <w:ind w:hanging="360"/>
        <w:contextualSpacing/>
        <w:rPr>
          <w:sz w:val="24"/>
          <w:szCs w:val="24"/>
        </w:rPr>
      </w:pPr>
      <w:r>
        <w:rPr>
          <w:sz w:val="24"/>
          <w:szCs w:val="24"/>
        </w:rPr>
        <w:t>the College continues to be seen by our community as a place where diversity is welcomed and inclusivity is celebrated</w:t>
      </w:r>
    </w:p>
    <w:p w:rsidR="00EC0FB5" w:rsidRDefault="000A10F1">
      <w:pPr>
        <w:pStyle w:val="normal0"/>
        <w:widowControl/>
        <w:numPr>
          <w:ilvl w:val="0"/>
          <w:numId w:val="3"/>
        </w:numPr>
        <w:spacing w:line="276" w:lineRule="auto"/>
        <w:ind w:hanging="360"/>
        <w:contextualSpacing/>
        <w:rPr>
          <w:sz w:val="24"/>
          <w:szCs w:val="24"/>
        </w:rPr>
      </w:pPr>
      <w:r>
        <w:rPr>
          <w:sz w:val="24"/>
          <w:szCs w:val="24"/>
        </w:rPr>
        <w:t>an enhanced sense of wellbeing and connectedness across the College community incorporating a heightened sense of reward for effort amongst staff</w:t>
      </w:r>
    </w:p>
    <w:p w:rsidR="00EC0FB5" w:rsidRDefault="000A10F1">
      <w:pPr>
        <w:pStyle w:val="normal0"/>
        <w:widowControl/>
        <w:numPr>
          <w:ilvl w:val="0"/>
          <w:numId w:val="3"/>
        </w:numPr>
        <w:spacing w:line="276" w:lineRule="auto"/>
        <w:ind w:hanging="360"/>
        <w:contextualSpacing/>
        <w:rPr>
          <w:sz w:val="24"/>
          <w:szCs w:val="24"/>
        </w:rPr>
      </w:pPr>
      <w:r>
        <w:rPr>
          <w:sz w:val="24"/>
          <w:szCs w:val="24"/>
        </w:rPr>
        <w:t>increased participation of all school community members in the everyday work and special events of the College</w:t>
      </w:r>
    </w:p>
    <w:p w:rsidR="00EC0FB5" w:rsidRDefault="000A10F1">
      <w:pPr>
        <w:pStyle w:val="normal0"/>
        <w:widowControl/>
        <w:numPr>
          <w:ilvl w:val="0"/>
          <w:numId w:val="3"/>
        </w:numPr>
        <w:spacing w:line="276" w:lineRule="auto"/>
        <w:ind w:hanging="360"/>
        <w:contextualSpacing/>
        <w:rPr>
          <w:sz w:val="24"/>
          <w:szCs w:val="24"/>
        </w:rPr>
      </w:pPr>
      <w:r>
        <w:rPr>
          <w:sz w:val="24"/>
          <w:szCs w:val="24"/>
        </w:rPr>
        <w:t>a strong House system incorporating the Gungahlin College ‘Connect’ pastoral care program</w:t>
      </w:r>
    </w:p>
    <w:p w:rsidR="00EC0FB5" w:rsidRDefault="00EC0FB5">
      <w:pPr>
        <w:pStyle w:val="normal0"/>
      </w:pPr>
    </w:p>
    <w:p w:rsidR="00EC0FB5" w:rsidRDefault="000A10F1">
      <w:pPr>
        <w:pStyle w:val="normal0"/>
      </w:pPr>
      <w:r>
        <w:rPr>
          <w:b/>
          <w:sz w:val="24"/>
          <w:szCs w:val="24"/>
        </w:rPr>
        <w:t>Targets</w:t>
      </w:r>
    </w:p>
    <w:p w:rsidR="00EC0FB5" w:rsidRDefault="000A10F1">
      <w:pPr>
        <w:pStyle w:val="normal0"/>
      </w:pPr>
      <w:r>
        <w:rPr>
          <w:sz w:val="24"/>
          <w:szCs w:val="24"/>
        </w:rPr>
        <w:t>By the end of 2020 the College will achieve:</w:t>
      </w:r>
    </w:p>
    <w:p w:rsidR="00EC0FB5" w:rsidRDefault="000A10F1">
      <w:pPr>
        <w:pStyle w:val="normal0"/>
        <w:widowControl/>
        <w:numPr>
          <w:ilvl w:val="0"/>
          <w:numId w:val="3"/>
        </w:numPr>
        <w:spacing w:line="276" w:lineRule="auto"/>
        <w:ind w:hanging="360"/>
        <w:contextualSpacing/>
        <w:rPr>
          <w:sz w:val="24"/>
          <w:szCs w:val="24"/>
        </w:rPr>
      </w:pPr>
      <w:r>
        <w:rPr>
          <w:sz w:val="24"/>
          <w:szCs w:val="24"/>
        </w:rPr>
        <w:t>85% or more students agree or strongly agree that they like being at school (78% in 2015 from School Satisfaction Survey)</w:t>
      </w:r>
    </w:p>
    <w:p w:rsidR="00EC0FB5" w:rsidRDefault="000A10F1">
      <w:pPr>
        <w:pStyle w:val="normal0"/>
        <w:widowControl/>
        <w:numPr>
          <w:ilvl w:val="0"/>
          <w:numId w:val="3"/>
        </w:numPr>
        <w:spacing w:after="200" w:line="276" w:lineRule="auto"/>
        <w:ind w:hanging="360"/>
        <w:contextualSpacing/>
        <w:rPr>
          <w:sz w:val="24"/>
          <w:szCs w:val="24"/>
        </w:rPr>
      </w:pPr>
      <w:r>
        <w:rPr>
          <w:sz w:val="24"/>
          <w:szCs w:val="24"/>
        </w:rPr>
        <w:t>80% of parents agree or strongly agree that community partnerships are valued and maintained. (72% in 2015 from School Satisfaction Survey)</w:t>
      </w:r>
    </w:p>
    <w:p w:rsidR="00EC0FB5" w:rsidRDefault="000A10F1">
      <w:pPr>
        <w:pStyle w:val="normal0"/>
        <w:widowControl/>
        <w:numPr>
          <w:ilvl w:val="0"/>
          <w:numId w:val="3"/>
        </w:numPr>
        <w:spacing w:after="200" w:line="276" w:lineRule="auto"/>
        <w:ind w:hanging="360"/>
        <w:contextualSpacing/>
        <w:rPr>
          <w:sz w:val="24"/>
          <w:szCs w:val="24"/>
        </w:rPr>
      </w:pPr>
      <w:r>
        <w:rPr>
          <w:sz w:val="24"/>
          <w:szCs w:val="24"/>
        </w:rPr>
        <w:t xml:space="preserve">95% of staff agree or strongly agree that </w:t>
      </w:r>
      <w:proofErr w:type="gramStart"/>
      <w:r>
        <w:rPr>
          <w:sz w:val="24"/>
          <w:szCs w:val="24"/>
        </w:rPr>
        <w:t>staff are</w:t>
      </w:r>
      <w:proofErr w:type="gramEnd"/>
      <w:r>
        <w:rPr>
          <w:sz w:val="24"/>
          <w:szCs w:val="24"/>
        </w:rPr>
        <w:t xml:space="preserve"> well supported at the school. (82% in 2015 from School Satisfaction Survey)</w:t>
      </w:r>
    </w:p>
    <w:p w:rsidR="00EC0FB5" w:rsidRDefault="000A10F1">
      <w:pPr>
        <w:pStyle w:val="normal0"/>
        <w:widowControl/>
        <w:numPr>
          <w:ilvl w:val="0"/>
          <w:numId w:val="3"/>
        </w:numPr>
        <w:spacing w:after="200" w:line="276" w:lineRule="auto"/>
        <w:ind w:hanging="360"/>
        <w:contextualSpacing/>
        <w:rPr>
          <w:sz w:val="24"/>
          <w:szCs w:val="24"/>
        </w:rPr>
      </w:pPr>
      <w:r>
        <w:rPr>
          <w:sz w:val="24"/>
          <w:szCs w:val="24"/>
        </w:rPr>
        <w:t>35% of parents participate in the annual School Satisfaction Survey (17% in 2015)</w:t>
      </w:r>
    </w:p>
    <w:p w:rsidR="00EC0FB5" w:rsidRDefault="000A10F1">
      <w:pPr>
        <w:pStyle w:val="normal0"/>
        <w:widowControl/>
        <w:numPr>
          <w:ilvl w:val="0"/>
          <w:numId w:val="3"/>
        </w:numPr>
        <w:spacing w:after="200" w:line="276" w:lineRule="auto"/>
        <w:ind w:hanging="360"/>
        <w:contextualSpacing/>
        <w:rPr>
          <w:sz w:val="24"/>
          <w:szCs w:val="24"/>
        </w:rPr>
      </w:pPr>
      <w:r>
        <w:rPr>
          <w:sz w:val="24"/>
          <w:szCs w:val="24"/>
        </w:rPr>
        <w:t>50% of students participate in the annual School Satisfaction Survey (30% in 2015)</w:t>
      </w:r>
    </w:p>
    <w:p w:rsidR="00EC0FB5" w:rsidRDefault="000A10F1">
      <w:pPr>
        <w:pStyle w:val="normal0"/>
        <w:widowControl/>
        <w:numPr>
          <w:ilvl w:val="0"/>
          <w:numId w:val="3"/>
        </w:numPr>
        <w:spacing w:after="200" w:line="276" w:lineRule="auto"/>
        <w:ind w:hanging="360"/>
        <w:contextualSpacing/>
        <w:rPr>
          <w:sz w:val="24"/>
          <w:szCs w:val="24"/>
        </w:rPr>
      </w:pPr>
      <w:r>
        <w:rPr>
          <w:sz w:val="24"/>
          <w:szCs w:val="24"/>
        </w:rPr>
        <w:t>100% of staff complete at least one ‘Mind Matters’ module annually</w:t>
      </w:r>
    </w:p>
    <w:tbl>
      <w:tblPr>
        <w:tblStyle w:val="a5"/>
        <w:tblW w:w="9524"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127"/>
        <w:gridCol w:w="5397"/>
      </w:tblGrid>
      <w:tr w:rsidR="00EC0FB5">
        <w:tc>
          <w:tcPr>
            <w:tcW w:w="4127" w:type="dxa"/>
            <w:shd w:val="clear" w:color="auto" w:fill="B8CCE4"/>
          </w:tcPr>
          <w:p w:rsidR="00EC0FB5" w:rsidRDefault="000A10F1">
            <w:pPr>
              <w:pStyle w:val="normal0"/>
              <w:ind w:left="103"/>
            </w:pPr>
            <w:r>
              <w:rPr>
                <w:b/>
              </w:rPr>
              <w:t>Key Improvement Strategies</w:t>
            </w:r>
          </w:p>
        </w:tc>
        <w:tc>
          <w:tcPr>
            <w:tcW w:w="5397" w:type="dxa"/>
            <w:shd w:val="clear" w:color="auto" w:fill="B8CCE4"/>
          </w:tcPr>
          <w:p w:rsidR="00EC0FB5" w:rsidRDefault="000A10F1">
            <w:pPr>
              <w:pStyle w:val="normal0"/>
              <w:ind w:left="103"/>
            </w:pPr>
            <w:r>
              <w:rPr>
                <w:b/>
              </w:rPr>
              <w:t>Key Performance Indicators</w:t>
            </w:r>
          </w:p>
        </w:tc>
      </w:tr>
      <w:tr w:rsidR="00EC0FB5">
        <w:tc>
          <w:tcPr>
            <w:tcW w:w="4127" w:type="dxa"/>
          </w:tcPr>
          <w:p w:rsidR="00EC0FB5" w:rsidRDefault="00EC0FB5">
            <w:pPr>
              <w:pStyle w:val="normal0"/>
              <w:ind w:left="103"/>
            </w:pPr>
          </w:p>
          <w:p w:rsidR="00EC0FB5" w:rsidRDefault="000A10F1">
            <w:pPr>
              <w:pStyle w:val="normal0"/>
              <w:ind w:left="103"/>
            </w:pPr>
            <w:r>
              <w:t>Explore and implement new ways to engage the community in the work of the College.</w:t>
            </w:r>
          </w:p>
        </w:tc>
        <w:tc>
          <w:tcPr>
            <w:tcW w:w="5397" w:type="dxa"/>
          </w:tcPr>
          <w:p w:rsidR="00EC0FB5" w:rsidRDefault="00EC0FB5">
            <w:pPr>
              <w:pStyle w:val="normal0"/>
              <w:ind w:left="103"/>
            </w:pPr>
          </w:p>
          <w:p w:rsidR="00EC0FB5" w:rsidRDefault="000A10F1">
            <w:pPr>
              <w:pStyle w:val="normal0"/>
              <w:ind w:left="103"/>
            </w:pPr>
            <w:r>
              <w:t xml:space="preserve">Parent attendance at relevant events </w:t>
            </w:r>
            <w:proofErr w:type="spellStart"/>
            <w:r>
              <w:t>eg</w:t>
            </w:r>
            <w:proofErr w:type="spellEnd"/>
            <w:r>
              <w:t xml:space="preserve"> parents/teacher night, parent forums</w:t>
            </w:r>
          </w:p>
          <w:p w:rsidR="00EC0FB5" w:rsidRDefault="00EC0FB5">
            <w:pPr>
              <w:pStyle w:val="normal0"/>
              <w:ind w:left="103"/>
            </w:pPr>
          </w:p>
          <w:p w:rsidR="00EC0FB5" w:rsidRDefault="000A10F1">
            <w:pPr>
              <w:pStyle w:val="normal0"/>
              <w:ind w:left="103"/>
            </w:pPr>
            <w:r>
              <w:t>Audience engagement with social and online media as measured through data analytics tools</w:t>
            </w:r>
          </w:p>
          <w:p w:rsidR="00EC0FB5" w:rsidRDefault="00EC0FB5">
            <w:pPr>
              <w:pStyle w:val="normal0"/>
              <w:ind w:left="103"/>
            </w:pPr>
          </w:p>
          <w:p w:rsidR="00EC0FB5" w:rsidRDefault="000A10F1">
            <w:pPr>
              <w:pStyle w:val="normal0"/>
              <w:ind w:left="103"/>
            </w:pPr>
            <w:r>
              <w:t># of engagement activities reported involving external partnerships</w:t>
            </w:r>
          </w:p>
          <w:p w:rsidR="00EC0FB5" w:rsidRDefault="00EC0FB5">
            <w:pPr>
              <w:pStyle w:val="normal0"/>
            </w:pPr>
          </w:p>
        </w:tc>
      </w:tr>
      <w:tr w:rsidR="00EC0FB5">
        <w:tc>
          <w:tcPr>
            <w:tcW w:w="4127" w:type="dxa"/>
          </w:tcPr>
          <w:p w:rsidR="00EC0FB5" w:rsidRDefault="00EC0FB5">
            <w:pPr>
              <w:pStyle w:val="normal0"/>
              <w:ind w:left="103"/>
            </w:pPr>
          </w:p>
          <w:p w:rsidR="00EC0FB5" w:rsidRDefault="000A10F1">
            <w:pPr>
              <w:pStyle w:val="normal0"/>
              <w:ind w:left="103"/>
            </w:pPr>
            <w:r>
              <w:t>Continue to experiment with and establish modes of improving community wellbeing</w:t>
            </w:r>
          </w:p>
        </w:tc>
        <w:tc>
          <w:tcPr>
            <w:tcW w:w="5397" w:type="dxa"/>
          </w:tcPr>
          <w:p w:rsidR="00EC0FB5" w:rsidRDefault="00EC0FB5">
            <w:pPr>
              <w:pStyle w:val="normal0"/>
            </w:pPr>
          </w:p>
          <w:p w:rsidR="00EC0FB5" w:rsidRDefault="000A10F1">
            <w:pPr>
              <w:pStyle w:val="normal0"/>
              <w:ind w:left="103"/>
            </w:pPr>
            <w:r>
              <w:t># and participation rate of staff in organised wellbeing activities</w:t>
            </w:r>
          </w:p>
          <w:p w:rsidR="00EC0FB5" w:rsidRDefault="00EC0FB5">
            <w:pPr>
              <w:pStyle w:val="normal0"/>
              <w:ind w:left="103"/>
            </w:pPr>
          </w:p>
          <w:p w:rsidR="00EC0FB5" w:rsidRDefault="000A10F1">
            <w:pPr>
              <w:pStyle w:val="normal0"/>
              <w:ind w:left="103"/>
            </w:pPr>
            <w:r>
              <w:t># workload projects completed each year</w:t>
            </w:r>
          </w:p>
          <w:p w:rsidR="00EC0FB5" w:rsidRDefault="00EC0FB5">
            <w:pPr>
              <w:pStyle w:val="normal0"/>
              <w:ind w:left="103"/>
            </w:pPr>
          </w:p>
          <w:p w:rsidR="00EC0FB5" w:rsidRDefault="000A10F1">
            <w:pPr>
              <w:pStyle w:val="normal0"/>
              <w:ind w:left="103"/>
            </w:pPr>
            <w:r>
              <w:t>Connect and CEA attendance each semester reported as   a % of the student population</w:t>
            </w:r>
          </w:p>
          <w:p w:rsidR="00EC0FB5" w:rsidRDefault="00EC0FB5">
            <w:pPr>
              <w:pStyle w:val="normal0"/>
              <w:ind w:left="103"/>
            </w:pPr>
          </w:p>
        </w:tc>
      </w:tr>
    </w:tbl>
    <w:p w:rsidR="00EC0FB5" w:rsidRDefault="00EC0FB5">
      <w:pPr>
        <w:pStyle w:val="normal0"/>
        <w:ind w:right="393"/>
      </w:pPr>
    </w:p>
    <w:sectPr w:rsidR="00EC0FB5" w:rsidSect="00EC0FB5">
      <w:headerReference w:type="default" r:id="rId8"/>
      <w:pgSz w:w="11906" w:h="16838"/>
      <w:pgMar w:top="1133" w:right="708" w:bottom="1133" w:left="901"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0FB5" w:rsidRDefault="00EC0FB5" w:rsidP="00EC0FB5">
      <w:r>
        <w:separator/>
      </w:r>
    </w:p>
  </w:endnote>
  <w:endnote w:type="continuationSeparator" w:id="0">
    <w:p w:rsidR="00EC0FB5" w:rsidRDefault="00EC0FB5" w:rsidP="00EC0FB5">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0FB5" w:rsidRDefault="00EC0FB5" w:rsidP="00EC0FB5">
      <w:r>
        <w:separator/>
      </w:r>
    </w:p>
  </w:footnote>
  <w:footnote w:type="continuationSeparator" w:id="0">
    <w:p w:rsidR="00EC0FB5" w:rsidRDefault="00EC0FB5" w:rsidP="00EC0F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0FB5" w:rsidRDefault="00EC0FB5">
    <w:pPr>
      <w:pStyle w:val="normal0"/>
      <w:tabs>
        <w:tab w:val="center" w:pos="4513"/>
        <w:tab w:val="right" w:pos="9026"/>
      </w:tabs>
      <w:spacing w:before="42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0B0B50"/>
    <w:multiLevelType w:val="multilevel"/>
    <w:tmpl w:val="3C54CB2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nsid w:val="20552244"/>
    <w:multiLevelType w:val="multilevel"/>
    <w:tmpl w:val="954CFD1C"/>
    <w:lvl w:ilvl="0">
      <w:start w:val="1"/>
      <w:numFmt w:val="bullet"/>
      <w:lvlText w:val="-"/>
      <w:lvlJc w:val="left"/>
      <w:pPr>
        <w:ind w:left="720" w:firstLine="360"/>
      </w:pPr>
      <w:rPr>
        <w:rFonts w:ascii="Arial" w:eastAsia="Arial" w:hAnsi="Arial" w:cs="Arial"/>
        <w:b w:val="0"/>
        <w:color w:val="000000"/>
        <w:sz w:val="22"/>
        <w:szCs w:val="22"/>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nsid w:val="35703B6F"/>
    <w:multiLevelType w:val="multilevel"/>
    <w:tmpl w:val="A3903CA4"/>
    <w:lvl w:ilvl="0">
      <w:start w:val="1"/>
      <w:numFmt w:val="bullet"/>
      <w:lvlText w:val="-"/>
      <w:lvlJc w:val="left"/>
      <w:pPr>
        <w:ind w:left="720" w:firstLine="360"/>
      </w:pPr>
      <w:rPr>
        <w:rFonts w:ascii="Arial" w:eastAsia="Arial" w:hAnsi="Arial" w:cs="Arial"/>
        <w:b w:val="0"/>
        <w:color w:val="000000"/>
        <w:sz w:val="22"/>
        <w:szCs w:val="22"/>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nsid w:val="7423236D"/>
    <w:multiLevelType w:val="multilevel"/>
    <w:tmpl w:val="7628591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footnotePr>
    <w:footnote w:id="-1"/>
    <w:footnote w:id="0"/>
  </w:footnotePr>
  <w:endnotePr>
    <w:endnote w:id="-1"/>
    <w:endnote w:id="0"/>
  </w:endnotePr>
  <w:compat/>
  <w:rsids>
    <w:rsidRoot w:val="00EC0FB5"/>
    <w:rsid w:val="000A10F1"/>
    <w:rsid w:val="002A45D8"/>
    <w:rsid w:val="009C059D"/>
    <w:rsid w:val="00AD71F1"/>
    <w:rsid w:val="00CF7631"/>
    <w:rsid w:val="00EC0FB5"/>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sz w:val="22"/>
        <w:szCs w:val="22"/>
        <w:lang w:val="en-AU" w:eastAsia="en-A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59D"/>
  </w:style>
  <w:style w:type="paragraph" w:styleId="Heading1">
    <w:name w:val="heading 1"/>
    <w:basedOn w:val="normal0"/>
    <w:next w:val="normal0"/>
    <w:rsid w:val="00EC0FB5"/>
    <w:pPr>
      <w:keepNext/>
      <w:keepLines/>
      <w:spacing w:before="240" w:after="60"/>
      <w:outlineLvl w:val="0"/>
    </w:pPr>
    <w:rPr>
      <w:rFonts w:ascii="Cambria" w:eastAsia="Cambria" w:hAnsi="Cambria" w:cs="Cambria"/>
      <w:b/>
      <w:color w:val="1F497D"/>
      <w:sz w:val="28"/>
      <w:szCs w:val="28"/>
    </w:rPr>
  </w:style>
  <w:style w:type="paragraph" w:styleId="Heading2">
    <w:name w:val="heading 2"/>
    <w:basedOn w:val="normal0"/>
    <w:next w:val="normal0"/>
    <w:rsid w:val="00EC0FB5"/>
    <w:pPr>
      <w:keepNext/>
      <w:keepLines/>
      <w:spacing w:before="200"/>
      <w:outlineLvl w:val="1"/>
    </w:pPr>
    <w:rPr>
      <w:b/>
      <w:color w:val="4F81BD"/>
      <w:sz w:val="24"/>
      <w:szCs w:val="24"/>
    </w:rPr>
  </w:style>
  <w:style w:type="paragraph" w:styleId="Heading3">
    <w:name w:val="heading 3"/>
    <w:basedOn w:val="normal0"/>
    <w:next w:val="normal0"/>
    <w:rsid w:val="00EC0FB5"/>
    <w:pPr>
      <w:keepNext/>
      <w:keepLines/>
      <w:spacing w:before="200"/>
      <w:outlineLvl w:val="2"/>
    </w:pPr>
    <w:rPr>
      <w:rFonts w:ascii="Cambria" w:eastAsia="Cambria" w:hAnsi="Cambria" w:cs="Cambria"/>
      <w:color w:val="548DD4"/>
    </w:rPr>
  </w:style>
  <w:style w:type="paragraph" w:styleId="Heading4">
    <w:name w:val="heading 4"/>
    <w:basedOn w:val="normal0"/>
    <w:next w:val="normal0"/>
    <w:rsid w:val="00EC0FB5"/>
    <w:pPr>
      <w:keepNext/>
      <w:keepLines/>
      <w:spacing w:before="240" w:after="60"/>
      <w:outlineLvl w:val="3"/>
    </w:pPr>
    <w:rPr>
      <w:rFonts w:ascii="Cambria" w:eastAsia="Cambria" w:hAnsi="Cambria" w:cs="Cambria"/>
      <w:b/>
      <w:i/>
      <w:color w:val="1F497D"/>
    </w:rPr>
  </w:style>
  <w:style w:type="paragraph" w:styleId="Heading5">
    <w:name w:val="heading 5"/>
    <w:basedOn w:val="normal0"/>
    <w:next w:val="normal0"/>
    <w:rsid w:val="00EC0FB5"/>
    <w:pPr>
      <w:keepNext/>
      <w:keepLines/>
      <w:spacing w:before="220" w:after="40"/>
      <w:contextualSpacing/>
      <w:outlineLvl w:val="4"/>
    </w:pPr>
    <w:rPr>
      <w:b/>
    </w:rPr>
  </w:style>
  <w:style w:type="paragraph" w:styleId="Heading6">
    <w:name w:val="heading 6"/>
    <w:basedOn w:val="normal0"/>
    <w:next w:val="normal0"/>
    <w:rsid w:val="00EC0FB5"/>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EC0FB5"/>
  </w:style>
  <w:style w:type="paragraph" w:styleId="Title">
    <w:name w:val="Title"/>
    <w:basedOn w:val="normal0"/>
    <w:next w:val="normal0"/>
    <w:rsid w:val="00EC0FB5"/>
    <w:pPr>
      <w:keepNext/>
      <w:keepLines/>
      <w:widowControl/>
      <w:spacing w:after="300"/>
    </w:pPr>
    <w:rPr>
      <w:rFonts w:ascii="Cambria" w:eastAsia="Cambria" w:hAnsi="Cambria" w:cs="Cambria"/>
      <w:color w:val="17365D"/>
      <w:sz w:val="52"/>
      <w:szCs w:val="52"/>
    </w:rPr>
  </w:style>
  <w:style w:type="paragraph" w:styleId="Subtitle">
    <w:name w:val="Subtitle"/>
    <w:basedOn w:val="normal0"/>
    <w:next w:val="normal0"/>
    <w:rsid w:val="00EC0FB5"/>
    <w:pPr>
      <w:keepNext/>
      <w:keepLines/>
    </w:pPr>
    <w:rPr>
      <w:rFonts w:ascii="Cambria" w:eastAsia="Cambria" w:hAnsi="Cambria" w:cs="Cambria"/>
      <w:i/>
      <w:color w:val="4F81BD"/>
      <w:sz w:val="24"/>
      <w:szCs w:val="24"/>
    </w:rPr>
  </w:style>
  <w:style w:type="table" w:customStyle="1" w:styleId="a">
    <w:basedOn w:val="TableNormal"/>
    <w:rsid w:val="00EC0FB5"/>
    <w:tblPr>
      <w:tblStyleRowBandSize w:val="1"/>
      <w:tblStyleColBandSize w:val="1"/>
      <w:tblInd w:w="0" w:type="dxa"/>
      <w:tblCellMar>
        <w:top w:w="0" w:type="dxa"/>
        <w:left w:w="115" w:type="dxa"/>
        <w:bottom w:w="0" w:type="dxa"/>
        <w:right w:w="115" w:type="dxa"/>
      </w:tblCellMar>
    </w:tblPr>
  </w:style>
  <w:style w:type="table" w:customStyle="1" w:styleId="a0">
    <w:basedOn w:val="TableNormal"/>
    <w:rsid w:val="00EC0FB5"/>
    <w:tblPr>
      <w:tblStyleRowBandSize w:val="1"/>
      <w:tblStyleColBandSize w:val="1"/>
      <w:tblInd w:w="0" w:type="dxa"/>
      <w:tblCellMar>
        <w:top w:w="0" w:type="dxa"/>
        <w:left w:w="115" w:type="dxa"/>
        <w:bottom w:w="0" w:type="dxa"/>
        <w:right w:w="115" w:type="dxa"/>
      </w:tblCellMar>
    </w:tblPr>
  </w:style>
  <w:style w:type="table" w:customStyle="1" w:styleId="a1">
    <w:basedOn w:val="TableNormal"/>
    <w:rsid w:val="00EC0FB5"/>
    <w:tblPr>
      <w:tblStyleRowBandSize w:val="1"/>
      <w:tblStyleColBandSize w:val="1"/>
      <w:tblInd w:w="0" w:type="dxa"/>
      <w:tblCellMar>
        <w:top w:w="0" w:type="dxa"/>
        <w:left w:w="115" w:type="dxa"/>
        <w:bottom w:w="0" w:type="dxa"/>
        <w:right w:w="115" w:type="dxa"/>
      </w:tblCellMar>
    </w:tblPr>
  </w:style>
  <w:style w:type="table" w:customStyle="1" w:styleId="a2">
    <w:basedOn w:val="TableNormal"/>
    <w:rsid w:val="00EC0FB5"/>
    <w:tblPr>
      <w:tblStyleRowBandSize w:val="1"/>
      <w:tblStyleColBandSize w:val="1"/>
      <w:tblInd w:w="0" w:type="dxa"/>
      <w:tblCellMar>
        <w:top w:w="0" w:type="dxa"/>
        <w:left w:w="108" w:type="dxa"/>
        <w:bottom w:w="0" w:type="dxa"/>
        <w:right w:w="108" w:type="dxa"/>
      </w:tblCellMar>
    </w:tblPr>
  </w:style>
  <w:style w:type="table" w:customStyle="1" w:styleId="a3">
    <w:basedOn w:val="TableNormal"/>
    <w:rsid w:val="00EC0FB5"/>
    <w:tblPr>
      <w:tblStyleRowBandSize w:val="1"/>
      <w:tblStyleColBandSize w:val="1"/>
      <w:tblInd w:w="0" w:type="dxa"/>
      <w:tblCellMar>
        <w:top w:w="0" w:type="dxa"/>
        <w:left w:w="115" w:type="dxa"/>
        <w:bottom w:w="0" w:type="dxa"/>
        <w:right w:w="115" w:type="dxa"/>
      </w:tblCellMar>
    </w:tblPr>
  </w:style>
  <w:style w:type="table" w:customStyle="1" w:styleId="a4">
    <w:basedOn w:val="TableNormal"/>
    <w:rsid w:val="00EC0FB5"/>
    <w:tblPr>
      <w:tblStyleRowBandSize w:val="1"/>
      <w:tblStyleColBandSize w:val="1"/>
      <w:tblInd w:w="0" w:type="dxa"/>
      <w:tblCellMar>
        <w:top w:w="0" w:type="dxa"/>
        <w:left w:w="115" w:type="dxa"/>
        <w:bottom w:w="0" w:type="dxa"/>
        <w:right w:w="115" w:type="dxa"/>
      </w:tblCellMar>
    </w:tblPr>
  </w:style>
  <w:style w:type="table" w:customStyle="1" w:styleId="a5">
    <w:basedOn w:val="TableNormal"/>
    <w:rsid w:val="00EC0FB5"/>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0A10F1"/>
    <w:rPr>
      <w:rFonts w:ascii="Tahoma" w:hAnsi="Tahoma" w:cs="Tahoma"/>
      <w:sz w:val="16"/>
      <w:szCs w:val="16"/>
    </w:rPr>
  </w:style>
  <w:style w:type="character" w:customStyle="1" w:styleId="BalloonTextChar">
    <w:name w:val="Balloon Text Char"/>
    <w:basedOn w:val="DefaultParagraphFont"/>
    <w:link w:val="BalloonText"/>
    <w:uiPriority w:val="99"/>
    <w:semiHidden/>
    <w:rsid w:val="000A10F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1183</Words>
  <Characters>6746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7914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Gungahlin College Strategic Plan 2016-2020 </dc:title>
  <dc:creator>ACT Department of Education</dc:creator>
  <cp:lastModifiedBy>Myra Domigan</cp:lastModifiedBy>
  <cp:revision>3</cp:revision>
  <dcterms:created xsi:type="dcterms:W3CDTF">2016-06-27T02:58:00Z</dcterms:created>
  <dcterms:modified xsi:type="dcterms:W3CDTF">2016-06-27T05:22:00Z</dcterms:modified>
</cp:coreProperties>
</file>