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Content>
        <w:p w14:paraId="5E9708A2" w14:textId="457FCE3C" w:rsidR="00FE1945" w:rsidRPr="00563A3D" w:rsidRDefault="009D023F" w:rsidP="00FE1945">
          <w:pPr>
            <w:rPr>
              <w:rStyle w:val="SchoolName"/>
              <w:color w:val="1F4E79"/>
            </w:rPr>
          </w:pPr>
          <w:r>
            <w:rPr>
              <w:rStyle w:val="SchoolName"/>
              <w:color w:val="1F4E79"/>
            </w:rPr>
            <w:t>Turner School</w:t>
          </w:r>
        </w:p>
      </w:sdtContent>
    </w:sdt>
    <w:p w14:paraId="63330FCF" w14:textId="6E5D50F0" w:rsidR="00FE1945" w:rsidRPr="005F3926" w:rsidRDefault="000E6889" w:rsidP="00FE1945">
      <w:pPr>
        <w:pStyle w:val="Subtitle"/>
        <w:jc w:val="left"/>
      </w:pPr>
      <w:r w:rsidRPr="00A929B5">
        <w:rPr>
          <w:noProof/>
          <w:sz w:val="48"/>
        </w:rPr>
        <w:drawing>
          <wp:anchor distT="0" distB="0" distL="114300" distR="114300" simplePos="0" relativeHeight="251668480" behindDoc="1" locked="0" layoutInCell="1" allowOverlap="1" wp14:anchorId="6C74C43A" wp14:editId="0CF6ECA5">
            <wp:simplePos x="0" y="0"/>
            <wp:positionH relativeFrom="margin">
              <wp:align>right</wp:align>
            </wp:positionH>
            <wp:positionV relativeFrom="paragraph">
              <wp:posOffset>-479044</wp:posOffset>
            </wp:positionV>
            <wp:extent cx="1173480" cy="1150620"/>
            <wp:effectExtent l="0" t="0" r="7620" b="0"/>
            <wp:wrapTight wrapText="bothSides">
              <wp:wrapPolygon edited="0">
                <wp:start x="0" y="0"/>
                <wp:lineTo x="0" y="21099"/>
                <wp:lineTo x="21390" y="21099"/>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ner logo.png"/>
                    <pic:cNvPicPr/>
                  </pic:nvPicPr>
                  <pic:blipFill>
                    <a:blip r:embed="rId8">
                      <a:extLst>
                        <a:ext uri="{28A0092B-C50C-407E-A947-70E740481C1C}">
                          <a14:useLocalDpi xmlns:a14="http://schemas.microsoft.com/office/drawing/2010/main" val="0"/>
                        </a:ext>
                      </a:extLst>
                    </a:blip>
                    <a:stretch>
                      <a:fillRect/>
                    </a:stretch>
                  </pic:blipFill>
                  <pic:spPr>
                    <a:xfrm>
                      <a:off x="0" y="0"/>
                      <a:ext cx="1173480" cy="1150620"/>
                    </a:xfrm>
                    <a:prstGeom prst="rect">
                      <a:avLst/>
                    </a:prstGeom>
                  </pic:spPr>
                </pic:pic>
              </a:graphicData>
            </a:graphic>
            <wp14:sizeRelH relativeFrom="page">
              <wp14:pctWidth>0</wp14:pctWidth>
            </wp14:sizeRelH>
            <wp14:sizeRelV relativeFrom="page">
              <wp14:pctHeight>0</wp14:pctHeight>
            </wp14:sizeRelV>
          </wp:anchor>
        </w:drawing>
      </w:r>
      <w:r w:rsidR="00FE1945"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Content>
          <w:r w:rsidR="009D023F">
            <w:t>North Canberra/ Gungahlin</w:t>
          </w:r>
        </w:sdtContent>
      </w:sdt>
    </w:p>
    <w:p w14:paraId="38F253B0" w14:textId="0FB21C8D" w:rsidR="00FE1945" w:rsidRDefault="00846E51" w:rsidP="00FE1945">
      <w:pPr>
        <w:pStyle w:val="Title"/>
        <w:jc w:val="left"/>
      </w:pPr>
      <w:r>
        <w:t>Impact</w:t>
      </w:r>
      <w:r w:rsidR="00FE1945" w:rsidRPr="005F3926">
        <w:t xml:space="preserve"> </w:t>
      </w:r>
      <w:r w:rsidR="00B10319">
        <w:t xml:space="preserve">Report </w:t>
      </w:r>
      <w:r w:rsidR="00895F0F">
        <w:t>20</w:t>
      </w:r>
      <w:r w:rsidR="00A74AD9">
        <w:t>20</w:t>
      </w:r>
    </w:p>
    <w:p w14:paraId="43815876" w14:textId="1B103BC9" w:rsidR="00E434FA" w:rsidRPr="001B2E33" w:rsidRDefault="00E434FA" w:rsidP="001B2E33">
      <w:pPr>
        <w:pStyle w:val="Heading1"/>
      </w:pPr>
      <w:r w:rsidRPr="001B2E33">
        <w:t>The purpose of this document</w:t>
      </w:r>
    </w:p>
    <w:p w14:paraId="43681D58" w14:textId="77777777" w:rsidR="00446476" w:rsidRDefault="00B10319" w:rsidP="00A74AD9">
      <w:pPr>
        <w:pStyle w:val="BodyText"/>
        <w:jc w:val="both"/>
      </w:pPr>
      <w:r w:rsidRPr="00132917">
        <w:t>This document flows</w:t>
      </w:r>
      <w:r w:rsidR="00334BBF" w:rsidRPr="00132917">
        <w:t xml:space="preserve"> directly from our Action</w:t>
      </w:r>
      <w:r w:rsidR="00846E51" w:rsidRPr="00132917">
        <w:t xml:space="preserve"> Plan </w:t>
      </w:r>
      <w:r w:rsidRPr="00132917">
        <w:t>for 20</w:t>
      </w:r>
      <w:r w:rsidR="00A74AD9">
        <w:t>20</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r w:rsidR="00A74AD9">
        <w:t xml:space="preserve"> </w:t>
      </w:r>
    </w:p>
    <w:p w14:paraId="4C974366" w14:textId="18A3CAAC" w:rsidR="00132917" w:rsidRPr="0058339C" w:rsidRDefault="00A74AD9" w:rsidP="00390A9F">
      <w:pPr>
        <w:pStyle w:val="BodyText"/>
        <w:jc w:val="both"/>
      </w:pPr>
      <w:r>
        <w:t>Of note</w:t>
      </w:r>
      <w:r w:rsidR="00EC5E2C">
        <w:t>,</w:t>
      </w:r>
      <w:r>
        <w:t xml:space="preserve"> is the transformation that was required to provide online learning options for students this year due to the COVID-19 pandemic. </w:t>
      </w:r>
      <w:r w:rsidR="00446476">
        <w:t xml:space="preserve">This had some impact on intended actions as seen in this report. </w:t>
      </w:r>
      <w:r w:rsidR="00A706D4">
        <w:t>Some data</w:t>
      </w:r>
      <w:r>
        <w:t xml:space="preserve"> sources were unavailable</w:t>
      </w:r>
      <w:r w:rsidR="00EC5E2C">
        <w:t>, (</w:t>
      </w:r>
      <w:proofErr w:type="spellStart"/>
      <w:r w:rsidR="00EC5E2C">
        <w:t>ie</w:t>
      </w:r>
      <w:proofErr w:type="spellEnd"/>
      <w:r w:rsidR="00EC5E2C">
        <w:t xml:space="preserve"> NAPLAN)</w:t>
      </w:r>
      <w:r w:rsidR="009D023F">
        <w:t>,</w:t>
      </w:r>
      <w:r w:rsidR="00EC5E2C">
        <w:t xml:space="preserve"> </w:t>
      </w:r>
      <w:r>
        <w:t>due to the limitations of</w:t>
      </w:r>
      <w:r w:rsidR="00EC5E2C">
        <w:t xml:space="preserve"> the national education agenda,</w:t>
      </w:r>
      <w:r>
        <w:t xml:space="preserve"> learning from home and timing of assessments</w:t>
      </w:r>
      <w:r w:rsidR="00EC5E2C">
        <w:t>.</w:t>
      </w:r>
      <w: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47555DE8" w:rsidR="00B10319" w:rsidRPr="001B2E33" w:rsidRDefault="007B0189" w:rsidP="001B2E33">
      <w:pPr>
        <w:pStyle w:val="Heading2"/>
      </w:pPr>
      <w:r w:rsidRPr="001B2E33">
        <w:t>Education Directorate Strategic I</w:t>
      </w:r>
      <w:r w:rsidR="00B10319" w:rsidRPr="001B2E33">
        <w:t>ndicator 2018-2021</w:t>
      </w:r>
      <w:r w:rsidR="00A63ECB">
        <w:t xml:space="preserve"> </w:t>
      </w:r>
    </w:p>
    <w:p w14:paraId="5A8D587B" w14:textId="0126ACA9" w:rsidR="00E72B52" w:rsidRPr="00E72B52" w:rsidRDefault="00FE1945" w:rsidP="00300F72">
      <w:pPr>
        <w:pStyle w:val="BodyText"/>
        <w:rPr>
          <w:i/>
        </w:rPr>
      </w:pPr>
      <w:r w:rsidRPr="001B2E33">
        <w:rPr>
          <w:i/>
        </w:rPr>
        <w:t>To promote greater equity in learning outcomes in and across ACT public schools</w:t>
      </w:r>
    </w:p>
    <w:p w14:paraId="0E4AE3ED" w14:textId="753DEC68" w:rsidR="00846E51" w:rsidRPr="00A95299" w:rsidRDefault="00300F72" w:rsidP="00132917">
      <w:pPr>
        <w:pStyle w:val="BodyText"/>
        <w:rPr>
          <w:b/>
        </w:rPr>
      </w:pPr>
      <w:r w:rsidRPr="00A95299">
        <w:rPr>
          <w:b/>
        </w:rPr>
        <w:t>In 20</w:t>
      </w:r>
      <w:r w:rsidR="00A74AD9">
        <w:rPr>
          <w:b/>
        </w:rPr>
        <w:t>20</w:t>
      </w:r>
      <w:r w:rsidRPr="00A95299">
        <w:rPr>
          <w:b/>
        </w:rPr>
        <w:t xml:space="preserve"> our school </w:t>
      </w:r>
      <w:r w:rsidR="00A74AD9">
        <w:rPr>
          <w:b/>
        </w:rPr>
        <w:t xml:space="preserve">continued to </w:t>
      </w:r>
      <w:r w:rsidRPr="00A95299">
        <w:rPr>
          <w:b/>
        </w:rPr>
        <w:t xml:space="preserve">support this </w:t>
      </w:r>
      <w:r w:rsidR="00E14A54" w:rsidRPr="00A95299">
        <w:rPr>
          <w:b/>
        </w:rPr>
        <w:t>S</w:t>
      </w:r>
      <w:r w:rsidRPr="00A95299">
        <w:rPr>
          <w:b/>
        </w:rPr>
        <w:t xml:space="preserve">trategic </w:t>
      </w:r>
      <w:r w:rsidR="00E14A54" w:rsidRPr="00A95299">
        <w:rPr>
          <w:b/>
        </w:rPr>
        <w:t>I</w:t>
      </w:r>
      <w:r w:rsidRPr="00A95299">
        <w:rPr>
          <w:b/>
        </w:rPr>
        <w:t xml:space="preserve">ndicator through – Priority </w:t>
      </w:r>
      <w:r w:rsidR="007F3843" w:rsidRPr="00A95299">
        <w:rPr>
          <w:b/>
        </w:rPr>
        <w:t>2</w:t>
      </w:r>
      <w:r w:rsidRPr="00A95299">
        <w:rPr>
          <w:b/>
        </w:rPr>
        <w:t xml:space="preserve"> (see reporting for detail):</w:t>
      </w:r>
    </w:p>
    <w:p w14:paraId="05831A13" w14:textId="1663E4EA" w:rsidR="00300F72" w:rsidRDefault="00E72B52" w:rsidP="00A95299">
      <w:pPr>
        <w:pStyle w:val="ListBullet"/>
        <w:numPr>
          <w:ilvl w:val="0"/>
          <w:numId w:val="0"/>
        </w:numPr>
        <w:jc w:val="both"/>
      </w:pPr>
      <w:r>
        <w:t>The Education Directorate supported school leaders to access</w:t>
      </w:r>
      <w:r w:rsidR="004A2265">
        <w:t xml:space="preserve"> Dr</w:t>
      </w:r>
      <w:r>
        <w:t xml:space="preserve"> Mary Jean Gallagher who was key in leading the Ontario School </w:t>
      </w:r>
      <w:r w:rsidR="001F6B89">
        <w:t xml:space="preserve">equity and quality learning experiences agenda across a whole education system. Gallagher identified drivers </w:t>
      </w:r>
      <w:r w:rsidR="00895F0F">
        <w:t xml:space="preserve">which align with our Strategic Priority 2 </w:t>
      </w:r>
      <w:r w:rsidR="001F6B89">
        <w:t xml:space="preserve">to increase equity in an education system: </w:t>
      </w:r>
    </w:p>
    <w:p w14:paraId="37F81E9C" w14:textId="77777777" w:rsidR="00E764FC" w:rsidRPr="00895F0F" w:rsidRDefault="00E764FC" w:rsidP="00A95299">
      <w:pPr>
        <w:pStyle w:val="NormalWeb"/>
        <w:spacing w:before="0" w:beforeAutospacing="0" w:after="0" w:afterAutospacing="0" w:line="331" w:lineRule="atLeast"/>
        <w:jc w:val="both"/>
        <w:rPr>
          <w:rFonts w:asciiTheme="minorHAnsi" w:hAnsiTheme="minorHAnsi" w:cstheme="minorHAnsi"/>
          <w:color w:val="000000"/>
        </w:rPr>
      </w:pPr>
      <w:r w:rsidRPr="00895F0F">
        <w:rPr>
          <w:rFonts w:asciiTheme="minorHAnsi" w:hAnsiTheme="minorHAnsi" w:cstheme="minorHAnsi"/>
          <w:color w:val="000000"/>
          <w:sz w:val="22"/>
          <w:szCs w:val="22"/>
        </w:rPr>
        <w:t>Helping students towards their most richly imagined future.</w:t>
      </w:r>
    </w:p>
    <w:p w14:paraId="44BB0ADB" w14:textId="3948A2D2" w:rsidR="00E764FC" w:rsidRPr="00895F0F" w:rsidRDefault="00895F0F" w:rsidP="007A1200">
      <w:pPr>
        <w:pStyle w:val="NormalWeb"/>
        <w:numPr>
          <w:ilvl w:val="0"/>
          <w:numId w:val="8"/>
        </w:numPr>
        <w:spacing w:before="0" w:beforeAutospacing="0" w:after="0" w:afterAutospacing="0" w:line="303" w:lineRule="atLeast"/>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Develop students as</w:t>
      </w:r>
      <w:r w:rsidR="00E764FC" w:rsidRPr="00895F0F">
        <w:rPr>
          <w:rFonts w:asciiTheme="minorHAnsi" w:hAnsiTheme="minorHAnsi" w:cstheme="minorHAnsi"/>
          <w:color w:val="000000"/>
          <w:sz w:val="22"/>
          <w:szCs w:val="22"/>
        </w:rPr>
        <w:t xml:space="preserve"> personally successful people- </w:t>
      </w:r>
      <w:r>
        <w:rPr>
          <w:rFonts w:asciiTheme="minorHAnsi" w:hAnsiTheme="minorHAnsi" w:cstheme="minorHAnsi"/>
          <w:color w:val="000000"/>
          <w:sz w:val="22"/>
          <w:szCs w:val="22"/>
        </w:rPr>
        <w:t xml:space="preserve">foster </w:t>
      </w:r>
      <w:r w:rsidR="00E764FC" w:rsidRPr="00895F0F">
        <w:rPr>
          <w:rFonts w:asciiTheme="minorHAnsi" w:hAnsiTheme="minorHAnsi" w:cstheme="minorHAnsi"/>
          <w:color w:val="000000"/>
          <w:sz w:val="22"/>
          <w:szCs w:val="22"/>
        </w:rPr>
        <w:t xml:space="preserve">habits of learning and living that help them to be a good human being. </w:t>
      </w:r>
      <w:r>
        <w:rPr>
          <w:rFonts w:asciiTheme="minorHAnsi" w:hAnsiTheme="minorHAnsi" w:cstheme="minorHAnsi"/>
          <w:color w:val="000000"/>
          <w:sz w:val="22"/>
          <w:szCs w:val="22"/>
        </w:rPr>
        <w:t>Expect them to c</w:t>
      </w:r>
      <w:r w:rsidR="00E764FC" w:rsidRPr="00895F0F">
        <w:rPr>
          <w:rFonts w:asciiTheme="minorHAnsi" w:hAnsiTheme="minorHAnsi" w:cstheme="minorHAnsi"/>
          <w:color w:val="000000"/>
          <w:sz w:val="22"/>
          <w:szCs w:val="22"/>
        </w:rPr>
        <w:t>ontribute to communities</w:t>
      </w:r>
      <w:r>
        <w:rPr>
          <w:rFonts w:asciiTheme="minorHAnsi" w:hAnsiTheme="minorHAnsi" w:cstheme="minorHAnsi"/>
          <w:color w:val="000000"/>
          <w:sz w:val="22"/>
          <w:szCs w:val="22"/>
        </w:rPr>
        <w:t xml:space="preserve"> and be</w:t>
      </w:r>
      <w:r w:rsidR="00EB1DE5">
        <w:rPr>
          <w:rFonts w:asciiTheme="minorHAnsi" w:hAnsiTheme="minorHAnsi" w:cstheme="minorHAnsi"/>
          <w:color w:val="000000"/>
          <w:sz w:val="22"/>
          <w:szCs w:val="22"/>
        </w:rPr>
        <w:t xml:space="preserve"> t</w:t>
      </w:r>
      <w:r w:rsidR="00E764FC" w:rsidRPr="00895F0F">
        <w:rPr>
          <w:rFonts w:asciiTheme="minorHAnsi" w:hAnsiTheme="minorHAnsi" w:cstheme="minorHAnsi"/>
          <w:color w:val="000000"/>
          <w:sz w:val="22"/>
          <w:szCs w:val="22"/>
        </w:rPr>
        <w:t>houghtful, caring and knowledge about the world around them</w:t>
      </w:r>
      <w:r>
        <w:rPr>
          <w:rFonts w:asciiTheme="minorHAnsi" w:hAnsiTheme="minorHAnsi" w:cstheme="minorHAnsi"/>
          <w:color w:val="000000"/>
          <w:sz w:val="22"/>
          <w:szCs w:val="22"/>
        </w:rPr>
        <w:t xml:space="preserve">. </w:t>
      </w:r>
    </w:p>
    <w:p w14:paraId="569C58A3" w14:textId="131006C0" w:rsidR="00E764FC" w:rsidRPr="00895F0F" w:rsidRDefault="00895F0F" w:rsidP="007A1200">
      <w:pPr>
        <w:pStyle w:val="NormalWeb"/>
        <w:numPr>
          <w:ilvl w:val="0"/>
          <w:numId w:val="8"/>
        </w:numPr>
        <w:spacing w:before="0" w:beforeAutospacing="0" w:after="0" w:afterAutospacing="0" w:line="303" w:lineRule="atLeast"/>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Develop students to strive to be e</w:t>
      </w:r>
      <w:r w:rsidR="00E764FC" w:rsidRPr="00895F0F">
        <w:rPr>
          <w:rFonts w:asciiTheme="minorHAnsi" w:hAnsiTheme="minorHAnsi" w:cstheme="minorHAnsi"/>
          <w:color w:val="000000"/>
          <w:sz w:val="22"/>
          <w:szCs w:val="22"/>
        </w:rPr>
        <w:t>conomically productive-</w:t>
      </w:r>
      <w:r>
        <w:rPr>
          <w:rFonts w:asciiTheme="minorHAnsi" w:hAnsiTheme="minorHAnsi" w:cstheme="minorHAnsi"/>
          <w:color w:val="000000"/>
          <w:sz w:val="22"/>
          <w:szCs w:val="22"/>
        </w:rPr>
        <w:t>obtaining</w:t>
      </w:r>
      <w:r w:rsidR="00E764FC" w:rsidRPr="00895F0F">
        <w:rPr>
          <w:rFonts w:asciiTheme="minorHAnsi" w:hAnsiTheme="minorHAnsi" w:cstheme="minorHAnsi"/>
          <w:color w:val="000000"/>
          <w:sz w:val="22"/>
          <w:szCs w:val="22"/>
        </w:rPr>
        <w:t xml:space="preserve"> skills, habits and dispositions they need for this</w:t>
      </w:r>
      <w:r>
        <w:rPr>
          <w:rFonts w:asciiTheme="minorHAnsi" w:hAnsiTheme="minorHAnsi" w:cstheme="minorHAnsi"/>
          <w:color w:val="000000"/>
          <w:sz w:val="22"/>
          <w:szCs w:val="22"/>
        </w:rPr>
        <w:t xml:space="preserve"> and</w:t>
      </w:r>
      <w:r w:rsidR="00EB1DE5">
        <w:rPr>
          <w:rFonts w:asciiTheme="minorHAnsi" w:hAnsiTheme="minorHAnsi" w:cstheme="minorHAnsi"/>
          <w:color w:val="000000"/>
          <w:sz w:val="22"/>
          <w:szCs w:val="22"/>
        </w:rPr>
        <w:t xml:space="preserve"> </w:t>
      </w:r>
      <w:r w:rsidR="00E772D0">
        <w:rPr>
          <w:rFonts w:asciiTheme="minorHAnsi" w:hAnsiTheme="minorHAnsi" w:cstheme="minorHAnsi"/>
          <w:color w:val="000000"/>
          <w:sz w:val="22"/>
          <w:szCs w:val="22"/>
        </w:rPr>
        <w:t>contribute</w:t>
      </w:r>
      <w:r w:rsidR="00E764FC" w:rsidRPr="00895F0F">
        <w:rPr>
          <w:rFonts w:asciiTheme="minorHAnsi" w:hAnsiTheme="minorHAnsi" w:cstheme="minorHAnsi"/>
          <w:color w:val="000000"/>
          <w:sz w:val="22"/>
          <w:szCs w:val="22"/>
        </w:rPr>
        <w:t xml:space="preserve"> to their town, city, state, country.</w:t>
      </w:r>
    </w:p>
    <w:p w14:paraId="73741970" w14:textId="39799F65" w:rsidR="00A74AD9" w:rsidRDefault="00895F0F" w:rsidP="007A1200">
      <w:pPr>
        <w:pStyle w:val="NormalWeb"/>
        <w:numPr>
          <w:ilvl w:val="0"/>
          <w:numId w:val="8"/>
        </w:numPr>
        <w:spacing w:before="0" w:beforeAutospacing="0" w:after="0" w:afterAutospacing="0" w:line="303" w:lineRule="atLeast"/>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Ensure students to be a</w:t>
      </w:r>
      <w:r w:rsidR="00E764FC" w:rsidRPr="00895F0F">
        <w:rPr>
          <w:rFonts w:asciiTheme="minorHAnsi" w:hAnsiTheme="minorHAnsi" w:cstheme="minorHAnsi"/>
          <w:color w:val="000000"/>
          <w:sz w:val="22"/>
          <w:szCs w:val="22"/>
        </w:rPr>
        <w:t xml:space="preserve">ctively </w:t>
      </w:r>
      <w:r>
        <w:rPr>
          <w:rFonts w:asciiTheme="minorHAnsi" w:hAnsiTheme="minorHAnsi" w:cstheme="minorHAnsi"/>
          <w:color w:val="000000"/>
          <w:sz w:val="22"/>
          <w:szCs w:val="22"/>
        </w:rPr>
        <w:t>e</w:t>
      </w:r>
      <w:r w:rsidR="00E764FC" w:rsidRPr="00895F0F">
        <w:rPr>
          <w:rFonts w:asciiTheme="minorHAnsi" w:hAnsiTheme="minorHAnsi" w:cstheme="minorHAnsi"/>
          <w:color w:val="000000"/>
          <w:sz w:val="22"/>
          <w:szCs w:val="22"/>
        </w:rPr>
        <w:t>ngaged, involved citizens-being able to think critically and take informed action</w:t>
      </w:r>
      <w:r>
        <w:rPr>
          <w:rFonts w:asciiTheme="minorHAnsi" w:hAnsiTheme="minorHAnsi" w:cstheme="minorHAnsi"/>
          <w:color w:val="000000"/>
          <w:sz w:val="22"/>
          <w:szCs w:val="22"/>
        </w:rPr>
        <w:t xml:space="preserve"> and choosing to step</w:t>
      </w:r>
      <w:r w:rsidR="00E764FC" w:rsidRPr="00895F0F">
        <w:rPr>
          <w:rFonts w:asciiTheme="minorHAnsi" w:hAnsiTheme="minorHAnsi" w:cstheme="minorHAnsi"/>
          <w:color w:val="000000"/>
          <w:sz w:val="22"/>
          <w:szCs w:val="22"/>
        </w:rPr>
        <w:t xml:space="preserve"> into the problems </w:t>
      </w:r>
      <w:r w:rsidR="00EC5E2C">
        <w:rPr>
          <w:rFonts w:asciiTheme="minorHAnsi" w:hAnsiTheme="minorHAnsi" w:cstheme="minorHAnsi"/>
          <w:color w:val="000000"/>
          <w:sz w:val="22"/>
          <w:szCs w:val="22"/>
        </w:rPr>
        <w:t>to</w:t>
      </w:r>
      <w:r w:rsidR="00E764FC" w:rsidRPr="00895F0F">
        <w:rPr>
          <w:rFonts w:asciiTheme="minorHAnsi" w:hAnsiTheme="minorHAnsi" w:cstheme="minorHAnsi"/>
          <w:color w:val="000000"/>
          <w:sz w:val="22"/>
          <w:szCs w:val="22"/>
        </w:rPr>
        <w:t xml:space="preserve"> be solved.</w:t>
      </w:r>
    </w:p>
    <w:p w14:paraId="6EBA75EC" w14:textId="77777777" w:rsidR="00446476" w:rsidRDefault="00446476" w:rsidP="00A74AD9">
      <w:pPr>
        <w:pStyle w:val="NormalWeb"/>
        <w:spacing w:before="0" w:beforeAutospacing="0" w:after="0" w:afterAutospacing="0" w:line="303" w:lineRule="atLeast"/>
        <w:jc w:val="both"/>
        <w:textAlignment w:val="baseline"/>
        <w:rPr>
          <w:rFonts w:asciiTheme="minorHAnsi" w:hAnsiTheme="minorHAnsi" w:cstheme="minorHAnsi"/>
          <w:color w:val="000000"/>
          <w:sz w:val="22"/>
          <w:szCs w:val="22"/>
        </w:rPr>
      </w:pPr>
    </w:p>
    <w:p w14:paraId="3001EDF2" w14:textId="5C9908E8" w:rsidR="00A74AD9" w:rsidRPr="00A74AD9" w:rsidRDefault="00A74AD9" w:rsidP="00390A9F">
      <w:pPr>
        <w:pStyle w:val="NormalWeb"/>
        <w:spacing w:before="0" w:beforeAutospacing="0" w:after="0" w:afterAutospacing="0" w:line="303" w:lineRule="atLeast"/>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Actions supporting </w:t>
      </w:r>
      <w:r w:rsidR="00446476">
        <w:rPr>
          <w:rFonts w:asciiTheme="minorHAnsi" w:hAnsiTheme="minorHAnsi" w:cstheme="minorHAnsi"/>
          <w:color w:val="000000"/>
          <w:sz w:val="22"/>
          <w:szCs w:val="22"/>
        </w:rPr>
        <w:t xml:space="preserve">the above key equity actions in 2020 include: </w:t>
      </w:r>
    </w:p>
    <w:p w14:paraId="4237A615" w14:textId="77777777" w:rsidR="00300F72" w:rsidRPr="00300F72" w:rsidRDefault="00300F72" w:rsidP="00300F72">
      <w:pPr>
        <w:pStyle w:val="BodyText"/>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5A54A98A" w14:textId="66CDE494" w:rsidR="00300F72" w:rsidRPr="00300F72" w:rsidRDefault="00B10319" w:rsidP="00300F72">
      <w:pPr>
        <w:pStyle w:val="BodyText"/>
      </w:pPr>
      <w:r w:rsidRPr="001B2E33">
        <w:rPr>
          <w:i/>
        </w:rPr>
        <w:t>To facilitate high quality teaching in ACT public schools and strengthen educational outcomes.</w:t>
      </w:r>
    </w:p>
    <w:p w14:paraId="14162F1A" w14:textId="29521B2A" w:rsidR="00300F72" w:rsidRPr="00A95299" w:rsidRDefault="00300F72" w:rsidP="00132917">
      <w:pPr>
        <w:pStyle w:val="BodyText"/>
        <w:rPr>
          <w:b/>
        </w:rPr>
      </w:pPr>
      <w:r w:rsidRPr="00A95299">
        <w:rPr>
          <w:b/>
        </w:rPr>
        <w:t>In 20</w:t>
      </w:r>
      <w:r w:rsidR="00446476">
        <w:rPr>
          <w:b/>
        </w:rPr>
        <w:t>20</w:t>
      </w:r>
      <w:r w:rsidRPr="00A95299">
        <w:rPr>
          <w:b/>
        </w:rPr>
        <w:t xml:space="preserve"> our school supported this </w:t>
      </w:r>
      <w:r w:rsidR="00E14A54" w:rsidRPr="00A95299">
        <w:rPr>
          <w:b/>
        </w:rPr>
        <w:t>S</w:t>
      </w:r>
      <w:r w:rsidRPr="00A95299">
        <w:rPr>
          <w:b/>
        </w:rPr>
        <w:t xml:space="preserve">trategic </w:t>
      </w:r>
      <w:r w:rsidR="00E14A54" w:rsidRPr="00A95299">
        <w:rPr>
          <w:b/>
        </w:rPr>
        <w:t>I</w:t>
      </w:r>
      <w:r w:rsidRPr="00A95299">
        <w:rPr>
          <w:b/>
        </w:rPr>
        <w:t xml:space="preserve">ndicator through – Priority </w:t>
      </w:r>
      <w:r w:rsidR="007F3843" w:rsidRPr="00A95299">
        <w:rPr>
          <w:b/>
        </w:rPr>
        <w:t xml:space="preserve">1 </w:t>
      </w:r>
      <w:r w:rsidRPr="00A95299">
        <w:rPr>
          <w:b/>
        </w:rPr>
        <w:t>(see reporting for detail):</w:t>
      </w:r>
    </w:p>
    <w:p w14:paraId="6CD32561" w14:textId="69487F2F" w:rsidR="007F3843" w:rsidRDefault="007F3843" w:rsidP="00EB1DE5">
      <w:pPr>
        <w:jc w:val="both"/>
      </w:pPr>
      <w:r>
        <w:t>Our school improvement strength</w:t>
      </w:r>
      <w:r w:rsidR="00E72B52">
        <w:t xml:space="preserve"> to ensure high quality teaching in our schools</w:t>
      </w:r>
      <w:r>
        <w:t xml:space="preserve"> lies in Turner staff collective responsibility to stay the course and ensure all stakeholders are wedded to the school vision.</w:t>
      </w:r>
      <w:r w:rsidR="000E6889">
        <w:t xml:space="preserve"> </w:t>
      </w:r>
      <w:r>
        <w:t xml:space="preserve">In the </w:t>
      </w:r>
      <w:r w:rsidR="00EC5E2C">
        <w:t xml:space="preserve">fourth </w:t>
      </w:r>
      <w:r>
        <w:t xml:space="preserve">year of the Strategic Plan the focus has been on embedding implementation and is centred on three elements: </w:t>
      </w:r>
    </w:p>
    <w:p w14:paraId="7B4DF33F" w14:textId="678A2A26" w:rsidR="007F3843" w:rsidRPr="00EC5E2C" w:rsidRDefault="007F3843" w:rsidP="007A1200">
      <w:pPr>
        <w:pStyle w:val="ListParagraph"/>
        <w:numPr>
          <w:ilvl w:val="0"/>
          <w:numId w:val="2"/>
        </w:numPr>
        <w:spacing w:after="0" w:line="276" w:lineRule="auto"/>
        <w:jc w:val="both"/>
      </w:pPr>
      <w:r w:rsidRPr="00EC5E2C">
        <w:rPr>
          <w:i/>
        </w:rPr>
        <w:t xml:space="preserve">Each teacher is an inquirer and we build and test our collective expertise: </w:t>
      </w:r>
      <w:r w:rsidRPr="00EC5E2C">
        <w:t>Turner School recognizes teachers as key influencers on student achievement. All staff are involved in participating or leading carefully designed</w:t>
      </w:r>
      <w:r w:rsidR="00095A2B" w:rsidRPr="00EC5E2C">
        <w:t xml:space="preserve"> and targeted</w:t>
      </w:r>
      <w:r w:rsidRPr="00EC5E2C">
        <w:t xml:space="preserve"> professional learning, coaching </w:t>
      </w:r>
      <w:r w:rsidR="00C04943">
        <w:t>and</w:t>
      </w:r>
      <w:r w:rsidRPr="00EC5E2C">
        <w:t xml:space="preserve"> induction to ensure all staff have the research and knowledge </w:t>
      </w:r>
      <w:r w:rsidRPr="00EC5E2C">
        <w:lastRenderedPageBreak/>
        <w:t xml:space="preserve">base to achieve improvement priorities. All teacher learning </w:t>
      </w:r>
      <w:r w:rsidR="00095A2B" w:rsidRPr="00EC5E2C">
        <w:t xml:space="preserve">builds teachers as </w:t>
      </w:r>
      <w:r w:rsidRPr="00EC5E2C">
        <w:t>professionals who have expertise as researchers</w:t>
      </w:r>
      <w:r w:rsidR="00C04943">
        <w:t>, executing</w:t>
      </w:r>
      <w:r w:rsidR="00095A2B" w:rsidRPr="00EC5E2C">
        <w:t xml:space="preserve"> sound</w:t>
      </w:r>
      <w:r w:rsidRPr="00EC5E2C">
        <w:t xml:space="preserve"> judgement on student learning. Teacher expertise is strengthened by widening the circle of expertise to include experts in the national and international educational community. </w:t>
      </w:r>
    </w:p>
    <w:p w14:paraId="78799F36" w14:textId="08A44250" w:rsidR="007F3843" w:rsidRPr="00EC5E2C" w:rsidRDefault="007F3843" w:rsidP="007A1200">
      <w:pPr>
        <w:pStyle w:val="ListParagraph"/>
        <w:numPr>
          <w:ilvl w:val="0"/>
          <w:numId w:val="2"/>
        </w:numPr>
        <w:spacing w:after="0" w:line="276" w:lineRule="auto"/>
        <w:jc w:val="both"/>
      </w:pPr>
      <w:r w:rsidRPr="00EC5E2C">
        <w:rPr>
          <w:i/>
        </w:rPr>
        <w:t xml:space="preserve">Every child matters: Increasing Consistency of Quality Learning in every classroom so that learning growth is maximized for every child is central to teacher actions. </w:t>
      </w:r>
      <w:r w:rsidRPr="00C04943">
        <w:rPr>
          <w:iCs/>
        </w:rPr>
        <w:t xml:space="preserve">Turner is </w:t>
      </w:r>
      <w:r w:rsidRPr="00EC5E2C">
        <w:t xml:space="preserve">refining implementation of effective practice and responding to multiple sources of data. Staff are learning more about curriculum and pedagogy through their own cycles of inquiry and inspiring opportunities for learning. </w:t>
      </w:r>
      <w:r w:rsidR="00C04943">
        <w:t>Accessing</w:t>
      </w:r>
      <w:r w:rsidR="00E764FC" w:rsidRPr="00EC5E2C">
        <w:t xml:space="preserve"> multiple sources of data deepened understanding of impact</w:t>
      </w:r>
      <w:r w:rsidR="00C04943">
        <w:t xml:space="preserve"> and</w:t>
      </w:r>
      <w:r w:rsidR="00E764FC" w:rsidRPr="00EC5E2C">
        <w:t xml:space="preserve"> strengthened </w:t>
      </w:r>
      <w:r w:rsidR="00EC5E2C" w:rsidRPr="00EC5E2C">
        <w:t>collective</w:t>
      </w:r>
      <w:r w:rsidR="00E764FC" w:rsidRPr="00EC5E2C">
        <w:t xml:space="preserve"> capacity to identify high impact teaching strategies for all </w:t>
      </w:r>
      <w:r w:rsidR="00C04943">
        <w:t>to</w:t>
      </w:r>
      <w:r w:rsidR="00E764FC" w:rsidRPr="00EC5E2C">
        <w:t xml:space="preserve"> land closer to the point of stretch/intervention for every child.</w:t>
      </w:r>
    </w:p>
    <w:p w14:paraId="13299E2E" w14:textId="17273995" w:rsidR="007F3843" w:rsidRPr="00EC5E2C" w:rsidRDefault="007F3843" w:rsidP="007A1200">
      <w:pPr>
        <w:pStyle w:val="ListParagraph"/>
        <w:numPr>
          <w:ilvl w:val="0"/>
          <w:numId w:val="2"/>
        </w:numPr>
        <w:spacing w:after="0" w:line="276" w:lineRule="auto"/>
        <w:jc w:val="both"/>
      </w:pPr>
      <w:r w:rsidRPr="00EC5E2C">
        <w:rPr>
          <w:i/>
        </w:rPr>
        <w:t xml:space="preserve">Turner staff collaborate between and amongst teachers, students, school leaders and community: </w:t>
      </w:r>
      <w:r w:rsidRPr="00EC5E2C">
        <w:t>Collective and growing expertise at Turner strengthens the school’s ability to</w:t>
      </w:r>
      <w:r w:rsidR="006D2755" w:rsidRPr="00EC5E2C">
        <w:t xml:space="preserve"> use the expertise in team</w:t>
      </w:r>
      <w:r w:rsidR="00EC5E2C" w:rsidRPr="00EC5E2C">
        <w:t xml:space="preserve">s to </w:t>
      </w:r>
      <w:r w:rsidRPr="00EC5E2C">
        <w:t>personali</w:t>
      </w:r>
      <w:r w:rsidR="00EC5E2C" w:rsidRPr="00EC5E2C">
        <w:t>s</w:t>
      </w:r>
      <w:r w:rsidRPr="00EC5E2C">
        <w:t xml:space="preserve">e learning for every child and actions align </w:t>
      </w:r>
      <w:r w:rsidR="00C17264" w:rsidRPr="00EC5E2C">
        <w:t xml:space="preserve">strongly </w:t>
      </w:r>
      <w:r w:rsidRPr="00EC5E2C">
        <w:t xml:space="preserve">with the Education Directorate’s Strategic culture that ‘people matter.’ Student feedback is highly valued as a source of improvement data for the school next steps in the improvement agenda. </w:t>
      </w:r>
    </w:p>
    <w:p w14:paraId="77576E82" w14:textId="77777777" w:rsidR="00E72B52" w:rsidRPr="00041262" w:rsidRDefault="00E72B52" w:rsidP="00A95299">
      <w:pPr>
        <w:pStyle w:val="ListParagraph"/>
        <w:spacing w:after="0" w:line="276" w:lineRule="auto"/>
        <w:jc w:val="both"/>
      </w:pPr>
    </w:p>
    <w:p w14:paraId="1679C8B3" w14:textId="77777777" w:rsidR="00F80C49" w:rsidRDefault="00F80C49" w:rsidP="00A95299">
      <w:pPr>
        <w:pStyle w:val="Heading2"/>
        <w:ind w:left="0" w:firstLine="0"/>
        <w:jc w:val="both"/>
        <w:sectPr w:rsidR="00F80C49" w:rsidSect="00A95299">
          <w:headerReference w:type="default" r:id="rId9"/>
          <w:footerReference w:type="default" r:id="rId10"/>
          <w:headerReference w:type="first" r:id="rId11"/>
          <w:pgSz w:w="11906" w:h="16838"/>
          <w:pgMar w:top="720" w:right="720" w:bottom="720" w:left="720" w:header="708" w:footer="708" w:gutter="0"/>
          <w:cols w:space="708"/>
          <w:docGrid w:linePitch="360"/>
        </w:sectPr>
      </w:pPr>
    </w:p>
    <w:p w14:paraId="0CBDE7CA" w14:textId="3A8EE1D0" w:rsidR="00B10319" w:rsidRPr="00B10319" w:rsidRDefault="00B10319" w:rsidP="00A95299">
      <w:pPr>
        <w:pStyle w:val="Heading2"/>
        <w:jc w:val="both"/>
      </w:pPr>
      <w:r w:rsidRPr="00B10319">
        <w:t xml:space="preserve">Education Directorate </w:t>
      </w:r>
      <w:r w:rsidR="007B0189">
        <w:t>S</w:t>
      </w:r>
      <w:r w:rsidRPr="00B10319">
        <w:t xml:space="preserve">trategic </w:t>
      </w:r>
      <w:r w:rsidR="007B0189">
        <w:t>I</w:t>
      </w:r>
      <w:r w:rsidRPr="00B10319">
        <w:t>ndicator 2018-2021</w:t>
      </w:r>
    </w:p>
    <w:p w14:paraId="00CB48B2" w14:textId="70F82FC9" w:rsidR="00300F72" w:rsidRDefault="00B10319" w:rsidP="00A95299">
      <w:pPr>
        <w:pStyle w:val="BodyText"/>
        <w:jc w:val="both"/>
      </w:pPr>
      <w:r w:rsidRPr="009B454E">
        <w:rPr>
          <w:i/>
        </w:rPr>
        <w:t>To centre teaching and learning around students as individuals</w:t>
      </w:r>
    </w:p>
    <w:p w14:paraId="200F6B8B" w14:textId="4DE8F2BF" w:rsidR="0093040B" w:rsidRDefault="00300F72" w:rsidP="00A95299">
      <w:pPr>
        <w:pStyle w:val="BodyText"/>
        <w:jc w:val="both"/>
      </w:pPr>
      <w:r w:rsidRPr="00A95299">
        <w:rPr>
          <w:b/>
        </w:rPr>
        <w:t>In 20</w:t>
      </w:r>
      <w:r w:rsidR="00446476">
        <w:rPr>
          <w:b/>
        </w:rPr>
        <w:t>20</w:t>
      </w:r>
      <w:r w:rsidRPr="00A95299">
        <w:rPr>
          <w:b/>
        </w:rPr>
        <w:t xml:space="preserve"> our school supported this </w:t>
      </w:r>
      <w:r w:rsidR="00E14A54" w:rsidRPr="00A95299">
        <w:rPr>
          <w:b/>
        </w:rPr>
        <w:t>S</w:t>
      </w:r>
      <w:r w:rsidRPr="00A95299">
        <w:rPr>
          <w:b/>
        </w:rPr>
        <w:t xml:space="preserve">trategic </w:t>
      </w:r>
      <w:r w:rsidR="00E14A54" w:rsidRPr="00A95299">
        <w:rPr>
          <w:b/>
        </w:rPr>
        <w:t>I</w:t>
      </w:r>
      <w:r w:rsidRPr="00A95299">
        <w:rPr>
          <w:b/>
        </w:rPr>
        <w:t xml:space="preserve">ndicator through – Priority </w:t>
      </w:r>
      <w:r w:rsidR="007F3843" w:rsidRPr="00A95299">
        <w:rPr>
          <w:b/>
        </w:rPr>
        <w:t>1 and 2</w:t>
      </w:r>
      <w:r w:rsidRPr="00A95299">
        <w:rPr>
          <w:b/>
        </w:rPr>
        <w:t xml:space="preserve"> (see reporting for detail):</w:t>
      </w:r>
    </w:p>
    <w:p w14:paraId="0DF08E36" w14:textId="57623DAF" w:rsidR="00EB1DE5" w:rsidRPr="006A50F0" w:rsidRDefault="00EB1DE5" w:rsidP="00A95299">
      <w:pPr>
        <w:pStyle w:val="ListBullet"/>
        <w:jc w:val="both"/>
      </w:pPr>
      <w:r w:rsidRPr="006A50F0">
        <w:t>Turner</w:t>
      </w:r>
      <w:r w:rsidR="006A50F0" w:rsidRPr="006A50F0">
        <w:t xml:space="preserve">’s active School Improvement Team in 2020 expanded to provide leadership opportunities for teachers related to whole school improvement and embedded a culture of action learning in processes for designing and achieving actions in the plan. </w:t>
      </w:r>
      <w:r w:rsidRPr="006A50F0">
        <w:t xml:space="preserve"> The role of the </w:t>
      </w:r>
      <w:r w:rsidR="00C17264" w:rsidRPr="006A50F0">
        <w:t>S</w:t>
      </w:r>
      <w:r w:rsidRPr="006A50F0">
        <w:t xml:space="preserve">chool </w:t>
      </w:r>
      <w:r w:rsidR="00C17264" w:rsidRPr="006A50F0">
        <w:t>I</w:t>
      </w:r>
      <w:r w:rsidRPr="006A50F0">
        <w:t xml:space="preserve">mprovement </w:t>
      </w:r>
      <w:r w:rsidR="006A50F0" w:rsidRPr="006A50F0">
        <w:t xml:space="preserve">Team </w:t>
      </w:r>
      <w:r w:rsidRPr="006A50F0">
        <w:t xml:space="preserve">was further </w:t>
      </w:r>
      <w:r w:rsidR="006D2755" w:rsidRPr="006A50F0">
        <w:t>strengthened across</w:t>
      </w:r>
      <w:r w:rsidRPr="006A50F0">
        <w:t xml:space="preserve"> the school </w:t>
      </w:r>
      <w:r w:rsidR="00E772D0" w:rsidRPr="006A50F0">
        <w:t xml:space="preserve">through </w:t>
      </w:r>
      <w:r w:rsidR="006A50F0" w:rsidRPr="006A50F0">
        <w:t>embedding the</w:t>
      </w:r>
      <w:r w:rsidRPr="006A50F0">
        <w:t xml:space="preserve"> ‘Multiple Sources of Data’ document to support the leading of data discussions in year group teams, </w:t>
      </w:r>
      <w:r w:rsidR="006A50F0" w:rsidRPr="006A50F0">
        <w:t xml:space="preserve">case management meetings, </w:t>
      </w:r>
      <w:r w:rsidRPr="006A50F0">
        <w:t>school improvement</w:t>
      </w:r>
      <w:r w:rsidR="006A50F0" w:rsidRPr="006A50F0">
        <w:t xml:space="preserve"> </w:t>
      </w:r>
      <w:r w:rsidR="00C04943" w:rsidRPr="006A50F0">
        <w:t>forums</w:t>
      </w:r>
      <w:r w:rsidR="006A50F0" w:rsidRPr="006A50F0">
        <w:t xml:space="preserve"> and </w:t>
      </w:r>
      <w:r w:rsidRPr="006A50F0">
        <w:t xml:space="preserve">at staff </w:t>
      </w:r>
      <w:r w:rsidR="006A50F0" w:rsidRPr="006A50F0">
        <w:t>meetings</w:t>
      </w:r>
      <w:r w:rsidRPr="006A50F0">
        <w:t xml:space="preserve">. The School Improvement Committee consisted of the 7 executive team members, the 2 staff Board representatives and </w:t>
      </w:r>
      <w:r w:rsidR="006A50F0" w:rsidRPr="006A50F0">
        <w:t xml:space="preserve">10 </w:t>
      </w:r>
      <w:r w:rsidRPr="006A50F0">
        <w:t>other teachers, from across teaching teams, who volunteered to be on the committee making it a group of 1</w:t>
      </w:r>
      <w:r w:rsidR="006A50F0" w:rsidRPr="006A50F0">
        <w:t>9</w:t>
      </w:r>
      <w:r w:rsidRPr="006A50F0">
        <w:t xml:space="preserve"> for 20</w:t>
      </w:r>
      <w:r w:rsidR="006A50F0" w:rsidRPr="006A50F0">
        <w:t>20</w:t>
      </w:r>
      <w:r w:rsidRPr="006A50F0">
        <w:t>.</w:t>
      </w:r>
    </w:p>
    <w:p w14:paraId="608C61B1" w14:textId="24BEC4C7" w:rsidR="00EB1DE5" w:rsidRPr="00030D87" w:rsidRDefault="00EB1DE5" w:rsidP="00A95299">
      <w:pPr>
        <w:pStyle w:val="ListBullet"/>
        <w:jc w:val="both"/>
      </w:pPr>
      <w:r w:rsidRPr="008C4BDC">
        <w:t xml:space="preserve"> </w:t>
      </w:r>
      <w:r w:rsidR="00030D87" w:rsidRPr="00030D87">
        <w:t>School</w:t>
      </w:r>
      <w:r w:rsidRPr="00030D87">
        <w:t xml:space="preserve"> improvement and </w:t>
      </w:r>
      <w:r w:rsidR="006A50F0" w:rsidRPr="00030D87">
        <w:t xml:space="preserve">high </w:t>
      </w:r>
      <w:r w:rsidRPr="00030D87">
        <w:t>student achievement is seen as a normal part of the school’s ongoing learning and work</w:t>
      </w:r>
      <w:r w:rsidR="00030D87" w:rsidRPr="00030D87">
        <w:t>. The</w:t>
      </w:r>
      <w:r w:rsidRPr="00030D87">
        <w:t xml:space="preserve"> meeting schedule for each term in 20</w:t>
      </w:r>
      <w:r w:rsidR="006A50F0" w:rsidRPr="00030D87">
        <w:t>20</w:t>
      </w:r>
      <w:r w:rsidRPr="00030D87">
        <w:t xml:space="preserve"> saw </w:t>
      </w:r>
      <w:r w:rsidR="00C04943">
        <w:t>two</w:t>
      </w:r>
      <w:r w:rsidRPr="00030D87">
        <w:t xml:space="preserve"> School Improvement Committee meetings and at least </w:t>
      </w:r>
      <w:r w:rsidR="00C04943">
        <w:t>two</w:t>
      </w:r>
      <w:r w:rsidRPr="00030D87">
        <w:t xml:space="preserve"> staff meetings scheduled to discuss and respond to the Annual Action Plan. </w:t>
      </w:r>
      <w:r w:rsidR="007E7BD2" w:rsidRPr="00030D87">
        <w:t>Curriculum committees and teaching teams also met across each te</w:t>
      </w:r>
      <w:r w:rsidR="00C04943">
        <w:t>r</w:t>
      </w:r>
      <w:r w:rsidR="007E7BD2" w:rsidRPr="00030D87">
        <w:t xml:space="preserve">m with a focus on implementing actions from the AAP. </w:t>
      </w:r>
      <w:r w:rsidRPr="00030D87">
        <w:t>At every Board and P&amp;C meeting the principal presented a written and verbal report that included a standing item on school improvement</w:t>
      </w:r>
      <w:r w:rsidR="006A50F0" w:rsidRPr="00030D87">
        <w:t xml:space="preserve"> where current achievement against the actions were discussed</w:t>
      </w:r>
      <w:r w:rsidRPr="00030D87">
        <w:t xml:space="preserve">. Each term newsletters had a featured column on school improvement, providing families the details of the actions within each of the two priorities and the impact of our work. </w:t>
      </w:r>
    </w:p>
    <w:p w14:paraId="048CA65C" w14:textId="5D1FB67B" w:rsidR="00EB1DE5" w:rsidRPr="00030D87" w:rsidRDefault="00EB1DE5" w:rsidP="00A95299">
      <w:pPr>
        <w:pStyle w:val="ListBullet"/>
        <w:jc w:val="both"/>
      </w:pPr>
      <w:r w:rsidRPr="00030D87">
        <w:t xml:space="preserve">The data drawn upon for this report includes data generated and discussed through Turner’s Multiple Sources of Data reflections involving analysis of Student Learning Data, School Processes Data, Demographic Data and Perception Data. Student learning data included assessments such as </w:t>
      </w:r>
      <w:r w:rsidR="00030D87" w:rsidRPr="00030D87">
        <w:t>BASE,</w:t>
      </w:r>
      <w:r w:rsidRPr="00030D87">
        <w:t xml:space="preserve"> reading benchmarks, writing maps, work samples and team-based analysis of student assessments of their growth in using learning dispositions. School processes data included analysis of processes such as coaching reflections, achievement of individual student learning goals, staff expertise surveys</w:t>
      </w:r>
      <w:r w:rsidR="007E7BD2" w:rsidRPr="00030D87">
        <w:t xml:space="preserve"> and audits</w:t>
      </w:r>
      <w:r w:rsidRPr="00030D87">
        <w:t xml:space="preserve">, learning walks, parent and community engagement numbers and teacher Action Learning Sets. Demographic data centred on discussing results from Nationally Consistent Collection of Data (knowing the individual adaptions and supports needed for students with learning differences, disabilities or complex needs), early childhood vulnerability data (AECD) and English as </w:t>
      </w:r>
      <w:r w:rsidR="006D2755" w:rsidRPr="00030D87">
        <w:t xml:space="preserve">Another </w:t>
      </w:r>
      <w:r w:rsidRPr="00030D87">
        <w:t xml:space="preserve">Language or Dialect student numbers. Perception data was gathered through opportunities such as School Satisfaction Surveys, student forums, </w:t>
      </w:r>
      <w:r w:rsidR="00C04943">
        <w:t>A</w:t>
      </w:r>
      <w:r w:rsidRPr="00030D87">
        <w:t xml:space="preserve">ction </w:t>
      </w:r>
      <w:r w:rsidR="00C04943">
        <w:t>L</w:t>
      </w:r>
      <w:r w:rsidRPr="00030D87">
        <w:t xml:space="preserve">earning </w:t>
      </w:r>
      <w:r w:rsidR="00C04943">
        <w:t>W</w:t>
      </w:r>
      <w:r w:rsidRPr="00030D87">
        <w:t xml:space="preserve">alk reflections and collation of common feedback in parent/teacher/leadership meetings, phone calls or emails. </w:t>
      </w: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6410208B" w14:textId="773D6964" w:rsidR="004A2265" w:rsidRDefault="00837137" w:rsidP="004A2265">
      <w:pPr>
        <w:pStyle w:val="Heading2"/>
      </w:pPr>
      <w:bookmarkStart w:id="1" w:name="_Hlk32493995"/>
      <w:r w:rsidRPr="000F0410">
        <w:t>Priority 1:</w:t>
      </w:r>
      <w:r w:rsidRPr="000F0410">
        <w:rPr>
          <w:color w:val="auto"/>
        </w:rPr>
        <w:tab/>
      </w:r>
      <w:r w:rsidR="004A2265">
        <w:t xml:space="preserve">Maximise the growth in learning for every student </w:t>
      </w:r>
    </w:p>
    <w:bookmarkEnd w:id="1"/>
    <w:p w14:paraId="59BD6556" w14:textId="77777777" w:rsidR="004A2265" w:rsidRDefault="004A2265" w:rsidP="004A2265">
      <w:pPr>
        <w:pStyle w:val="Heading3"/>
      </w:pPr>
      <w:r>
        <w:t>Targets</w:t>
      </w:r>
    </w:p>
    <w:p w14:paraId="51E58336" w14:textId="77777777" w:rsidR="004A2265" w:rsidRDefault="004A2265" w:rsidP="007A1200">
      <w:pPr>
        <w:numPr>
          <w:ilvl w:val="1"/>
          <w:numId w:val="5"/>
        </w:numPr>
        <w:spacing w:after="200" w:line="276" w:lineRule="auto"/>
        <w:jc w:val="both"/>
      </w:pPr>
      <w:r>
        <w:t>Increase in the percentage of mainstream K-3 students achieving at or above the ACT ED Benchmark Reading range from end 2016 data by 2 percentage points</w:t>
      </w:r>
    </w:p>
    <w:p w14:paraId="6CE788D4" w14:textId="77777777" w:rsidR="004A2265" w:rsidRDefault="004A2265" w:rsidP="007A1200">
      <w:pPr>
        <w:numPr>
          <w:ilvl w:val="1"/>
          <w:numId w:val="5"/>
        </w:numPr>
        <w:spacing w:after="200" w:line="276" w:lineRule="auto"/>
        <w:jc w:val="both"/>
      </w:pPr>
      <w:r>
        <w:t>Increase in the percentage of mainstream students achieving the expected achievement level or above on the Turner School Place Value assessment from end 2016 data by 2 percentage points for each year level K-6</w:t>
      </w:r>
    </w:p>
    <w:p w14:paraId="09792188" w14:textId="77777777" w:rsidR="004A2265" w:rsidRDefault="004A2265" w:rsidP="007A1200">
      <w:pPr>
        <w:numPr>
          <w:ilvl w:val="1"/>
          <w:numId w:val="5"/>
        </w:numPr>
        <w:spacing w:after="200" w:line="276" w:lineRule="auto"/>
        <w:jc w:val="both"/>
      </w:pPr>
      <w:r>
        <w:t>Increase in the percentage of students who demonstrate growth over a school year using the ABLES English: Reading and Writing assessment tool (2016 78% demonstrated growth)</w:t>
      </w:r>
    </w:p>
    <w:p w14:paraId="07082345" w14:textId="77777777" w:rsidR="004A2265" w:rsidRDefault="004A2265" w:rsidP="007A1200">
      <w:pPr>
        <w:numPr>
          <w:ilvl w:val="1"/>
          <w:numId w:val="5"/>
        </w:numPr>
        <w:spacing w:after="200" w:line="276" w:lineRule="auto"/>
        <w:jc w:val="both"/>
      </w:pPr>
      <w:r>
        <w:t>Increase in the percentage of students achieving at or above the expected growth in PIPS reading and number by 2 percentage points from the 2016 figures of Reading 81% and Number 92%</w:t>
      </w:r>
    </w:p>
    <w:p w14:paraId="5E3DBEC5" w14:textId="77777777" w:rsidR="004A2265" w:rsidRDefault="004A2265" w:rsidP="007A1200">
      <w:pPr>
        <w:numPr>
          <w:ilvl w:val="1"/>
          <w:numId w:val="5"/>
        </w:numPr>
        <w:spacing w:after="200" w:line="276" w:lineRule="auto"/>
        <w:jc w:val="both"/>
      </w:pPr>
      <w:r>
        <w:t>Increase in the percentage of students in year 5 making equal to or greater than expected growth in NAPLAN reading, writing and numeracy by 5 percentage points from the 2016 growth data</w:t>
      </w:r>
    </w:p>
    <w:p w14:paraId="01CC67F5" w14:textId="77777777" w:rsidR="004A2265" w:rsidRDefault="004A2265" w:rsidP="007A1200">
      <w:pPr>
        <w:numPr>
          <w:ilvl w:val="1"/>
          <w:numId w:val="5"/>
        </w:numPr>
        <w:spacing w:after="200" w:line="276" w:lineRule="auto"/>
        <w:jc w:val="both"/>
      </w:pPr>
      <w:r>
        <w:t>Increase in the percentage of mainstream students achieving in the top two bands for year 3 NAPLAN reading, writing, numeracy by 3 percentage points from 2016 NAPLAN data</w:t>
      </w:r>
    </w:p>
    <w:p w14:paraId="19BCD40F" w14:textId="4414B446" w:rsidR="004A2265" w:rsidRDefault="004A2265" w:rsidP="007A1200">
      <w:pPr>
        <w:numPr>
          <w:ilvl w:val="1"/>
          <w:numId w:val="5"/>
        </w:numPr>
        <w:spacing w:after="200" w:line="276" w:lineRule="auto"/>
        <w:jc w:val="both"/>
      </w:pPr>
      <w:r>
        <w:t xml:space="preserve">Increase in parent agreement to 85% of the System Satisfaction Survey question </w:t>
      </w:r>
      <w:r w:rsidR="00E772D0">
        <w:t>“</w:t>
      </w:r>
      <w:r>
        <w:t>This school works with me to support my child’s learning” from 2016 parent figures of 81%</w:t>
      </w:r>
    </w:p>
    <w:p w14:paraId="6954C528" w14:textId="67958405" w:rsidR="00A47E7B" w:rsidRDefault="00A47E7B" w:rsidP="007A1200">
      <w:pPr>
        <w:numPr>
          <w:ilvl w:val="1"/>
          <w:numId w:val="5"/>
        </w:numPr>
        <w:spacing w:after="200" w:line="276" w:lineRule="auto"/>
        <w:jc w:val="both"/>
      </w:pPr>
      <w:r>
        <w:t>Increase in student agreement to 90% in the System Satisfaction Survey question “Teachers at the school provide students with useful feedback about their schoolwork” from 2016 student figures of 87%</w:t>
      </w:r>
    </w:p>
    <w:p w14:paraId="6C81E10C" w14:textId="2A3D0E52" w:rsidR="004A2265" w:rsidRDefault="00B444E0" w:rsidP="004A2265">
      <w:pPr>
        <w:pStyle w:val="Heading3"/>
        <w:spacing w:before="0"/>
      </w:pPr>
      <w:bookmarkStart w:id="2" w:name="_Hlk26091941"/>
      <w:r>
        <w:t>Pr</w:t>
      </w:r>
      <w:r w:rsidR="004A2265">
        <w:t>ogress</w:t>
      </w:r>
    </w:p>
    <w:p w14:paraId="4DA388A9" w14:textId="7CB57714" w:rsidR="004A2265" w:rsidRDefault="004A2265" w:rsidP="004A2265">
      <w:pPr>
        <w:widowControl w:val="0"/>
        <w:pBdr>
          <w:top w:val="nil"/>
          <w:left w:val="nil"/>
          <w:bottom w:val="nil"/>
          <w:right w:val="nil"/>
          <w:between w:val="nil"/>
        </w:pBdr>
        <w:spacing w:after="240" w:line="240" w:lineRule="auto"/>
        <w:rPr>
          <w:color w:val="000000"/>
        </w:rPr>
      </w:pPr>
      <w:r>
        <w:rPr>
          <w:color w:val="000000"/>
        </w:rPr>
        <w:t>The following tables indicate the 20</w:t>
      </w:r>
      <w:r w:rsidR="00A35372">
        <w:rPr>
          <w:color w:val="000000"/>
        </w:rPr>
        <w:t xml:space="preserve">20 </w:t>
      </w:r>
      <w:r>
        <w:rPr>
          <w:color w:val="000000"/>
        </w:rPr>
        <w:t>percentage for each target against the 2016 baseline.</w:t>
      </w:r>
    </w:p>
    <w:tbl>
      <w:tblPr>
        <w:tblW w:w="7920" w:type="dxa"/>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4"/>
        <w:gridCol w:w="924"/>
        <w:gridCol w:w="924"/>
        <w:gridCol w:w="923"/>
        <w:gridCol w:w="923"/>
        <w:gridCol w:w="923"/>
        <w:gridCol w:w="923"/>
        <w:gridCol w:w="1456"/>
      </w:tblGrid>
      <w:tr w:rsidR="00B444E0" w:rsidRPr="00B444E0" w14:paraId="16719A0D" w14:textId="77777777" w:rsidTr="00B444E0">
        <w:trPr>
          <w:trHeight w:val="540"/>
        </w:trPr>
        <w:tc>
          <w:tcPr>
            <w:tcW w:w="646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bookmarkEnd w:id="2"/>
          <w:p w14:paraId="4D1BFF4F" w14:textId="77777777" w:rsidR="00B444E0" w:rsidRPr="00B444E0" w:rsidRDefault="00B444E0" w:rsidP="00AC480C">
            <w:pPr>
              <w:pStyle w:val="NoSpacing"/>
            </w:pPr>
            <w:r w:rsidRPr="00B444E0">
              <w:t xml:space="preserve">Percentage of mainstream K-3 students </w:t>
            </w:r>
            <w:r w:rsidRPr="00B444E0">
              <w:rPr>
                <w:b/>
              </w:rPr>
              <w:t>achieving at or above</w:t>
            </w:r>
            <w:r w:rsidRPr="00B444E0">
              <w:t xml:space="preserve"> the ACT ED Benchmark Reading range</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1E4753" w14:textId="77777777" w:rsidR="00B444E0" w:rsidRPr="00B444E0" w:rsidRDefault="00B444E0" w:rsidP="00AC480C">
            <w:pPr>
              <w:pStyle w:val="NoSpacing"/>
            </w:pPr>
            <w:r w:rsidRPr="00B444E0">
              <w:t>Target</w:t>
            </w:r>
          </w:p>
          <w:p w14:paraId="12A31BE3" w14:textId="77777777" w:rsidR="00B444E0" w:rsidRPr="00B444E0" w:rsidRDefault="00B444E0" w:rsidP="00AC480C">
            <w:pPr>
              <w:pStyle w:val="NoSpacing"/>
            </w:pPr>
            <w:r w:rsidRPr="00B444E0">
              <w:t>Achievement</w:t>
            </w:r>
          </w:p>
        </w:tc>
      </w:tr>
      <w:tr w:rsidR="00B444E0" w:rsidRPr="00B444E0" w14:paraId="63D8B51C" w14:textId="77777777" w:rsidTr="00A40C43">
        <w:trPr>
          <w:trHeight w:val="640"/>
        </w:trPr>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2F9C3F" w14:textId="77777777" w:rsidR="00B444E0" w:rsidRPr="00B444E0" w:rsidRDefault="00B444E0" w:rsidP="00AC480C">
            <w:pPr>
              <w:pStyle w:val="NoSpacing"/>
            </w:pPr>
            <w:r w:rsidRPr="00B444E0">
              <w:t>Year level</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89E738" w14:textId="77777777" w:rsidR="00B444E0" w:rsidRPr="00B444E0" w:rsidRDefault="00B444E0" w:rsidP="00AC480C">
            <w:pPr>
              <w:pStyle w:val="NoSpacing"/>
            </w:pPr>
            <w:r w:rsidRPr="00B444E0">
              <w:t>2016</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780A03" w14:textId="77777777" w:rsidR="00B444E0" w:rsidRPr="00B444E0" w:rsidRDefault="00B444E0" w:rsidP="00AC480C">
            <w:pPr>
              <w:pStyle w:val="NoSpacing"/>
            </w:pPr>
            <w:r w:rsidRPr="00B444E0">
              <w:t>2017</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24F78C" w14:textId="77777777" w:rsidR="00B444E0" w:rsidRPr="00B444E0" w:rsidRDefault="00B444E0" w:rsidP="00AC480C">
            <w:pPr>
              <w:pStyle w:val="NoSpacing"/>
            </w:pPr>
            <w:r w:rsidRPr="00B444E0">
              <w:t>2018</w:t>
            </w:r>
          </w:p>
        </w:tc>
        <w:tc>
          <w:tcPr>
            <w:tcW w:w="923" w:type="dxa"/>
            <w:tcBorders>
              <w:top w:val="single" w:sz="4" w:space="0" w:color="000000"/>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14:paraId="0A398EBA" w14:textId="77777777" w:rsidR="00B444E0" w:rsidRPr="00B444E0" w:rsidRDefault="00B444E0" w:rsidP="00AC480C">
            <w:pPr>
              <w:pStyle w:val="NoSpacing"/>
            </w:pPr>
            <w:r w:rsidRPr="00B444E0">
              <w:t>2019</w:t>
            </w:r>
          </w:p>
        </w:tc>
        <w:tc>
          <w:tcPr>
            <w:tcW w:w="923" w:type="dxa"/>
            <w:tcBorders>
              <w:top w:val="single" w:sz="4" w:space="0" w:color="000000"/>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14:paraId="5D253961" w14:textId="77777777" w:rsidR="00B444E0" w:rsidRPr="00B444E0" w:rsidRDefault="00B444E0" w:rsidP="00AC480C">
            <w:pPr>
              <w:pStyle w:val="NoSpacing"/>
            </w:pPr>
            <w:r w:rsidRPr="00B444E0">
              <w:t>2020</w:t>
            </w:r>
          </w:p>
        </w:tc>
        <w:tc>
          <w:tcPr>
            <w:tcW w:w="923" w:type="dxa"/>
            <w:tcBorders>
              <w:top w:val="single" w:sz="4" w:space="0" w:color="000000"/>
              <w:left w:val="single" w:sz="4" w:space="0" w:color="000000"/>
              <w:bottom w:val="single" w:sz="6" w:space="0" w:color="000000"/>
              <w:right w:val="single" w:sz="4" w:space="0" w:color="000000"/>
            </w:tcBorders>
            <w:shd w:val="clear" w:color="auto" w:fill="auto"/>
            <w:tcMar>
              <w:top w:w="100" w:type="dxa"/>
              <w:left w:w="100" w:type="dxa"/>
              <w:bottom w:w="100" w:type="dxa"/>
              <w:right w:w="100" w:type="dxa"/>
            </w:tcMar>
          </w:tcPr>
          <w:p w14:paraId="781726D6" w14:textId="77777777" w:rsidR="00B444E0" w:rsidRPr="00B444E0" w:rsidRDefault="00B444E0" w:rsidP="00AC480C">
            <w:pPr>
              <w:pStyle w:val="NoSpacing"/>
            </w:pPr>
            <w:r w:rsidRPr="00B444E0">
              <w:t>2021</w:t>
            </w:r>
          </w:p>
        </w:tc>
        <w:tc>
          <w:tcPr>
            <w:tcW w:w="1455"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2B39CF76" w14:textId="77777777" w:rsidR="00B444E0" w:rsidRPr="00B444E0" w:rsidRDefault="00B444E0" w:rsidP="00AC480C">
            <w:pPr>
              <w:pStyle w:val="NoSpacing"/>
              <w:rPr>
                <w:rFonts w:ascii="Times New Roman" w:eastAsia="Times New Roman" w:hAnsi="Times New Roman" w:cs="Times New Roman"/>
                <w:sz w:val="24"/>
                <w:szCs w:val="24"/>
              </w:rPr>
            </w:pPr>
          </w:p>
        </w:tc>
      </w:tr>
      <w:tr w:rsidR="00B444E0" w:rsidRPr="00B444E0" w14:paraId="705E2A4A" w14:textId="77777777" w:rsidTr="00A40C43">
        <w:trPr>
          <w:trHeight w:val="820"/>
        </w:trPr>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A8EBCF" w14:textId="77777777" w:rsidR="00B444E0" w:rsidRPr="00B444E0" w:rsidRDefault="00B444E0" w:rsidP="00AC480C">
            <w:pPr>
              <w:pStyle w:val="NoSpacing"/>
            </w:pPr>
            <w:r w:rsidRPr="00B444E0">
              <w:t>K</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6B289B" w14:textId="77777777" w:rsidR="00B444E0" w:rsidRPr="00B444E0" w:rsidRDefault="00B444E0" w:rsidP="00AC480C">
            <w:pPr>
              <w:pStyle w:val="NoSpacing"/>
            </w:pPr>
            <w:r w:rsidRPr="00B444E0">
              <w:t>77%</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01BC4B" w14:textId="77777777" w:rsidR="00B444E0" w:rsidRPr="00B444E0" w:rsidRDefault="00B444E0" w:rsidP="00AC480C">
            <w:pPr>
              <w:pStyle w:val="NoSpacing"/>
            </w:pPr>
            <w:r w:rsidRPr="00B444E0">
              <w:t>75.5%</w:t>
            </w:r>
          </w:p>
        </w:tc>
        <w:tc>
          <w:tcPr>
            <w:tcW w:w="923"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tcPr>
          <w:p w14:paraId="59A157FF" w14:textId="77777777" w:rsidR="00B444E0" w:rsidRPr="00B444E0" w:rsidRDefault="00B444E0" w:rsidP="00AC480C">
            <w:pPr>
              <w:pStyle w:val="NoSpacing"/>
            </w:pPr>
            <w:r w:rsidRPr="00B444E0">
              <w:t>83%</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B9A7CF" w14:textId="54BC3E91" w:rsidR="00B444E0" w:rsidRPr="00A40C43" w:rsidRDefault="00A47E7B" w:rsidP="00AC480C">
            <w:pPr>
              <w:pStyle w:val="NoSpacing"/>
            </w:pPr>
            <w:r w:rsidRPr="00A40C43">
              <w:t>87%</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675F53" w14:textId="4F87117A" w:rsidR="00B444E0" w:rsidRPr="00A40C43" w:rsidRDefault="008457C3" w:rsidP="00AC480C">
            <w:pPr>
              <w:pStyle w:val="NoSpacing"/>
            </w:pPr>
            <w:r w:rsidRPr="00A40C43">
              <w:t>60%</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C0FD04" w14:textId="77777777" w:rsidR="00B444E0" w:rsidRPr="00A40C43" w:rsidRDefault="00B444E0" w:rsidP="00AC480C">
            <w:pPr>
              <w:pStyle w:val="NoSpacing"/>
            </w:pPr>
          </w:p>
        </w:tc>
        <w:tc>
          <w:tcPr>
            <w:tcW w:w="145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tcPr>
          <w:p w14:paraId="64B78B0C" w14:textId="01006451" w:rsidR="00B444E0" w:rsidRPr="00B444E0" w:rsidRDefault="00ED438F" w:rsidP="00AC480C">
            <w:pPr>
              <w:pStyle w:val="NoSpacing"/>
              <w:rPr>
                <w:sz w:val="24"/>
                <w:szCs w:val="24"/>
              </w:rPr>
            </w:pPr>
            <w:r>
              <w:rPr>
                <w:sz w:val="24"/>
                <w:szCs w:val="24"/>
              </w:rPr>
              <w:t>In progress</w:t>
            </w:r>
          </w:p>
        </w:tc>
      </w:tr>
      <w:tr w:rsidR="00B444E0" w:rsidRPr="00B444E0" w14:paraId="5DA39F00" w14:textId="77777777" w:rsidTr="00A40C43">
        <w:trPr>
          <w:trHeight w:val="820"/>
        </w:trPr>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895E67" w14:textId="77777777" w:rsidR="00B444E0" w:rsidRPr="00B444E0" w:rsidRDefault="00B444E0" w:rsidP="00AC480C">
            <w:pPr>
              <w:pStyle w:val="NoSpacing"/>
            </w:pPr>
            <w:r w:rsidRPr="00B444E0">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F789A2" w14:textId="77777777" w:rsidR="00B444E0" w:rsidRPr="00B444E0" w:rsidRDefault="00B444E0" w:rsidP="00AC480C">
            <w:pPr>
              <w:pStyle w:val="NoSpacing"/>
            </w:pPr>
            <w:r w:rsidRPr="00B444E0">
              <w:t>82%</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67DB21" w14:textId="77777777" w:rsidR="00B444E0" w:rsidRPr="00B444E0" w:rsidRDefault="00B444E0" w:rsidP="00AC480C">
            <w:pPr>
              <w:pStyle w:val="NoSpacing"/>
            </w:pPr>
            <w:r w:rsidRPr="00B444E0">
              <w:t>74%</w:t>
            </w:r>
          </w:p>
        </w:tc>
        <w:tc>
          <w:tcPr>
            <w:tcW w:w="923"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tcPr>
          <w:p w14:paraId="654E3B35" w14:textId="77777777" w:rsidR="00B444E0" w:rsidRPr="00B444E0" w:rsidRDefault="00B444E0" w:rsidP="00AC480C">
            <w:pPr>
              <w:pStyle w:val="NoSpacing"/>
            </w:pPr>
            <w:r w:rsidRPr="00B444E0">
              <w:t>80%</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423F45" w14:textId="50A55AAF" w:rsidR="00B444E0" w:rsidRPr="00A40C43" w:rsidRDefault="00A47E7B" w:rsidP="00AC480C">
            <w:pPr>
              <w:pStyle w:val="NoSpacing"/>
            </w:pPr>
            <w:r w:rsidRPr="00A40C43">
              <w:t>77%</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81EA78" w14:textId="399096C8" w:rsidR="00B444E0" w:rsidRPr="00A40C43" w:rsidRDefault="00836214" w:rsidP="00AC480C">
            <w:pPr>
              <w:pStyle w:val="NoSpacing"/>
            </w:pPr>
            <w:r w:rsidRPr="00A40C43">
              <w:t>75%</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0CE478" w14:textId="77777777" w:rsidR="00B444E0" w:rsidRPr="00A40C43" w:rsidRDefault="00B444E0" w:rsidP="00AC480C">
            <w:pPr>
              <w:pStyle w:val="NoSpacing"/>
            </w:pPr>
          </w:p>
        </w:tc>
        <w:tc>
          <w:tcPr>
            <w:tcW w:w="145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tcPr>
          <w:p w14:paraId="51A5B87E" w14:textId="77777777" w:rsidR="00B444E0" w:rsidRPr="00B444E0" w:rsidRDefault="00B444E0" w:rsidP="00AC480C">
            <w:pPr>
              <w:pStyle w:val="NoSpacing"/>
              <w:rPr>
                <w:sz w:val="24"/>
                <w:szCs w:val="24"/>
              </w:rPr>
            </w:pPr>
            <w:r w:rsidRPr="00B444E0">
              <w:rPr>
                <w:sz w:val="24"/>
                <w:szCs w:val="24"/>
              </w:rPr>
              <w:t>In progress</w:t>
            </w:r>
          </w:p>
        </w:tc>
      </w:tr>
      <w:tr w:rsidR="00B444E0" w:rsidRPr="00B444E0" w14:paraId="5A43DFF7" w14:textId="77777777" w:rsidTr="00A40C43">
        <w:trPr>
          <w:trHeight w:val="820"/>
        </w:trPr>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17AC0C" w14:textId="77777777" w:rsidR="00B444E0" w:rsidRPr="00B444E0" w:rsidRDefault="00B444E0" w:rsidP="00AC480C">
            <w:pPr>
              <w:pStyle w:val="NoSpacing"/>
            </w:pPr>
            <w:r w:rsidRPr="00B444E0">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303B86" w14:textId="77777777" w:rsidR="00B444E0" w:rsidRPr="00B444E0" w:rsidRDefault="00B444E0" w:rsidP="00AC480C">
            <w:pPr>
              <w:pStyle w:val="NoSpacing"/>
            </w:pPr>
            <w:r w:rsidRPr="00B444E0">
              <w:t>90%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68647C" w14:textId="77777777" w:rsidR="00B444E0" w:rsidRPr="00B444E0" w:rsidRDefault="00B444E0" w:rsidP="00AC480C">
            <w:pPr>
              <w:pStyle w:val="NoSpacing"/>
            </w:pPr>
            <w:r w:rsidRPr="00B444E0">
              <w:t>84%</w:t>
            </w:r>
          </w:p>
        </w:tc>
        <w:tc>
          <w:tcPr>
            <w:tcW w:w="923"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tcPr>
          <w:p w14:paraId="4CE3DCF6" w14:textId="77777777" w:rsidR="00B444E0" w:rsidRPr="00B444E0" w:rsidRDefault="00B444E0" w:rsidP="00AC480C">
            <w:pPr>
              <w:pStyle w:val="NoSpacing"/>
            </w:pPr>
            <w:r w:rsidRPr="00B444E0">
              <w:t>92%</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A0A334" w14:textId="78C4230E" w:rsidR="00B444E0" w:rsidRPr="00A40C43" w:rsidRDefault="00A47E7B" w:rsidP="00AC480C">
            <w:pPr>
              <w:pStyle w:val="NoSpacing"/>
            </w:pPr>
            <w:r w:rsidRPr="00A40C43">
              <w:t>83%</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A1F9EE" w14:textId="442284E3" w:rsidR="00B444E0" w:rsidRPr="00A40C43" w:rsidRDefault="00836214" w:rsidP="00AC480C">
            <w:pPr>
              <w:pStyle w:val="NoSpacing"/>
            </w:pPr>
            <w:r w:rsidRPr="00A40C43">
              <w:t>82%</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FDD27C" w14:textId="77777777" w:rsidR="00B444E0" w:rsidRPr="00A40C43" w:rsidRDefault="00B444E0" w:rsidP="00AC480C">
            <w:pPr>
              <w:pStyle w:val="NoSpacing"/>
            </w:pPr>
          </w:p>
        </w:tc>
        <w:tc>
          <w:tcPr>
            <w:tcW w:w="145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tcPr>
          <w:p w14:paraId="2580D3A3" w14:textId="77777777" w:rsidR="00B444E0" w:rsidRPr="00B444E0" w:rsidRDefault="00B444E0" w:rsidP="00AC480C">
            <w:pPr>
              <w:pStyle w:val="NoSpacing"/>
              <w:rPr>
                <w:sz w:val="24"/>
                <w:szCs w:val="24"/>
              </w:rPr>
            </w:pPr>
            <w:r w:rsidRPr="00B444E0">
              <w:rPr>
                <w:sz w:val="24"/>
                <w:szCs w:val="24"/>
              </w:rPr>
              <w:t>In progress</w:t>
            </w:r>
          </w:p>
        </w:tc>
      </w:tr>
      <w:tr w:rsidR="00B444E0" w:rsidRPr="00B444E0" w14:paraId="7BF34C11" w14:textId="77777777" w:rsidTr="00A40C43">
        <w:trPr>
          <w:trHeight w:val="820"/>
        </w:trPr>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F3F911" w14:textId="77777777" w:rsidR="00B444E0" w:rsidRPr="00B444E0" w:rsidRDefault="00B444E0" w:rsidP="00B444E0">
            <w:pPr>
              <w:widowControl w:val="0"/>
              <w:spacing w:after="0" w:line="376" w:lineRule="auto"/>
              <w:rPr>
                <w:rFonts w:ascii="Calibri" w:eastAsia="Calibri" w:hAnsi="Calibri" w:cs="Calibri"/>
                <w:lang w:val="en-US" w:eastAsia="en-AU"/>
              </w:rPr>
            </w:pPr>
            <w:r w:rsidRPr="00B444E0">
              <w:rPr>
                <w:rFonts w:ascii="Calibri" w:eastAsia="Calibri" w:hAnsi="Calibri" w:cs="Calibri"/>
                <w:lang w:val="en-US" w:eastAsia="en-AU"/>
              </w:rPr>
              <w:lastRenderedPageBreak/>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A7086C" w14:textId="77777777" w:rsidR="00B444E0" w:rsidRPr="00B444E0" w:rsidRDefault="00B444E0" w:rsidP="00B444E0">
            <w:pPr>
              <w:widowControl w:val="0"/>
              <w:spacing w:after="0" w:line="376" w:lineRule="auto"/>
              <w:jc w:val="center"/>
              <w:rPr>
                <w:rFonts w:ascii="Calibri" w:eastAsia="Calibri" w:hAnsi="Calibri" w:cs="Calibri"/>
                <w:lang w:val="en-US" w:eastAsia="en-AU"/>
              </w:rPr>
            </w:pPr>
            <w:r w:rsidRPr="00B444E0">
              <w:rPr>
                <w:rFonts w:ascii="Calibri" w:eastAsia="Calibri" w:hAnsi="Calibri" w:cs="Calibri"/>
                <w:lang w:val="en-US" w:eastAsia="en-AU"/>
              </w:rPr>
              <w:t>93%</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FAEBD5" w14:textId="77777777" w:rsidR="00B444E0" w:rsidRPr="00B444E0" w:rsidRDefault="00B444E0" w:rsidP="00B444E0">
            <w:pPr>
              <w:widowControl w:val="0"/>
              <w:spacing w:after="0" w:line="433" w:lineRule="auto"/>
              <w:jc w:val="center"/>
              <w:rPr>
                <w:rFonts w:ascii="Calibri" w:eastAsia="Calibri" w:hAnsi="Calibri" w:cs="Calibri"/>
                <w:lang w:val="en-US" w:eastAsia="en-AU"/>
              </w:rPr>
            </w:pPr>
            <w:r w:rsidRPr="00B444E0">
              <w:rPr>
                <w:rFonts w:ascii="Calibri" w:eastAsia="Calibri" w:hAnsi="Calibri" w:cs="Calibri"/>
                <w:lang w:val="en-US" w:eastAsia="en-AU"/>
              </w:rPr>
              <w:t>91%</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3600A0" w14:textId="77777777" w:rsidR="00B444E0" w:rsidRPr="00B444E0" w:rsidRDefault="00B444E0" w:rsidP="00A40C43">
            <w:pPr>
              <w:widowControl w:val="0"/>
              <w:spacing w:after="0" w:line="376" w:lineRule="auto"/>
              <w:jc w:val="center"/>
              <w:rPr>
                <w:rFonts w:ascii="Calibri" w:eastAsia="Calibri" w:hAnsi="Calibri" w:cs="Calibri"/>
                <w:lang w:val="en-US" w:eastAsia="en-AU"/>
              </w:rPr>
            </w:pPr>
            <w:r w:rsidRPr="00B444E0">
              <w:rPr>
                <w:rFonts w:ascii="Calibri" w:eastAsia="Calibri" w:hAnsi="Calibri" w:cs="Calibri"/>
                <w:lang w:val="en-US" w:eastAsia="en-AU"/>
              </w:rPr>
              <w:t>93%</w:t>
            </w:r>
          </w:p>
        </w:tc>
        <w:tc>
          <w:tcPr>
            <w:tcW w:w="923" w:type="dxa"/>
            <w:tcBorders>
              <w:top w:val="single" w:sz="6"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C2E771" w14:textId="4596B664" w:rsidR="00B444E0" w:rsidRPr="00A40C43" w:rsidRDefault="00A47E7B" w:rsidP="00A40C43">
            <w:pPr>
              <w:widowControl w:val="0"/>
              <w:spacing w:after="240" w:line="376" w:lineRule="auto"/>
              <w:jc w:val="center"/>
              <w:rPr>
                <w:rFonts w:ascii="Calibri" w:eastAsia="Calibri" w:hAnsi="Calibri" w:cs="Calibri"/>
                <w:lang w:val="en-US" w:eastAsia="en-AU"/>
              </w:rPr>
            </w:pPr>
            <w:r w:rsidRPr="00A40C43">
              <w:rPr>
                <w:rFonts w:ascii="Calibri" w:eastAsia="Calibri" w:hAnsi="Calibri" w:cs="Calibri"/>
                <w:lang w:val="en-US" w:eastAsia="en-AU"/>
              </w:rPr>
              <w:t>86%</w:t>
            </w:r>
          </w:p>
        </w:tc>
        <w:tc>
          <w:tcPr>
            <w:tcW w:w="923" w:type="dxa"/>
            <w:tcBorders>
              <w:top w:val="single" w:sz="6"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35DAC8" w14:textId="66BBFB27" w:rsidR="00B444E0" w:rsidRPr="00A40C43" w:rsidRDefault="00836214" w:rsidP="00A40C43">
            <w:pPr>
              <w:widowControl w:val="0"/>
              <w:spacing w:after="240" w:line="376" w:lineRule="auto"/>
              <w:jc w:val="center"/>
              <w:rPr>
                <w:rFonts w:ascii="Calibri" w:eastAsia="Calibri" w:hAnsi="Calibri" w:cs="Calibri"/>
                <w:lang w:val="en-US" w:eastAsia="en-AU"/>
              </w:rPr>
            </w:pPr>
            <w:r w:rsidRPr="00A40C43">
              <w:rPr>
                <w:rFonts w:ascii="Calibri" w:eastAsia="Calibri" w:hAnsi="Calibri" w:cs="Calibri"/>
                <w:lang w:val="en-US" w:eastAsia="en-AU"/>
              </w:rPr>
              <w:t>88%</w:t>
            </w:r>
          </w:p>
        </w:tc>
        <w:tc>
          <w:tcPr>
            <w:tcW w:w="923" w:type="dxa"/>
            <w:tcBorders>
              <w:top w:val="single" w:sz="6"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16E087" w14:textId="77777777" w:rsidR="00B444E0" w:rsidRPr="00A40C43" w:rsidRDefault="00B444E0" w:rsidP="00A40C43">
            <w:pPr>
              <w:widowControl w:val="0"/>
              <w:spacing w:after="240" w:line="376" w:lineRule="auto"/>
              <w:jc w:val="center"/>
              <w:rPr>
                <w:rFonts w:ascii="Calibri" w:eastAsia="Calibri" w:hAnsi="Calibri" w:cs="Calibri"/>
                <w:lang w:val="en-US" w:eastAsia="en-AU"/>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B08BE2" w14:textId="77777777" w:rsidR="00B444E0" w:rsidRPr="00A40C43" w:rsidRDefault="00B444E0">
            <w:pPr>
              <w:widowControl w:val="0"/>
              <w:spacing w:before="120" w:after="120" w:line="376" w:lineRule="auto"/>
              <w:jc w:val="center"/>
              <w:rPr>
                <w:rFonts w:ascii="Calibri" w:eastAsia="Calibri" w:hAnsi="Calibri" w:cs="Calibri"/>
                <w:lang w:val="en-US" w:eastAsia="en-AU"/>
              </w:rPr>
            </w:pPr>
            <w:r w:rsidRPr="00A40C43">
              <w:rPr>
                <w:rFonts w:ascii="Calibri" w:eastAsia="Calibri" w:hAnsi="Calibri" w:cs="Calibri"/>
                <w:lang w:val="en-US" w:eastAsia="en-AU"/>
              </w:rPr>
              <w:t>In progress</w:t>
            </w:r>
          </w:p>
        </w:tc>
      </w:tr>
    </w:tbl>
    <w:p w14:paraId="3FBA28C1" w14:textId="77777777" w:rsidR="00B444E0" w:rsidRPr="00B444E0" w:rsidRDefault="00B444E0" w:rsidP="00B444E0">
      <w:pPr>
        <w:widowControl w:val="0"/>
        <w:spacing w:after="240" w:line="240" w:lineRule="auto"/>
        <w:rPr>
          <w:rFonts w:ascii="Calibri" w:eastAsia="Calibri" w:hAnsi="Calibri" w:cs="Calibri"/>
          <w:sz w:val="24"/>
          <w:szCs w:val="24"/>
          <w:lang w:val="en-US" w:eastAsia="en-AU"/>
        </w:rPr>
      </w:pPr>
    </w:p>
    <w:tbl>
      <w:tblPr>
        <w:tblW w:w="7950" w:type="dxa"/>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5"/>
        <w:gridCol w:w="935"/>
        <w:gridCol w:w="934"/>
        <w:gridCol w:w="934"/>
        <w:gridCol w:w="934"/>
        <w:gridCol w:w="934"/>
        <w:gridCol w:w="934"/>
        <w:gridCol w:w="1410"/>
      </w:tblGrid>
      <w:tr w:rsidR="00B444E0" w:rsidRPr="00B444E0" w14:paraId="035281D0" w14:textId="77777777" w:rsidTr="00836214">
        <w:trPr>
          <w:trHeight w:val="820"/>
        </w:trPr>
        <w:tc>
          <w:tcPr>
            <w:tcW w:w="6540" w:type="dxa"/>
            <w:gridSpan w:val="7"/>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BA4243" w14:textId="77777777" w:rsidR="00B444E0" w:rsidRPr="00B444E0" w:rsidRDefault="00B444E0" w:rsidP="00B444E0">
            <w:pPr>
              <w:widowControl w:val="0"/>
              <w:spacing w:after="0" w:line="240" w:lineRule="auto"/>
              <w:rPr>
                <w:rFonts w:ascii="Calibri" w:eastAsia="Calibri" w:hAnsi="Calibri" w:cs="Calibri"/>
                <w:lang w:val="en-US" w:eastAsia="en-AU"/>
              </w:rPr>
            </w:pPr>
            <w:bookmarkStart w:id="3" w:name="_Hlk64225668"/>
            <w:r w:rsidRPr="00B444E0">
              <w:rPr>
                <w:rFonts w:ascii="Calibri" w:eastAsia="Calibri" w:hAnsi="Calibri" w:cs="Calibri"/>
                <w:lang w:val="en-US" w:eastAsia="en-AU"/>
              </w:rPr>
              <w:t xml:space="preserve">Percentage of mainstream students </w:t>
            </w:r>
            <w:r w:rsidRPr="00B444E0">
              <w:rPr>
                <w:rFonts w:ascii="Calibri" w:eastAsia="Calibri" w:hAnsi="Calibri" w:cs="Calibri"/>
                <w:b/>
                <w:lang w:val="en-US" w:eastAsia="en-AU"/>
              </w:rPr>
              <w:t>achieving the expected achievement level or above</w:t>
            </w:r>
            <w:r w:rsidRPr="00B444E0">
              <w:rPr>
                <w:rFonts w:ascii="Calibri" w:eastAsia="Calibri" w:hAnsi="Calibri" w:cs="Calibri"/>
                <w:lang w:val="en-US" w:eastAsia="en-AU"/>
              </w:rPr>
              <w:t xml:space="preserve"> on the Turner School Place Value assessment</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8CEF7C" w14:textId="77777777" w:rsidR="00B444E0" w:rsidRPr="00B444E0" w:rsidRDefault="00B444E0" w:rsidP="00B444E0">
            <w:pPr>
              <w:widowControl w:val="0"/>
              <w:spacing w:after="0" w:line="240" w:lineRule="auto"/>
              <w:rPr>
                <w:rFonts w:ascii="Calibri" w:eastAsia="Calibri" w:hAnsi="Calibri" w:cs="Calibri"/>
                <w:lang w:val="en-US" w:eastAsia="en-AU"/>
              </w:rPr>
            </w:pPr>
            <w:r w:rsidRPr="00B444E0">
              <w:rPr>
                <w:rFonts w:ascii="Calibri" w:eastAsia="Calibri" w:hAnsi="Calibri" w:cs="Calibri"/>
                <w:lang w:val="en-US" w:eastAsia="en-AU"/>
              </w:rPr>
              <w:t>Target</w:t>
            </w:r>
          </w:p>
          <w:p w14:paraId="68CC5E82" w14:textId="77777777" w:rsidR="00B444E0" w:rsidRPr="00B444E0" w:rsidRDefault="00B444E0" w:rsidP="00B444E0">
            <w:pPr>
              <w:widowControl w:val="0"/>
              <w:spacing w:after="0" w:line="240" w:lineRule="auto"/>
              <w:rPr>
                <w:rFonts w:ascii="Calibri" w:eastAsia="Calibri" w:hAnsi="Calibri" w:cs="Calibri"/>
                <w:lang w:val="en-US" w:eastAsia="en-AU"/>
              </w:rPr>
            </w:pPr>
            <w:r w:rsidRPr="00B444E0">
              <w:rPr>
                <w:rFonts w:ascii="Calibri" w:eastAsia="Calibri" w:hAnsi="Calibri" w:cs="Calibri"/>
                <w:lang w:val="en-US" w:eastAsia="en-AU"/>
              </w:rPr>
              <w:t>Achievement</w:t>
            </w:r>
          </w:p>
        </w:tc>
      </w:tr>
      <w:tr w:rsidR="00B444E0" w:rsidRPr="00B444E0" w14:paraId="5B19D62E" w14:textId="77777777" w:rsidTr="00A40C43">
        <w:trPr>
          <w:trHeight w:val="64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4AC136" w14:textId="77777777" w:rsidR="00B444E0" w:rsidRPr="00B444E0" w:rsidRDefault="00B444E0" w:rsidP="00B444E0">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Year level</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E2F462" w14:textId="77777777" w:rsidR="00B444E0" w:rsidRPr="00B444E0" w:rsidRDefault="00B444E0" w:rsidP="00B444E0">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2016</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C6342F" w14:textId="77777777" w:rsidR="00B444E0" w:rsidRPr="00B444E0" w:rsidRDefault="00B444E0" w:rsidP="00B444E0">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2017</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CCCE15" w14:textId="77777777" w:rsidR="00B444E0" w:rsidRPr="00B444E0" w:rsidRDefault="00B444E0" w:rsidP="00B444E0">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2018</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0AE1C2" w14:textId="77777777" w:rsidR="00B444E0" w:rsidRPr="00B444E0" w:rsidRDefault="00B444E0" w:rsidP="00B444E0">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2019</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83990F" w14:textId="77777777" w:rsidR="00B444E0" w:rsidRPr="00B444E0" w:rsidRDefault="00B444E0" w:rsidP="00B444E0">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2020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93962A" w14:textId="77777777" w:rsidR="00B444E0" w:rsidRPr="00B444E0" w:rsidRDefault="00B444E0" w:rsidP="00B444E0">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2021</w:t>
            </w:r>
          </w:p>
        </w:tc>
        <w:tc>
          <w:tcPr>
            <w:tcW w:w="141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57F48832" w14:textId="77777777" w:rsidR="00B444E0" w:rsidRPr="00B444E0" w:rsidRDefault="00B444E0" w:rsidP="00B444E0">
            <w:pPr>
              <w:widowControl w:val="0"/>
              <w:spacing w:after="240" w:line="240" w:lineRule="auto"/>
              <w:rPr>
                <w:rFonts w:ascii="Times New Roman" w:eastAsia="Times New Roman" w:hAnsi="Times New Roman" w:cs="Times New Roman"/>
                <w:sz w:val="24"/>
                <w:szCs w:val="24"/>
                <w:lang w:val="en-US" w:eastAsia="en-AU"/>
              </w:rPr>
            </w:pPr>
          </w:p>
        </w:tc>
      </w:tr>
      <w:tr w:rsidR="00B444E0" w:rsidRPr="00B444E0" w14:paraId="63A119E2" w14:textId="77777777" w:rsidTr="00A40C43">
        <w:trPr>
          <w:trHeight w:val="38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3A91C2" w14:textId="77777777" w:rsidR="00B444E0" w:rsidRPr="00B444E0" w:rsidRDefault="00B444E0" w:rsidP="00B444E0">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K</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F67A4C" w14:textId="77777777" w:rsidR="00B444E0" w:rsidRPr="00B444E0" w:rsidRDefault="00B444E0" w:rsidP="00B444E0">
            <w:pPr>
              <w:widowControl w:val="0"/>
              <w:spacing w:after="0" w:line="240" w:lineRule="auto"/>
              <w:jc w:val="center"/>
              <w:rPr>
                <w:rFonts w:ascii="Calibri" w:eastAsia="Calibri" w:hAnsi="Calibri" w:cs="Calibri"/>
                <w:sz w:val="20"/>
                <w:szCs w:val="20"/>
                <w:lang w:val="en-US" w:eastAsia="en-AU"/>
              </w:rPr>
            </w:pPr>
            <w:r w:rsidRPr="00B444E0">
              <w:rPr>
                <w:rFonts w:ascii="Calibri" w:eastAsia="Calibri" w:hAnsi="Calibri" w:cs="Calibri"/>
                <w:sz w:val="20"/>
                <w:szCs w:val="20"/>
                <w:lang w:val="en-US" w:eastAsia="en-AU"/>
              </w:rPr>
              <w:t>92%</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BE7FA3" w14:textId="77777777" w:rsidR="00B444E0" w:rsidRPr="00B444E0" w:rsidRDefault="00B444E0" w:rsidP="00B444E0">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75%</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337BBD" w14:textId="77777777" w:rsidR="00B444E0" w:rsidRPr="00B444E0" w:rsidRDefault="00B444E0" w:rsidP="00B444E0">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74%</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1ECE3D" w14:textId="63E2EA4D" w:rsidR="00B444E0" w:rsidRPr="00B444E0" w:rsidRDefault="00A47E7B" w:rsidP="00B444E0">
            <w:pPr>
              <w:widowControl w:val="0"/>
              <w:spacing w:after="24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98.5%</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DAC610" w14:textId="449180FE" w:rsidR="00B444E0" w:rsidRPr="00B444E0" w:rsidRDefault="00B70A72" w:rsidP="00B444E0">
            <w:pPr>
              <w:widowControl w:val="0"/>
              <w:spacing w:after="24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78%</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ED2DBA" w14:textId="77777777" w:rsidR="00B444E0" w:rsidRPr="00B444E0" w:rsidRDefault="00B444E0" w:rsidP="00B444E0">
            <w:pPr>
              <w:widowControl w:val="0"/>
              <w:spacing w:after="240" w:line="240" w:lineRule="auto"/>
              <w:jc w:val="center"/>
              <w:rPr>
                <w:rFonts w:ascii="Calibri" w:eastAsia="Calibri" w:hAnsi="Calibri" w:cs="Calibri"/>
                <w:sz w:val="24"/>
                <w:szCs w:val="24"/>
                <w:lang w:val="en-US" w:eastAsia="en-AU"/>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001135" w14:textId="77777777" w:rsidR="00B444E0" w:rsidRPr="00B444E0" w:rsidRDefault="00B444E0" w:rsidP="00B444E0">
            <w:pPr>
              <w:widowControl w:val="0"/>
              <w:spacing w:before="120" w:after="120" w:line="240" w:lineRule="auto"/>
              <w:rPr>
                <w:rFonts w:ascii="Calibri" w:eastAsia="Calibri" w:hAnsi="Calibri" w:cs="Calibri"/>
                <w:sz w:val="24"/>
                <w:szCs w:val="24"/>
                <w:lang w:val="en-US" w:eastAsia="en-AU"/>
              </w:rPr>
            </w:pPr>
            <w:r w:rsidRPr="00B444E0">
              <w:rPr>
                <w:rFonts w:ascii="Calibri" w:eastAsia="Calibri" w:hAnsi="Calibri" w:cs="Calibri"/>
                <w:sz w:val="24"/>
                <w:szCs w:val="24"/>
                <w:lang w:val="en-US" w:eastAsia="en-AU"/>
              </w:rPr>
              <w:t>In progress</w:t>
            </w:r>
          </w:p>
        </w:tc>
      </w:tr>
      <w:tr w:rsidR="00836214" w:rsidRPr="00B444E0" w14:paraId="5700BE66" w14:textId="77777777" w:rsidTr="00A40C43">
        <w:trPr>
          <w:trHeight w:val="38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6AE837" w14:textId="77777777" w:rsidR="00836214" w:rsidRPr="00B444E0" w:rsidRDefault="00836214" w:rsidP="00836214">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1</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5B5C26" w14:textId="77777777" w:rsidR="00836214" w:rsidRPr="00B444E0" w:rsidRDefault="00836214" w:rsidP="00836214">
            <w:pPr>
              <w:widowControl w:val="0"/>
              <w:spacing w:after="0" w:line="240" w:lineRule="auto"/>
              <w:jc w:val="center"/>
              <w:rPr>
                <w:rFonts w:ascii="Calibri" w:eastAsia="Calibri" w:hAnsi="Calibri" w:cs="Calibri"/>
                <w:sz w:val="20"/>
                <w:szCs w:val="20"/>
                <w:lang w:val="en-US" w:eastAsia="en-AU"/>
              </w:rPr>
            </w:pPr>
            <w:r w:rsidRPr="00B444E0">
              <w:rPr>
                <w:rFonts w:ascii="Calibri" w:eastAsia="Calibri" w:hAnsi="Calibri" w:cs="Calibri"/>
                <w:sz w:val="20"/>
                <w:szCs w:val="20"/>
                <w:lang w:val="en-US" w:eastAsia="en-AU"/>
              </w:rPr>
              <w:t>92%</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EAF34C" w14:textId="77777777" w:rsidR="00836214" w:rsidRPr="00B444E0" w:rsidRDefault="00836214" w:rsidP="00836214">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83%</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848E1D" w14:textId="77777777" w:rsidR="00836214" w:rsidRPr="00B444E0" w:rsidRDefault="00836214" w:rsidP="00836214">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81%</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4CD0C5" w14:textId="2BA5C870"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71%</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F1CE11" w14:textId="7373061D"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98%</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7B1401" w14:textId="77777777"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BB3C30" w14:textId="010D48BF" w:rsidR="00836214" w:rsidRPr="00B444E0" w:rsidRDefault="00ED438F" w:rsidP="00836214">
            <w:pPr>
              <w:widowControl w:val="0"/>
              <w:spacing w:before="120" w:after="12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Exceeded</w:t>
            </w:r>
          </w:p>
        </w:tc>
      </w:tr>
      <w:tr w:rsidR="00836214" w:rsidRPr="00B444E0" w14:paraId="1ADFD667" w14:textId="77777777" w:rsidTr="00A40C43">
        <w:trPr>
          <w:trHeight w:val="44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953B66" w14:textId="77777777" w:rsidR="00836214" w:rsidRPr="00B444E0" w:rsidRDefault="00836214" w:rsidP="00836214">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2</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14AAEC" w14:textId="77777777" w:rsidR="00836214" w:rsidRPr="00B444E0" w:rsidRDefault="00836214" w:rsidP="00836214">
            <w:pPr>
              <w:widowControl w:val="0"/>
              <w:spacing w:after="0" w:line="240" w:lineRule="auto"/>
              <w:jc w:val="center"/>
              <w:rPr>
                <w:rFonts w:ascii="Calibri" w:eastAsia="Calibri" w:hAnsi="Calibri" w:cs="Calibri"/>
                <w:sz w:val="20"/>
                <w:szCs w:val="20"/>
                <w:lang w:val="en-US" w:eastAsia="en-AU"/>
              </w:rPr>
            </w:pPr>
            <w:r w:rsidRPr="00B444E0">
              <w:rPr>
                <w:rFonts w:ascii="Calibri" w:eastAsia="Calibri" w:hAnsi="Calibri" w:cs="Calibri"/>
                <w:sz w:val="20"/>
                <w:szCs w:val="20"/>
                <w:lang w:val="en-US" w:eastAsia="en-AU"/>
              </w:rPr>
              <w:t>89%</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EDE4AB" w14:textId="77777777" w:rsidR="00836214" w:rsidRPr="00B444E0" w:rsidRDefault="00836214" w:rsidP="00836214">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87%</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6A5229" w14:textId="77777777" w:rsidR="00836214" w:rsidRPr="00B444E0" w:rsidRDefault="00836214" w:rsidP="00836214">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78%</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DEA0CB" w14:textId="491626FC"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81%</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CB8AE7" w14:textId="1EBE86BD"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73%</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9C7CD5" w14:textId="77777777"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6DEB12" w14:textId="77777777" w:rsidR="00836214" w:rsidRPr="00B444E0" w:rsidRDefault="00836214" w:rsidP="00836214">
            <w:pPr>
              <w:widowControl w:val="0"/>
              <w:spacing w:before="120" w:after="120" w:line="240" w:lineRule="auto"/>
              <w:jc w:val="center"/>
              <w:rPr>
                <w:rFonts w:ascii="Calibri" w:eastAsia="Calibri" w:hAnsi="Calibri" w:cs="Calibri"/>
                <w:sz w:val="24"/>
                <w:szCs w:val="24"/>
                <w:lang w:val="en-US" w:eastAsia="en-AU"/>
              </w:rPr>
            </w:pPr>
            <w:r w:rsidRPr="00B444E0">
              <w:rPr>
                <w:rFonts w:ascii="Calibri" w:eastAsia="Calibri" w:hAnsi="Calibri" w:cs="Calibri"/>
                <w:sz w:val="24"/>
                <w:szCs w:val="24"/>
                <w:lang w:val="en-US" w:eastAsia="en-AU"/>
              </w:rPr>
              <w:t>In progress</w:t>
            </w:r>
          </w:p>
        </w:tc>
      </w:tr>
      <w:tr w:rsidR="00836214" w:rsidRPr="00B444E0" w14:paraId="47B935ED" w14:textId="77777777" w:rsidTr="00A40C43">
        <w:trPr>
          <w:trHeight w:val="44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30DE20" w14:textId="77777777" w:rsidR="00836214" w:rsidRPr="00B444E0" w:rsidRDefault="00836214" w:rsidP="00836214">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3</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C627A6" w14:textId="77777777" w:rsidR="00836214" w:rsidRPr="00B444E0" w:rsidRDefault="00836214" w:rsidP="00836214">
            <w:pPr>
              <w:widowControl w:val="0"/>
              <w:spacing w:after="0" w:line="240" w:lineRule="auto"/>
              <w:jc w:val="center"/>
              <w:rPr>
                <w:rFonts w:ascii="Calibri" w:eastAsia="Calibri" w:hAnsi="Calibri" w:cs="Calibri"/>
                <w:sz w:val="20"/>
                <w:szCs w:val="20"/>
                <w:lang w:val="en-US" w:eastAsia="en-AU"/>
              </w:rPr>
            </w:pPr>
            <w:r w:rsidRPr="00B444E0">
              <w:rPr>
                <w:rFonts w:ascii="Calibri" w:eastAsia="Calibri" w:hAnsi="Calibri" w:cs="Calibri"/>
                <w:sz w:val="20"/>
                <w:szCs w:val="20"/>
                <w:lang w:val="en-US" w:eastAsia="en-AU"/>
              </w:rPr>
              <w:t>89%</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EBE3B8" w14:textId="77777777" w:rsidR="00836214" w:rsidRPr="00B444E0" w:rsidRDefault="00836214" w:rsidP="00836214">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86%</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8BF093" w14:textId="77777777" w:rsidR="00836214" w:rsidRPr="00B444E0" w:rsidRDefault="00836214" w:rsidP="00836214">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90%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98EC01" w14:textId="34884744"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86%</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A2A979" w14:textId="0E43D269"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88%</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4C48E5" w14:textId="77777777"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954D0A" w14:textId="78269F11" w:rsidR="00836214" w:rsidRPr="00B444E0" w:rsidRDefault="00ED438F" w:rsidP="00836214">
            <w:pPr>
              <w:widowControl w:val="0"/>
              <w:spacing w:before="120" w:after="12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Achieved</w:t>
            </w:r>
          </w:p>
        </w:tc>
      </w:tr>
      <w:tr w:rsidR="00836214" w:rsidRPr="00B444E0" w14:paraId="356720A1" w14:textId="77777777" w:rsidTr="00A40C43">
        <w:trPr>
          <w:trHeight w:val="34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568EE7" w14:textId="77777777" w:rsidR="00836214" w:rsidRPr="00B444E0" w:rsidRDefault="00836214" w:rsidP="00836214">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4</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B50A89" w14:textId="77777777" w:rsidR="00836214" w:rsidRPr="00B444E0" w:rsidRDefault="00836214" w:rsidP="00836214">
            <w:pPr>
              <w:widowControl w:val="0"/>
              <w:spacing w:after="0" w:line="240" w:lineRule="auto"/>
              <w:jc w:val="center"/>
              <w:rPr>
                <w:rFonts w:ascii="Calibri" w:eastAsia="Calibri" w:hAnsi="Calibri" w:cs="Calibri"/>
                <w:sz w:val="20"/>
                <w:szCs w:val="20"/>
                <w:lang w:val="en-US" w:eastAsia="en-AU"/>
              </w:rPr>
            </w:pPr>
            <w:r w:rsidRPr="00B444E0">
              <w:rPr>
                <w:rFonts w:ascii="Calibri" w:eastAsia="Calibri" w:hAnsi="Calibri" w:cs="Calibri"/>
                <w:sz w:val="20"/>
                <w:szCs w:val="20"/>
                <w:lang w:val="en-US" w:eastAsia="en-AU"/>
              </w:rPr>
              <w:t>81%</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6202B6" w14:textId="77777777" w:rsidR="00836214" w:rsidRPr="00B444E0" w:rsidRDefault="00836214" w:rsidP="00836214">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89%</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0ECAE5" w14:textId="77777777" w:rsidR="00836214" w:rsidRPr="00B444E0" w:rsidRDefault="00836214" w:rsidP="00836214">
            <w:pPr>
              <w:widowControl w:val="0"/>
              <w:spacing w:after="0" w:line="240" w:lineRule="auto"/>
              <w:jc w:val="center"/>
              <w:rPr>
                <w:rFonts w:ascii="Calibri" w:eastAsia="Calibri" w:hAnsi="Calibri" w:cs="Calibri"/>
                <w:highlight w:val="yellow"/>
                <w:lang w:val="en-US" w:eastAsia="en-AU"/>
              </w:rPr>
            </w:pPr>
            <w:r w:rsidRPr="00B444E0">
              <w:rPr>
                <w:rFonts w:ascii="Calibri" w:eastAsia="Calibri" w:hAnsi="Calibri" w:cs="Calibri"/>
                <w:lang w:val="en-US" w:eastAsia="en-AU"/>
              </w:rPr>
              <w:t>90%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8A97AB" w14:textId="5C2185AD"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85%</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E96B36" w14:textId="5AEBC023"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94%</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C2ECA1" w14:textId="77777777"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FCB98C" w14:textId="003E5338" w:rsidR="00836214" w:rsidRPr="00B444E0" w:rsidRDefault="00D93457" w:rsidP="00836214">
            <w:pPr>
              <w:widowControl w:val="0"/>
              <w:spacing w:before="120" w:after="12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Exceeded</w:t>
            </w:r>
          </w:p>
        </w:tc>
      </w:tr>
      <w:tr w:rsidR="00836214" w:rsidRPr="00B444E0" w14:paraId="7384F88D" w14:textId="77777777" w:rsidTr="00A40C43">
        <w:trPr>
          <w:trHeight w:val="40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5B8233" w14:textId="77777777" w:rsidR="00836214" w:rsidRPr="00B444E0" w:rsidRDefault="00836214" w:rsidP="00836214">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5</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9EC3D4" w14:textId="77777777" w:rsidR="00836214" w:rsidRPr="00B444E0" w:rsidRDefault="00836214" w:rsidP="00836214">
            <w:pPr>
              <w:widowControl w:val="0"/>
              <w:spacing w:after="0" w:line="240" w:lineRule="auto"/>
              <w:jc w:val="center"/>
              <w:rPr>
                <w:rFonts w:ascii="Calibri" w:eastAsia="Calibri" w:hAnsi="Calibri" w:cs="Calibri"/>
                <w:sz w:val="20"/>
                <w:szCs w:val="20"/>
                <w:lang w:val="en-US" w:eastAsia="en-AU"/>
              </w:rPr>
            </w:pPr>
            <w:r w:rsidRPr="00B444E0">
              <w:rPr>
                <w:rFonts w:ascii="Calibri" w:eastAsia="Calibri" w:hAnsi="Calibri" w:cs="Calibri"/>
                <w:sz w:val="20"/>
                <w:szCs w:val="20"/>
                <w:lang w:val="en-US" w:eastAsia="en-AU"/>
              </w:rPr>
              <w:t>93%</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CB8C09" w14:textId="77777777" w:rsidR="00836214" w:rsidRPr="00B444E0" w:rsidRDefault="00836214" w:rsidP="00836214">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82%</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C7FDF2" w14:textId="77777777"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r w:rsidRPr="00B444E0">
              <w:rPr>
                <w:rFonts w:ascii="Calibri" w:eastAsia="Calibri" w:hAnsi="Calibri" w:cs="Calibri"/>
                <w:sz w:val="24"/>
                <w:szCs w:val="24"/>
                <w:lang w:val="en-US" w:eastAsia="en-AU"/>
              </w:rPr>
              <w:t>79%</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663476" w14:textId="2E1821AA"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74%</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F75CF9" w14:textId="2AE02BC6" w:rsidR="00836214" w:rsidRPr="00B444E0" w:rsidRDefault="0093250E" w:rsidP="00836214">
            <w:pPr>
              <w:widowControl w:val="0"/>
              <w:spacing w:after="24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70</w:t>
            </w:r>
            <w:r w:rsidR="00836214">
              <w:rPr>
                <w:rFonts w:ascii="Calibri" w:eastAsia="Calibri" w:hAnsi="Calibri" w:cs="Calibri"/>
                <w:sz w:val="24"/>
                <w:szCs w:val="24"/>
                <w:lang w:val="en-US" w:eastAsia="en-AU"/>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B68896" w14:textId="77777777"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A2AAF2" w14:textId="77777777" w:rsidR="00836214" w:rsidRPr="00B444E0" w:rsidRDefault="00836214" w:rsidP="00836214">
            <w:pPr>
              <w:widowControl w:val="0"/>
              <w:spacing w:before="120" w:after="120" w:line="240" w:lineRule="auto"/>
              <w:jc w:val="center"/>
              <w:rPr>
                <w:rFonts w:ascii="Calibri" w:eastAsia="Calibri" w:hAnsi="Calibri" w:cs="Calibri"/>
                <w:sz w:val="24"/>
                <w:szCs w:val="24"/>
                <w:lang w:val="en-US" w:eastAsia="en-AU"/>
              </w:rPr>
            </w:pPr>
            <w:r w:rsidRPr="00B444E0">
              <w:rPr>
                <w:rFonts w:ascii="Calibri" w:eastAsia="Calibri" w:hAnsi="Calibri" w:cs="Calibri"/>
                <w:sz w:val="24"/>
                <w:szCs w:val="24"/>
                <w:lang w:val="en-US" w:eastAsia="en-AU"/>
              </w:rPr>
              <w:t>In progress</w:t>
            </w:r>
          </w:p>
        </w:tc>
      </w:tr>
      <w:tr w:rsidR="00836214" w:rsidRPr="00B444E0" w14:paraId="0A263C47" w14:textId="77777777" w:rsidTr="00A40C43">
        <w:trPr>
          <w:trHeight w:val="24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4035FA" w14:textId="77777777" w:rsidR="00836214" w:rsidRPr="00B444E0" w:rsidRDefault="00836214" w:rsidP="00836214">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6</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63A24A" w14:textId="77777777" w:rsidR="00836214" w:rsidRPr="00B444E0" w:rsidRDefault="00836214" w:rsidP="00836214">
            <w:pPr>
              <w:widowControl w:val="0"/>
              <w:spacing w:after="0" w:line="240" w:lineRule="auto"/>
              <w:jc w:val="center"/>
              <w:rPr>
                <w:rFonts w:ascii="Calibri" w:eastAsia="Calibri" w:hAnsi="Calibri" w:cs="Calibri"/>
                <w:sz w:val="20"/>
                <w:szCs w:val="20"/>
                <w:lang w:val="en-US" w:eastAsia="en-AU"/>
              </w:rPr>
            </w:pPr>
            <w:r w:rsidRPr="00B444E0">
              <w:rPr>
                <w:rFonts w:ascii="Calibri" w:eastAsia="Calibri" w:hAnsi="Calibri" w:cs="Calibri"/>
                <w:sz w:val="20"/>
                <w:szCs w:val="20"/>
                <w:lang w:val="en-US" w:eastAsia="en-AU"/>
              </w:rPr>
              <w:t>90%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55F55C" w14:textId="77777777" w:rsidR="00836214" w:rsidRPr="00B444E0" w:rsidRDefault="00836214" w:rsidP="00836214">
            <w:pPr>
              <w:widowControl w:val="0"/>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78%</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B2834B" w14:textId="77777777"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r w:rsidRPr="00B444E0">
              <w:rPr>
                <w:rFonts w:ascii="Calibri" w:eastAsia="Calibri" w:hAnsi="Calibri" w:cs="Calibri"/>
                <w:sz w:val="24"/>
                <w:szCs w:val="24"/>
                <w:lang w:val="en-US" w:eastAsia="en-AU"/>
              </w:rPr>
              <w:t>88%</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63A8EB" w14:textId="760C56FB"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78%</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53FC97" w14:textId="0B51A637"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83%</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0DEFB0" w14:textId="77777777" w:rsidR="00836214" w:rsidRPr="00B444E0" w:rsidRDefault="00836214" w:rsidP="00836214">
            <w:pPr>
              <w:widowControl w:val="0"/>
              <w:spacing w:after="240" w:line="240" w:lineRule="auto"/>
              <w:jc w:val="center"/>
              <w:rPr>
                <w:rFonts w:ascii="Calibri" w:eastAsia="Calibri" w:hAnsi="Calibri" w:cs="Calibri"/>
                <w:sz w:val="24"/>
                <w:szCs w:val="24"/>
                <w:lang w:val="en-US" w:eastAsia="en-AU"/>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B1340A" w14:textId="451C6B34" w:rsidR="00836214" w:rsidRPr="00B444E0" w:rsidRDefault="00ED438F" w:rsidP="00836214">
            <w:pPr>
              <w:widowControl w:val="0"/>
              <w:spacing w:before="120" w:after="12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Exceeded</w:t>
            </w:r>
          </w:p>
        </w:tc>
      </w:tr>
      <w:bookmarkEnd w:id="3"/>
    </w:tbl>
    <w:p w14:paraId="77E31EB2" w14:textId="28A80203" w:rsidR="00B444E0" w:rsidRPr="00A40C43" w:rsidRDefault="00B444E0" w:rsidP="00B444E0">
      <w:pPr>
        <w:spacing w:after="200" w:line="276" w:lineRule="auto"/>
        <w:rPr>
          <w:rFonts w:ascii="Calibri" w:eastAsia="Calibri" w:hAnsi="Calibri" w:cs="Calibri"/>
          <w:color w:val="FF0000"/>
          <w:sz w:val="8"/>
          <w:szCs w:val="8"/>
          <w:lang w:val="en-US" w:eastAsia="en-AU"/>
        </w:rPr>
      </w:pPr>
    </w:p>
    <w:p w14:paraId="5061E7FC" w14:textId="40910B3A" w:rsidR="00A35372" w:rsidRPr="00A40C43" w:rsidRDefault="00656DE8" w:rsidP="007A1200">
      <w:pPr>
        <w:pStyle w:val="ListParagraph"/>
        <w:numPr>
          <w:ilvl w:val="0"/>
          <w:numId w:val="8"/>
        </w:numPr>
        <w:spacing w:after="200" w:line="276" w:lineRule="auto"/>
        <w:rPr>
          <w:rFonts w:ascii="Calibri" w:eastAsia="Calibri" w:hAnsi="Calibri" w:cs="Calibri"/>
          <w:lang w:val="en-US" w:eastAsia="en-AU"/>
        </w:rPr>
      </w:pPr>
      <w:r w:rsidRPr="00A40C43">
        <w:rPr>
          <w:rFonts w:ascii="Calibri" w:eastAsia="Calibri" w:hAnsi="Calibri" w:cs="Calibri"/>
          <w:lang w:val="en-US" w:eastAsia="en-AU"/>
        </w:rPr>
        <w:t>In 2020, Turner School introduced the Numeracy Progressions to the staff</w:t>
      </w:r>
      <w:r w:rsidR="008F05AB" w:rsidRPr="00A40C43">
        <w:rPr>
          <w:rFonts w:ascii="Calibri" w:eastAsia="Calibri" w:hAnsi="Calibri" w:cs="Calibri"/>
          <w:lang w:val="en-US" w:eastAsia="en-AU"/>
        </w:rPr>
        <w:t xml:space="preserve">. These were </w:t>
      </w:r>
      <w:r w:rsidRPr="00A40C43">
        <w:rPr>
          <w:rFonts w:ascii="Calibri" w:eastAsia="Calibri" w:hAnsi="Calibri" w:cs="Calibri"/>
          <w:lang w:val="en-US" w:eastAsia="en-AU"/>
        </w:rPr>
        <w:t xml:space="preserve">aligned these </w:t>
      </w:r>
      <w:r w:rsidR="008F05AB" w:rsidRPr="00A40C43">
        <w:rPr>
          <w:rFonts w:ascii="Calibri" w:eastAsia="Calibri" w:hAnsi="Calibri" w:cs="Calibri"/>
          <w:lang w:val="en-US" w:eastAsia="en-AU"/>
        </w:rPr>
        <w:t xml:space="preserve">with the SENA 1-4 assessments to support teachers to plot their students / class spread on the Numeracy progressions. This supported teachers to understand their student needs with wider depth </w:t>
      </w:r>
      <w:r w:rsidR="00122AE6" w:rsidRPr="00A40C43">
        <w:rPr>
          <w:rFonts w:ascii="Calibri" w:eastAsia="Calibri" w:hAnsi="Calibri" w:cs="Calibri"/>
          <w:lang w:val="en-US" w:eastAsia="en-AU"/>
        </w:rPr>
        <w:t>across content areas beyond place value and is not reflected in the above data.</w:t>
      </w:r>
    </w:p>
    <w:tbl>
      <w:tblPr>
        <w:tblW w:w="7992"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962"/>
        <w:gridCol w:w="961"/>
        <w:gridCol w:w="961"/>
        <w:gridCol w:w="961"/>
        <w:gridCol w:w="961"/>
        <w:gridCol w:w="962"/>
        <w:gridCol w:w="1396"/>
      </w:tblGrid>
      <w:tr w:rsidR="00B444E0" w:rsidRPr="00B444E0" w14:paraId="695EA6CB" w14:textId="77777777" w:rsidTr="00B444E0">
        <w:tc>
          <w:tcPr>
            <w:tcW w:w="6596" w:type="dxa"/>
            <w:gridSpan w:val="7"/>
          </w:tcPr>
          <w:p w14:paraId="5F1D87A0"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 xml:space="preserve">Percentage of students who </w:t>
            </w:r>
            <w:r w:rsidRPr="00B444E0">
              <w:rPr>
                <w:rFonts w:ascii="Calibri" w:eastAsia="Calibri" w:hAnsi="Calibri" w:cs="Calibri"/>
                <w:b/>
                <w:lang w:val="en-US" w:eastAsia="en-AU"/>
              </w:rPr>
              <w:t>demonstrate growth over a school year</w:t>
            </w:r>
            <w:r w:rsidRPr="00B444E0">
              <w:rPr>
                <w:rFonts w:ascii="Calibri" w:eastAsia="Calibri" w:hAnsi="Calibri" w:cs="Calibri"/>
                <w:lang w:val="en-US" w:eastAsia="en-AU"/>
              </w:rPr>
              <w:t xml:space="preserve"> using the ABLES English: Reading and Writing assessment tool</w:t>
            </w:r>
          </w:p>
        </w:tc>
        <w:tc>
          <w:tcPr>
            <w:tcW w:w="1396" w:type="dxa"/>
            <w:vMerge w:val="restart"/>
          </w:tcPr>
          <w:p w14:paraId="0AE8F3CC" w14:textId="77777777" w:rsidR="00B444E0" w:rsidRPr="00B444E0" w:rsidRDefault="00B444E0" w:rsidP="00B444E0">
            <w:pPr>
              <w:spacing w:after="0" w:line="240" w:lineRule="auto"/>
              <w:rPr>
                <w:rFonts w:ascii="Calibri" w:eastAsia="Calibri" w:hAnsi="Calibri" w:cs="Calibri"/>
                <w:lang w:val="en-US" w:eastAsia="en-AU"/>
              </w:rPr>
            </w:pPr>
          </w:p>
          <w:p w14:paraId="25DD9774"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Target</w:t>
            </w:r>
          </w:p>
          <w:p w14:paraId="4107F569"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Achievement</w:t>
            </w:r>
          </w:p>
        </w:tc>
      </w:tr>
      <w:tr w:rsidR="00B444E0" w:rsidRPr="00B444E0" w14:paraId="2EF13609" w14:textId="77777777" w:rsidTr="00B444E0">
        <w:tc>
          <w:tcPr>
            <w:tcW w:w="828" w:type="dxa"/>
          </w:tcPr>
          <w:p w14:paraId="6F3197EE" w14:textId="77777777" w:rsidR="00B444E0" w:rsidRPr="00B444E0" w:rsidRDefault="00B444E0" w:rsidP="00C6023B">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K-6</w:t>
            </w:r>
          </w:p>
        </w:tc>
        <w:tc>
          <w:tcPr>
            <w:tcW w:w="962" w:type="dxa"/>
          </w:tcPr>
          <w:p w14:paraId="5C9E6BA9" w14:textId="77777777" w:rsidR="00B444E0" w:rsidRPr="00B444E0" w:rsidRDefault="00B444E0" w:rsidP="00C6023B">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2016</w:t>
            </w:r>
          </w:p>
        </w:tc>
        <w:tc>
          <w:tcPr>
            <w:tcW w:w="961" w:type="dxa"/>
          </w:tcPr>
          <w:p w14:paraId="4495294E" w14:textId="77777777" w:rsidR="00B444E0" w:rsidRPr="00B444E0" w:rsidRDefault="00B444E0" w:rsidP="00C6023B">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2017</w:t>
            </w:r>
          </w:p>
        </w:tc>
        <w:tc>
          <w:tcPr>
            <w:tcW w:w="961" w:type="dxa"/>
          </w:tcPr>
          <w:p w14:paraId="295E794B" w14:textId="77777777" w:rsidR="00B444E0" w:rsidRPr="00B444E0" w:rsidRDefault="00B444E0" w:rsidP="00C6023B">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2018</w:t>
            </w:r>
          </w:p>
        </w:tc>
        <w:tc>
          <w:tcPr>
            <w:tcW w:w="961" w:type="dxa"/>
          </w:tcPr>
          <w:p w14:paraId="285FF190" w14:textId="77777777" w:rsidR="00B444E0" w:rsidRPr="00B444E0" w:rsidRDefault="00B444E0" w:rsidP="00C6023B">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2019</w:t>
            </w:r>
          </w:p>
        </w:tc>
        <w:tc>
          <w:tcPr>
            <w:tcW w:w="961" w:type="dxa"/>
          </w:tcPr>
          <w:p w14:paraId="03C2E773" w14:textId="77777777" w:rsidR="00B444E0" w:rsidRPr="00B444E0" w:rsidRDefault="00B444E0" w:rsidP="00C6023B">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2020</w:t>
            </w:r>
          </w:p>
        </w:tc>
        <w:tc>
          <w:tcPr>
            <w:tcW w:w="962" w:type="dxa"/>
          </w:tcPr>
          <w:p w14:paraId="6735DADA" w14:textId="77777777" w:rsidR="00B444E0" w:rsidRPr="00B444E0" w:rsidRDefault="00B444E0" w:rsidP="00C6023B">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2021</w:t>
            </w:r>
          </w:p>
        </w:tc>
        <w:tc>
          <w:tcPr>
            <w:tcW w:w="1396" w:type="dxa"/>
            <w:vMerge/>
          </w:tcPr>
          <w:p w14:paraId="1819C041" w14:textId="77777777" w:rsidR="00B444E0" w:rsidRPr="00B444E0" w:rsidRDefault="00B444E0" w:rsidP="00B444E0">
            <w:pPr>
              <w:widowControl w:val="0"/>
              <w:pBdr>
                <w:top w:val="nil"/>
                <w:left w:val="nil"/>
                <w:bottom w:val="nil"/>
                <w:right w:val="nil"/>
                <w:between w:val="nil"/>
              </w:pBdr>
              <w:spacing w:after="0" w:line="276" w:lineRule="auto"/>
              <w:rPr>
                <w:rFonts w:ascii="Calibri" w:eastAsia="Calibri" w:hAnsi="Calibri" w:cs="Calibri"/>
                <w:lang w:val="en-US" w:eastAsia="en-AU"/>
              </w:rPr>
            </w:pPr>
          </w:p>
        </w:tc>
      </w:tr>
      <w:tr w:rsidR="00B444E0" w:rsidRPr="00B444E0" w14:paraId="15056C71" w14:textId="77777777" w:rsidTr="00C6023B">
        <w:tc>
          <w:tcPr>
            <w:tcW w:w="828" w:type="dxa"/>
          </w:tcPr>
          <w:p w14:paraId="76B2C87D" w14:textId="77777777" w:rsidR="00B444E0" w:rsidRPr="00B444E0" w:rsidRDefault="00B444E0" w:rsidP="00A40C43">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w:t>
            </w:r>
          </w:p>
        </w:tc>
        <w:tc>
          <w:tcPr>
            <w:tcW w:w="962" w:type="dxa"/>
          </w:tcPr>
          <w:p w14:paraId="43C25FB7" w14:textId="77777777" w:rsidR="00B444E0" w:rsidRPr="00B444E0" w:rsidRDefault="00B444E0" w:rsidP="00B444E0">
            <w:pPr>
              <w:spacing w:after="0" w:line="240" w:lineRule="auto"/>
              <w:jc w:val="center"/>
              <w:rPr>
                <w:rFonts w:ascii="Calibri" w:eastAsia="Calibri" w:hAnsi="Calibri" w:cs="Calibri"/>
                <w:color w:val="000000"/>
                <w:lang w:val="en-US" w:eastAsia="en-AU"/>
              </w:rPr>
            </w:pPr>
            <w:r w:rsidRPr="00B444E0">
              <w:rPr>
                <w:rFonts w:ascii="Calibri" w:eastAsia="Calibri" w:hAnsi="Calibri" w:cs="Calibri"/>
                <w:color w:val="000000"/>
                <w:lang w:val="en-US" w:eastAsia="en-AU"/>
              </w:rPr>
              <w:t>78%</w:t>
            </w:r>
          </w:p>
        </w:tc>
        <w:tc>
          <w:tcPr>
            <w:tcW w:w="961" w:type="dxa"/>
          </w:tcPr>
          <w:p w14:paraId="12DED683" w14:textId="77777777" w:rsidR="00B444E0" w:rsidRPr="00B444E0" w:rsidRDefault="00B444E0" w:rsidP="00B444E0">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95%</w:t>
            </w:r>
          </w:p>
        </w:tc>
        <w:tc>
          <w:tcPr>
            <w:tcW w:w="961" w:type="dxa"/>
          </w:tcPr>
          <w:p w14:paraId="09D809B4" w14:textId="77777777" w:rsidR="00B444E0" w:rsidRPr="00B444E0" w:rsidRDefault="00B444E0" w:rsidP="00A40C43">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79%</w:t>
            </w:r>
          </w:p>
        </w:tc>
        <w:tc>
          <w:tcPr>
            <w:tcW w:w="961" w:type="dxa"/>
          </w:tcPr>
          <w:p w14:paraId="3FF8F504" w14:textId="40531FFD" w:rsidR="00B444E0" w:rsidRPr="00B444E0" w:rsidRDefault="00FC6E3B" w:rsidP="00A40C43">
            <w:pPr>
              <w:spacing w:after="0" w:line="240" w:lineRule="auto"/>
              <w:jc w:val="center"/>
              <w:rPr>
                <w:rFonts w:ascii="Calibri" w:eastAsia="Calibri" w:hAnsi="Calibri" w:cs="Calibri"/>
                <w:lang w:val="en-US" w:eastAsia="en-AU"/>
              </w:rPr>
            </w:pPr>
            <w:r>
              <w:rPr>
                <w:rFonts w:ascii="Calibri" w:eastAsia="Calibri" w:hAnsi="Calibri" w:cs="Calibri"/>
                <w:lang w:val="en-US" w:eastAsia="en-AU"/>
              </w:rPr>
              <w:t>95%</w:t>
            </w:r>
          </w:p>
        </w:tc>
        <w:tc>
          <w:tcPr>
            <w:tcW w:w="961" w:type="dxa"/>
            <w:shd w:val="clear" w:color="auto" w:fill="auto"/>
          </w:tcPr>
          <w:p w14:paraId="4CDC5DE3" w14:textId="01FCED9D" w:rsidR="00B444E0" w:rsidRPr="00B444E0" w:rsidRDefault="00C6023B" w:rsidP="00A40C43">
            <w:pPr>
              <w:spacing w:after="0"/>
              <w:jc w:val="center"/>
              <w:rPr>
                <w:rFonts w:ascii="Calibri" w:eastAsia="Calibri" w:hAnsi="Calibri" w:cs="Calibri"/>
                <w:lang w:val="en-US" w:eastAsia="en-AU"/>
              </w:rPr>
            </w:pPr>
            <w:r w:rsidRPr="00C6023B">
              <w:rPr>
                <w:rFonts w:ascii="Calibri" w:eastAsia="Calibri" w:hAnsi="Calibri" w:cs="Calibri"/>
                <w:lang w:val="en-US" w:eastAsia="en-AU"/>
              </w:rPr>
              <w:t>92%</w:t>
            </w:r>
          </w:p>
        </w:tc>
        <w:tc>
          <w:tcPr>
            <w:tcW w:w="962" w:type="dxa"/>
          </w:tcPr>
          <w:p w14:paraId="3D0AB996" w14:textId="77777777" w:rsidR="00B444E0" w:rsidRPr="00B444E0" w:rsidRDefault="00B444E0" w:rsidP="00B444E0">
            <w:pPr>
              <w:spacing w:after="0" w:line="240" w:lineRule="auto"/>
              <w:rPr>
                <w:rFonts w:ascii="Calibri" w:eastAsia="Calibri" w:hAnsi="Calibri" w:cs="Calibri"/>
                <w:lang w:val="en-US" w:eastAsia="en-AU"/>
              </w:rPr>
            </w:pPr>
          </w:p>
        </w:tc>
        <w:tc>
          <w:tcPr>
            <w:tcW w:w="1396" w:type="dxa"/>
            <w:vAlign w:val="center"/>
          </w:tcPr>
          <w:p w14:paraId="5F7E8D73" w14:textId="37512BAA" w:rsidR="00B444E0" w:rsidRPr="00B444E0" w:rsidRDefault="00FC6E3B" w:rsidP="00C6023B">
            <w:pPr>
              <w:spacing w:before="120" w:after="12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Achieved</w:t>
            </w:r>
          </w:p>
        </w:tc>
      </w:tr>
    </w:tbl>
    <w:p w14:paraId="0C1DE19A" w14:textId="3EA2C5B7" w:rsidR="00B444E0" w:rsidRPr="00A40C43" w:rsidRDefault="005061E5" w:rsidP="00A40C43">
      <w:pPr>
        <w:pStyle w:val="ListParagraph"/>
        <w:numPr>
          <w:ilvl w:val="0"/>
          <w:numId w:val="55"/>
        </w:numPr>
        <w:spacing w:after="200" w:line="276" w:lineRule="auto"/>
        <w:rPr>
          <w:rFonts w:ascii="Calibri" w:eastAsia="Calibri" w:hAnsi="Calibri" w:cs="Calibri"/>
          <w:lang w:val="en-US" w:eastAsia="en-AU"/>
        </w:rPr>
      </w:pPr>
      <w:r>
        <w:rPr>
          <w:rFonts w:ascii="Calibri" w:eastAsia="Calibri" w:hAnsi="Calibri" w:cs="Calibri"/>
          <w:lang w:val="en-US" w:eastAsia="en-AU"/>
        </w:rPr>
        <w:t>Teacher discussions around ABLES data raised wonderings ab</w:t>
      </w:r>
      <w:r w:rsidR="00702C62">
        <w:rPr>
          <w:rFonts w:ascii="Calibri" w:eastAsia="Calibri" w:hAnsi="Calibri" w:cs="Calibri"/>
          <w:lang w:val="en-US" w:eastAsia="en-AU"/>
        </w:rPr>
        <w:t>o</w:t>
      </w:r>
      <w:r>
        <w:rPr>
          <w:rFonts w:ascii="Calibri" w:eastAsia="Calibri" w:hAnsi="Calibri" w:cs="Calibri"/>
          <w:lang w:val="en-US" w:eastAsia="en-AU"/>
        </w:rPr>
        <w:t xml:space="preserve">ut </w:t>
      </w:r>
      <w:r w:rsidR="00030D87">
        <w:rPr>
          <w:rFonts w:ascii="Calibri" w:eastAsia="Calibri" w:hAnsi="Calibri" w:cs="Calibri"/>
          <w:lang w:val="en-US" w:eastAsia="en-AU"/>
        </w:rPr>
        <w:t>learning intentions</w:t>
      </w:r>
      <w:r>
        <w:rPr>
          <w:rFonts w:ascii="Calibri" w:eastAsia="Calibri" w:hAnsi="Calibri" w:cs="Calibri"/>
          <w:lang w:val="en-US" w:eastAsia="en-AU"/>
        </w:rPr>
        <w:t xml:space="preserve"> changing every year, making </w:t>
      </w:r>
      <w:bookmarkStart w:id="4" w:name="_Hlk66095267"/>
      <w:r>
        <w:rPr>
          <w:rFonts w:ascii="Calibri" w:eastAsia="Calibri" w:hAnsi="Calibri" w:cs="Calibri"/>
          <w:lang w:val="en-US" w:eastAsia="en-AU"/>
        </w:rPr>
        <w:t>data difficult to track.</w:t>
      </w:r>
    </w:p>
    <w:tbl>
      <w:tblPr>
        <w:tblW w:w="80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7"/>
        <w:gridCol w:w="753"/>
        <w:gridCol w:w="915"/>
        <w:gridCol w:w="915"/>
        <w:gridCol w:w="915"/>
        <w:gridCol w:w="915"/>
        <w:gridCol w:w="915"/>
        <w:gridCol w:w="1590"/>
      </w:tblGrid>
      <w:tr w:rsidR="00B444E0" w:rsidRPr="00B444E0" w14:paraId="001DA6EF" w14:textId="77777777" w:rsidTr="00B444E0">
        <w:tc>
          <w:tcPr>
            <w:tcW w:w="6435" w:type="dxa"/>
            <w:gridSpan w:val="7"/>
          </w:tcPr>
          <w:p w14:paraId="71648D69"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 xml:space="preserve">Percentage of students </w:t>
            </w:r>
            <w:r w:rsidRPr="00B444E0">
              <w:rPr>
                <w:rFonts w:ascii="Calibri" w:eastAsia="Calibri" w:hAnsi="Calibri" w:cs="Calibri"/>
                <w:b/>
                <w:lang w:val="en-US" w:eastAsia="en-AU"/>
              </w:rPr>
              <w:t>achieving at or above</w:t>
            </w:r>
            <w:r w:rsidRPr="00B444E0">
              <w:rPr>
                <w:rFonts w:ascii="Calibri" w:eastAsia="Calibri" w:hAnsi="Calibri" w:cs="Calibri"/>
                <w:lang w:val="en-US" w:eastAsia="en-AU"/>
              </w:rPr>
              <w:t xml:space="preserve"> the expected growth in PIPS reading and number</w:t>
            </w:r>
          </w:p>
        </w:tc>
        <w:tc>
          <w:tcPr>
            <w:tcW w:w="1590" w:type="dxa"/>
            <w:vMerge w:val="restart"/>
          </w:tcPr>
          <w:p w14:paraId="3991E563" w14:textId="77777777" w:rsidR="00B444E0" w:rsidRPr="00B444E0" w:rsidRDefault="00B444E0" w:rsidP="00B444E0">
            <w:pPr>
              <w:spacing w:after="0" w:line="240" w:lineRule="auto"/>
              <w:rPr>
                <w:rFonts w:ascii="Calibri" w:eastAsia="Calibri" w:hAnsi="Calibri" w:cs="Calibri"/>
                <w:lang w:val="en-US" w:eastAsia="en-AU"/>
              </w:rPr>
            </w:pPr>
          </w:p>
          <w:p w14:paraId="2D19E4B4"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Target</w:t>
            </w:r>
          </w:p>
          <w:p w14:paraId="556789C8"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Achievement</w:t>
            </w:r>
          </w:p>
        </w:tc>
      </w:tr>
      <w:tr w:rsidR="00B444E0" w:rsidRPr="00B444E0" w14:paraId="7319E02D" w14:textId="77777777" w:rsidTr="00B444E0">
        <w:tc>
          <w:tcPr>
            <w:tcW w:w="1107" w:type="dxa"/>
          </w:tcPr>
          <w:p w14:paraId="0C99DA2C" w14:textId="77777777" w:rsidR="00B444E0" w:rsidRPr="00B444E0" w:rsidRDefault="00B444E0" w:rsidP="00B444E0">
            <w:pPr>
              <w:spacing w:after="0" w:line="240" w:lineRule="auto"/>
              <w:rPr>
                <w:rFonts w:ascii="Calibri" w:eastAsia="Calibri" w:hAnsi="Calibri" w:cs="Calibri"/>
                <w:lang w:val="en-US" w:eastAsia="en-AU"/>
              </w:rPr>
            </w:pPr>
          </w:p>
        </w:tc>
        <w:tc>
          <w:tcPr>
            <w:tcW w:w="753" w:type="dxa"/>
          </w:tcPr>
          <w:p w14:paraId="05537812"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2016</w:t>
            </w:r>
          </w:p>
        </w:tc>
        <w:tc>
          <w:tcPr>
            <w:tcW w:w="915" w:type="dxa"/>
          </w:tcPr>
          <w:p w14:paraId="6E32013A"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2017</w:t>
            </w:r>
          </w:p>
        </w:tc>
        <w:tc>
          <w:tcPr>
            <w:tcW w:w="915" w:type="dxa"/>
          </w:tcPr>
          <w:p w14:paraId="0F65EF95"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2018</w:t>
            </w:r>
          </w:p>
        </w:tc>
        <w:tc>
          <w:tcPr>
            <w:tcW w:w="915" w:type="dxa"/>
          </w:tcPr>
          <w:p w14:paraId="54A4EE16"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2019</w:t>
            </w:r>
          </w:p>
        </w:tc>
        <w:tc>
          <w:tcPr>
            <w:tcW w:w="915" w:type="dxa"/>
          </w:tcPr>
          <w:p w14:paraId="564E9C5B"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2020</w:t>
            </w:r>
          </w:p>
        </w:tc>
        <w:tc>
          <w:tcPr>
            <w:tcW w:w="915" w:type="dxa"/>
          </w:tcPr>
          <w:p w14:paraId="20D12B26"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2021</w:t>
            </w:r>
          </w:p>
        </w:tc>
        <w:tc>
          <w:tcPr>
            <w:tcW w:w="1590" w:type="dxa"/>
            <w:vMerge/>
          </w:tcPr>
          <w:p w14:paraId="13710D5A" w14:textId="77777777" w:rsidR="00B444E0" w:rsidRPr="00B444E0" w:rsidRDefault="00B444E0" w:rsidP="00B444E0">
            <w:pPr>
              <w:widowControl w:val="0"/>
              <w:pBdr>
                <w:top w:val="nil"/>
                <w:left w:val="nil"/>
                <w:bottom w:val="nil"/>
                <w:right w:val="nil"/>
                <w:between w:val="nil"/>
              </w:pBdr>
              <w:spacing w:after="0" w:line="276" w:lineRule="auto"/>
              <w:rPr>
                <w:rFonts w:ascii="Calibri" w:eastAsia="Calibri" w:hAnsi="Calibri" w:cs="Calibri"/>
                <w:lang w:val="en-US" w:eastAsia="en-AU"/>
              </w:rPr>
            </w:pPr>
          </w:p>
        </w:tc>
      </w:tr>
      <w:tr w:rsidR="00B444E0" w:rsidRPr="00B444E0" w14:paraId="4DFF55C5" w14:textId="77777777" w:rsidTr="00232292">
        <w:tc>
          <w:tcPr>
            <w:tcW w:w="1107" w:type="dxa"/>
          </w:tcPr>
          <w:p w14:paraId="42BA1E2D"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Reading</w:t>
            </w:r>
          </w:p>
        </w:tc>
        <w:tc>
          <w:tcPr>
            <w:tcW w:w="753" w:type="dxa"/>
          </w:tcPr>
          <w:p w14:paraId="792479B0" w14:textId="77777777" w:rsidR="00B444E0" w:rsidRPr="00B444E0" w:rsidRDefault="00B444E0" w:rsidP="00B444E0">
            <w:pPr>
              <w:spacing w:after="0" w:line="240" w:lineRule="auto"/>
              <w:jc w:val="center"/>
              <w:rPr>
                <w:rFonts w:ascii="Calibri" w:eastAsia="Calibri" w:hAnsi="Calibri" w:cs="Calibri"/>
                <w:color w:val="000000"/>
                <w:lang w:val="en-US" w:eastAsia="en-AU"/>
              </w:rPr>
            </w:pPr>
            <w:r w:rsidRPr="00B444E0">
              <w:rPr>
                <w:rFonts w:ascii="Calibri" w:eastAsia="Calibri" w:hAnsi="Calibri" w:cs="Calibri"/>
                <w:color w:val="000000"/>
                <w:lang w:val="en-US" w:eastAsia="en-AU"/>
              </w:rPr>
              <w:t>81%</w:t>
            </w:r>
          </w:p>
        </w:tc>
        <w:tc>
          <w:tcPr>
            <w:tcW w:w="915" w:type="dxa"/>
          </w:tcPr>
          <w:p w14:paraId="075D50DF" w14:textId="77777777" w:rsidR="00B444E0" w:rsidRPr="00B444E0" w:rsidRDefault="00B444E0" w:rsidP="00B444E0">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83%</w:t>
            </w:r>
          </w:p>
        </w:tc>
        <w:tc>
          <w:tcPr>
            <w:tcW w:w="915" w:type="dxa"/>
          </w:tcPr>
          <w:p w14:paraId="21F43F46"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85%</w:t>
            </w:r>
          </w:p>
        </w:tc>
        <w:tc>
          <w:tcPr>
            <w:tcW w:w="915" w:type="dxa"/>
          </w:tcPr>
          <w:p w14:paraId="322C261D" w14:textId="1CCA0B2C" w:rsidR="00B444E0" w:rsidRPr="00B444E0" w:rsidRDefault="00FC6E3B" w:rsidP="00B444E0">
            <w:pPr>
              <w:spacing w:after="0" w:line="240" w:lineRule="auto"/>
              <w:rPr>
                <w:rFonts w:ascii="Calibri" w:eastAsia="Calibri" w:hAnsi="Calibri" w:cs="Calibri"/>
                <w:lang w:val="en-US" w:eastAsia="en-AU"/>
              </w:rPr>
            </w:pPr>
            <w:r>
              <w:rPr>
                <w:rFonts w:ascii="Calibri" w:eastAsia="Calibri" w:hAnsi="Calibri" w:cs="Calibri"/>
                <w:lang w:val="en-US" w:eastAsia="en-AU"/>
              </w:rPr>
              <w:t>90%</w:t>
            </w:r>
          </w:p>
        </w:tc>
        <w:tc>
          <w:tcPr>
            <w:tcW w:w="915" w:type="dxa"/>
            <w:shd w:val="clear" w:color="auto" w:fill="auto"/>
          </w:tcPr>
          <w:p w14:paraId="62BEFD86" w14:textId="5EF5A036" w:rsidR="00B444E0" w:rsidRPr="00232292" w:rsidRDefault="00232292" w:rsidP="00B444E0">
            <w:pPr>
              <w:spacing w:after="0" w:line="240" w:lineRule="auto"/>
              <w:rPr>
                <w:rFonts w:ascii="Calibri" w:eastAsia="Calibri" w:hAnsi="Calibri" w:cs="Calibri"/>
                <w:lang w:val="en-US" w:eastAsia="en-AU"/>
              </w:rPr>
            </w:pPr>
            <w:r>
              <w:rPr>
                <w:rFonts w:ascii="Calibri" w:eastAsia="Calibri" w:hAnsi="Calibri" w:cs="Calibri"/>
                <w:lang w:val="en-US" w:eastAsia="en-AU"/>
              </w:rPr>
              <w:t>N/A*</w:t>
            </w:r>
          </w:p>
        </w:tc>
        <w:tc>
          <w:tcPr>
            <w:tcW w:w="915" w:type="dxa"/>
          </w:tcPr>
          <w:p w14:paraId="5410F976" w14:textId="77777777" w:rsidR="00B444E0" w:rsidRPr="00B444E0" w:rsidRDefault="00B444E0" w:rsidP="00B444E0">
            <w:pPr>
              <w:spacing w:after="0" w:line="240" w:lineRule="auto"/>
              <w:rPr>
                <w:rFonts w:ascii="Calibri" w:eastAsia="Calibri" w:hAnsi="Calibri" w:cs="Calibri"/>
                <w:lang w:val="en-US" w:eastAsia="en-AU"/>
              </w:rPr>
            </w:pPr>
          </w:p>
        </w:tc>
        <w:tc>
          <w:tcPr>
            <w:tcW w:w="1590" w:type="dxa"/>
            <w:vAlign w:val="center"/>
          </w:tcPr>
          <w:p w14:paraId="2A3F0068" w14:textId="4331E0FE" w:rsidR="00B444E0" w:rsidRPr="00B444E0" w:rsidRDefault="00B444E0" w:rsidP="00B444E0">
            <w:pPr>
              <w:spacing w:before="120" w:after="120" w:line="240" w:lineRule="auto"/>
              <w:jc w:val="center"/>
              <w:rPr>
                <w:rFonts w:ascii="Calibri" w:eastAsia="Calibri" w:hAnsi="Calibri" w:cs="Calibri"/>
                <w:sz w:val="24"/>
                <w:szCs w:val="24"/>
                <w:lang w:val="en-US" w:eastAsia="en-AU"/>
              </w:rPr>
            </w:pPr>
          </w:p>
        </w:tc>
      </w:tr>
      <w:tr w:rsidR="00B444E0" w:rsidRPr="00B444E0" w14:paraId="5403C792" w14:textId="77777777" w:rsidTr="00232292">
        <w:tc>
          <w:tcPr>
            <w:tcW w:w="1107" w:type="dxa"/>
          </w:tcPr>
          <w:p w14:paraId="578A450D"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lastRenderedPageBreak/>
              <w:t>Number</w:t>
            </w:r>
          </w:p>
        </w:tc>
        <w:tc>
          <w:tcPr>
            <w:tcW w:w="753" w:type="dxa"/>
          </w:tcPr>
          <w:p w14:paraId="6E87DF6F" w14:textId="77777777" w:rsidR="00B444E0" w:rsidRPr="00B444E0" w:rsidRDefault="00B444E0" w:rsidP="00B444E0">
            <w:pPr>
              <w:spacing w:after="0" w:line="240" w:lineRule="auto"/>
              <w:jc w:val="center"/>
              <w:rPr>
                <w:rFonts w:ascii="Calibri" w:eastAsia="Calibri" w:hAnsi="Calibri" w:cs="Calibri"/>
                <w:color w:val="000000"/>
                <w:lang w:val="en-US" w:eastAsia="en-AU"/>
              </w:rPr>
            </w:pPr>
            <w:r w:rsidRPr="00B444E0">
              <w:rPr>
                <w:rFonts w:ascii="Calibri" w:eastAsia="Calibri" w:hAnsi="Calibri" w:cs="Calibri"/>
                <w:color w:val="000000"/>
                <w:lang w:val="en-US" w:eastAsia="en-AU"/>
              </w:rPr>
              <w:t>92%</w:t>
            </w:r>
          </w:p>
        </w:tc>
        <w:tc>
          <w:tcPr>
            <w:tcW w:w="915" w:type="dxa"/>
          </w:tcPr>
          <w:p w14:paraId="6D938BC0" w14:textId="77777777" w:rsidR="00B444E0" w:rsidRPr="00B444E0" w:rsidRDefault="00B444E0" w:rsidP="00B444E0">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84%</w:t>
            </w:r>
          </w:p>
        </w:tc>
        <w:tc>
          <w:tcPr>
            <w:tcW w:w="915" w:type="dxa"/>
          </w:tcPr>
          <w:p w14:paraId="50652A47"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87%</w:t>
            </w:r>
          </w:p>
        </w:tc>
        <w:tc>
          <w:tcPr>
            <w:tcW w:w="915" w:type="dxa"/>
          </w:tcPr>
          <w:p w14:paraId="5413C46D" w14:textId="1A5FE057" w:rsidR="00B444E0" w:rsidRPr="00B444E0" w:rsidRDefault="00FC6E3B" w:rsidP="00B444E0">
            <w:pPr>
              <w:spacing w:after="0" w:line="240" w:lineRule="auto"/>
              <w:rPr>
                <w:rFonts w:ascii="Calibri" w:eastAsia="Calibri" w:hAnsi="Calibri" w:cs="Calibri"/>
                <w:lang w:val="en-US" w:eastAsia="en-AU"/>
              </w:rPr>
            </w:pPr>
            <w:r>
              <w:rPr>
                <w:rFonts w:ascii="Calibri" w:eastAsia="Calibri" w:hAnsi="Calibri" w:cs="Calibri"/>
                <w:lang w:val="en-US" w:eastAsia="en-AU"/>
              </w:rPr>
              <w:t>98%</w:t>
            </w:r>
          </w:p>
        </w:tc>
        <w:tc>
          <w:tcPr>
            <w:tcW w:w="915" w:type="dxa"/>
            <w:shd w:val="clear" w:color="auto" w:fill="auto"/>
          </w:tcPr>
          <w:p w14:paraId="15637340" w14:textId="1899CA61" w:rsidR="00B444E0" w:rsidRPr="00232292" w:rsidRDefault="00232292" w:rsidP="00B444E0">
            <w:pPr>
              <w:spacing w:after="0" w:line="240" w:lineRule="auto"/>
              <w:rPr>
                <w:rFonts w:ascii="Calibri" w:eastAsia="Calibri" w:hAnsi="Calibri" w:cs="Calibri"/>
                <w:lang w:val="en-US" w:eastAsia="en-AU"/>
              </w:rPr>
            </w:pPr>
            <w:r>
              <w:rPr>
                <w:rFonts w:ascii="Calibri" w:eastAsia="Calibri" w:hAnsi="Calibri" w:cs="Calibri"/>
                <w:lang w:val="en-US" w:eastAsia="en-AU"/>
              </w:rPr>
              <w:t>N/A*</w:t>
            </w:r>
          </w:p>
        </w:tc>
        <w:tc>
          <w:tcPr>
            <w:tcW w:w="915" w:type="dxa"/>
          </w:tcPr>
          <w:p w14:paraId="23491613" w14:textId="77777777" w:rsidR="00B444E0" w:rsidRPr="00B444E0" w:rsidRDefault="00B444E0" w:rsidP="00B444E0">
            <w:pPr>
              <w:spacing w:after="0" w:line="240" w:lineRule="auto"/>
              <w:rPr>
                <w:rFonts w:ascii="Calibri" w:eastAsia="Calibri" w:hAnsi="Calibri" w:cs="Calibri"/>
                <w:lang w:val="en-US" w:eastAsia="en-AU"/>
              </w:rPr>
            </w:pPr>
          </w:p>
        </w:tc>
        <w:tc>
          <w:tcPr>
            <w:tcW w:w="1590" w:type="dxa"/>
            <w:vAlign w:val="center"/>
          </w:tcPr>
          <w:p w14:paraId="45E096BE" w14:textId="6B91410B" w:rsidR="00B444E0" w:rsidRPr="00B444E0" w:rsidRDefault="00FC6E3B" w:rsidP="00B444E0">
            <w:pPr>
              <w:spacing w:before="120" w:after="12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Maintained</w:t>
            </w:r>
          </w:p>
        </w:tc>
      </w:tr>
    </w:tbl>
    <w:p w14:paraId="5F13E089" w14:textId="77777777" w:rsidR="00232292" w:rsidRDefault="00232292" w:rsidP="00232292">
      <w:pPr>
        <w:rPr>
          <w:i/>
          <w:iCs/>
          <w:color w:val="000000"/>
          <w:lang w:eastAsia="en-AU"/>
        </w:rPr>
      </w:pPr>
    </w:p>
    <w:p w14:paraId="003A2892" w14:textId="4EF9C553" w:rsidR="00232292" w:rsidRDefault="00232292" w:rsidP="00232292">
      <w:r>
        <w:rPr>
          <w:i/>
          <w:iCs/>
          <w:color w:val="000000"/>
          <w:lang w:eastAsia="en-AU"/>
        </w:rPr>
        <w:t>*</w:t>
      </w:r>
      <w:r w:rsidRPr="00232292">
        <w:rPr>
          <w:i/>
          <w:iCs/>
          <w:color w:val="000000"/>
          <w:lang w:eastAsia="en-AU"/>
        </w:rPr>
        <w:t>Due to the impact of COVID-19, analysis of BASE data for 2020 has been delayed. Analysis will be provided to schools in 2021. Please speak with the school should you require further information.</w:t>
      </w:r>
    </w:p>
    <w:tbl>
      <w:tblPr>
        <w:tblW w:w="80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885"/>
        <w:gridCol w:w="885"/>
        <w:gridCol w:w="885"/>
        <w:gridCol w:w="885"/>
        <w:gridCol w:w="885"/>
        <w:gridCol w:w="885"/>
        <w:gridCol w:w="1575"/>
      </w:tblGrid>
      <w:tr w:rsidR="00B444E0" w:rsidRPr="00B444E0" w14:paraId="7AA9EAAC" w14:textId="77777777" w:rsidTr="00B444E0">
        <w:tc>
          <w:tcPr>
            <w:tcW w:w="6450" w:type="dxa"/>
            <w:gridSpan w:val="7"/>
          </w:tcPr>
          <w:bookmarkEnd w:id="4"/>
          <w:p w14:paraId="59CE68F3"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 xml:space="preserve">Percentage of students in year 5 making </w:t>
            </w:r>
            <w:r w:rsidRPr="00B444E0">
              <w:rPr>
                <w:rFonts w:ascii="Calibri" w:eastAsia="Calibri" w:hAnsi="Calibri" w:cs="Calibri"/>
                <w:b/>
                <w:lang w:val="en-US" w:eastAsia="en-AU"/>
              </w:rPr>
              <w:t>equal to or greater than</w:t>
            </w:r>
            <w:r w:rsidRPr="00B444E0">
              <w:rPr>
                <w:rFonts w:ascii="Calibri" w:eastAsia="Calibri" w:hAnsi="Calibri" w:cs="Calibri"/>
                <w:lang w:val="en-US" w:eastAsia="en-AU"/>
              </w:rPr>
              <w:t xml:space="preserve"> expected growth in NAPLAN reading, writing and numeracy</w:t>
            </w:r>
          </w:p>
        </w:tc>
        <w:tc>
          <w:tcPr>
            <w:tcW w:w="1575" w:type="dxa"/>
            <w:vMerge w:val="restart"/>
          </w:tcPr>
          <w:p w14:paraId="5E9D1EC6" w14:textId="77777777" w:rsidR="00B444E0" w:rsidRPr="00B444E0" w:rsidRDefault="00B444E0" w:rsidP="00B444E0">
            <w:pPr>
              <w:spacing w:after="0" w:line="240" w:lineRule="auto"/>
              <w:rPr>
                <w:rFonts w:ascii="Calibri" w:eastAsia="Calibri" w:hAnsi="Calibri" w:cs="Calibri"/>
                <w:lang w:val="en-US" w:eastAsia="en-AU"/>
              </w:rPr>
            </w:pPr>
          </w:p>
          <w:p w14:paraId="4CB26C5E"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Target</w:t>
            </w:r>
          </w:p>
          <w:p w14:paraId="73F43533"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Achievement</w:t>
            </w:r>
          </w:p>
        </w:tc>
      </w:tr>
      <w:tr w:rsidR="00B444E0" w:rsidRPr="00B444E0" w14:paraId="63DAD315" w14:textId="77777777" w:rsidTr="00B444E0">
        <w:tc>
          <w:tcPr>
            <w:tcW w:w="1140" w:type="dxa"/>
          </w:tcPr>
          <w:p w14:paraId="639CC025" w14:textId="77777777" w:rsidR="00B444E0" w:rsidRPr="00B444E0" w:rsidRDefault="00B444E0" w:rsidP="00B444E0">
            <w:pPr>
              <w:spacing w:after="0" w:line="240" w:lineRule="auto"/>
              <w:rPr>
                <w:rFonts w:ascii="Calibri" w:eastAsia="Calibri" w:hAnsi="Calibri" w:cs="Calibri"/>
                <w:lang w:val="en-US" w:eastAsia="en-AU"/>
              </w:rPr>
            </w:pPr>
            <w:proofErr w:type="spellStart"/>
            <w:r w:rsidRPr="00B444E0">
              <w:rPr>
                <w:rFonts w:ascii="Calibri" w:eastAsia="Calibri" w:hAnsi="Calibri" w:cs="Calibri"/>
                <w:lang w:val="en-US" w:eastAsia="en-AU"/>
              </w:rPr>
              <w:t>Yr</w:t>
            </w:r>
            <w:proofErr w:type="spellEnd"/>
            <w:r w:rsidRPr="00B444E0">
              <w:rPr>
                <w:rFonts w:ascii="Calibri" w:eastAsia="Calibri" w:hAnsi="Calibri" w:cs="Calibri"/>
                <w:lang w:val="en-US" w:eastAsia="en-AU"/>
              </w:rPr>
              <w:t xml:space="preserve"> 5</w:t>
            </w:r>
          </w:p>
        </w:tc>
        <w:tc>
          <w:tcPr>
            <w:tcW w:w="885" w:type="dxa"/>
          </w:tcPr>
          <w:p w14:paraId="0F84286E"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2016</w:t>
            </w:r>
          </w:p>
        </w:tc>
        <w:tc>
          <w:tcPr>
            <w:tcW w:w="885" w:type="dxa"/>
          </w:tcPr>
          <w:p w14:paraId="5C0FC765"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2017</w:t>
            </w:r>
          </w:p>
        </w:tc>
        <w:tc>
          <w:tcPr>
            <w:tcW w:w="885" w:type="dxa"/>
          </w:tcPr>
          <w:p w14:paraId="646159D0"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2018</w:t>
            </w:r>
          </w:p>
        </w:tc>
        <w:tc>
          <w:tcPr>
            <w:tcW w:w="885" w:type="dxa"/>
          </w:tcPr>
          <w:p w14:paraId="05BF5E87"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2019</w:t>
            </w:r>
          </w:p>
        </w:tc>
        <w:tc>
          <w:tcPr>
            <w:tcW w:w="885" w:type="dxa"/>
          </w:tcPr>
          <w:p w14:paraId="199A0BFB"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2020</w:t>
            </w:r>
          </w:p>
        </w:tc>
        <w:tc>
          <w:tcPr>
            <w:tcW w:w="885" w:type="dxa"/>
          </w:tcPr>
          <w:p w14:paraId="45CA52BB"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2021</w:t>
            </w:r>
          </w:p>
        </w:tc>
        <w:tc>
          <w:tcPr>
            <w:tcW w:w="1575" w:type="dxa"/>
            <w:vMerge/>
          </w:tcPr>
          <w:p w14:paraId="7DD4B2C3" w14:textId="77777777" w:rsidR="00B444E0" w:rsidRPr="00B444E0" w:rsidRDefault="00B444E0" w:rsidP="00B444E0">
            <w:pPr>
              <w:widowControl w:val="0"/>
              <w:pBdr>
                <w:top w:val="nil"/>
                <w:left w:val="nil"/>
                <w:bottom w:val="nil"/>
                <w:right w:val="nil"/>
                <w:between w:val="nil"/>
              </w:pBdr>
              <w:spacing w:after="0" w:line="276" w:lineRule="auto"/>
              <w:rPr>
                <w:rFonts w:ascii="Calibri" w:eastAsia="Calibri" w:hAnsi="Calibri" w:cs="Calibri"/>
                <w:lang w:val="en-US" w:eastAsia="en-AU"/>
              </w:rPr>
            </w:pPr>
          </w:p>
        </w:tc>
      </w:tr>
      <w:tr w:rsidR="00B444E0" w:rsidRPr="00B444E0" w14:paraId="1AEC372A" w14:textId="77777777" w:rsidTr="00DD791E">
        <w:tc>
          <w:tcPr>
            <w:tcW w:w="1140" w:type="dxa"/>
          </w:tcPr>
          <w:p w14:paraId="5CE0AA5D"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Reading</w:t>
            </w:r>
          </w:p>
        </w:tc>
        <w:tc>
          <w:tcPr>
            <w:tcW w:w="885" w:type="dxa"/>
            <w:shd w:val="clear" w:color="auto" w:fill="auto"/>
          </w:tcPr>
          <w:p w14:paraId="31F4948B" w14:textId="77777777" w:rsidR="00B444E0" w:rsidRPr="00B444E0" w:rsidRDefault="00B444E0" w:rsidP="00DD791E">
            <w:pPr>
              <w:spacing w:after="0" w:line="240" w:lineRule="auto"/>
              <w:jc w:val="center"/>
              <w:rPr>
                <w:rFonts w:ascii="Calibri" w:eastAsia="Calibri" w:hAnsi="Calibri" w:cs="Calibri"/>
                <w:color w:val="000000"/>
                <w:lang w:val="en-US" w:eastAsia="en-AU"/>
              </w:rPr>
            </w:pPr>
            <w:r w:rsidRPr="00B444E0">
              <w:rPr>
                <w:rFonts w:ascii="Calibri" w:eastAsia="Calibri" w:hAnsi="Calibri" w:cs="Calibri"/>
                <w:color w:val="000000"/>
                <w:lang w:val="en-US" w:eastAsia="en-AU"/>
              </w:rPr>
              <w:t>61.9%</w:t>
            </w:r>
          </w:p>
        </w:tc>
        <w:tc>
          <w:tcPr>
            <w:tcW w:w="885" w:type="dxa"/>
            <w:shd w:val="clear" w:color="auto" w:fill="auto"/>
          </w:tcPr>
          <w:p w14:paraId="0EF35B69"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76.7%</w:t>
            </w:r>
          </w:p>
        </w:tc>
        <w:tc>
          <w:tcPr>
            <w:tcW w:w="885" w:type="dxa"/>
            <w:shd w:val="clear" w:color="auto" w:fill="auto"/>
          </w:tcPr>
          <w:p w14:paraId="2906867D"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78.7%</w:t>
            </w:r>
          </w:p>
        </w:tc>
        <w:tc>
          <w:tcPr>
            <w:tcW w:w="885" w:type="dxa"/>
            <w:shd w:val="clear" w:color="auto" w:fill="auto"/>
          </w:tcPr>
          <w:p w14:paraId="7A623DDA"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67%</w:t>
            </w:r>
          </w:p>
        </w:tc>
        <w:tc>
          <w:tcPr>
            <w:tcW w:w="885" w:type="dxa"/>
            <w:shd w:val="clear" w:color="auto" w:fill="auto"/>
          </w:tcPr>
          <w:p w14:paraId="25EBC93C" w14:textId="2A989835" w:rsidR="00B444E0" w:rsidRPr="00B444E0" w:rsidRDefault="00DD791E" w:rsidP="00DD791E">
            <w:pPr>
              <w:spacing w:after="0" w:line="240" w:lineRule="auto"/>
              <w:jc w:val="center"/>
              <w:rPr>
                <w:rFonts w:ascii="Calibri" w:eastAsia="Calibri" w:hAnsi="Calibri" w:cs="Calibri"/>
                <w:lang w:val="en-US" w:eastAsia="en-AU"/>
              </w:rPr>
            </w:pPr>
            <w:r>
              <w:rPr>
                <w:rFonts w:ascii="Calibri" w:eastAsia="Calibri" w:hAnsi="Calibri" w:cs="Calibri"/>
                <w:lang w:val="en-US" w:eastAsia="en-AU"/>
              </w:rPr>
              <w:t>N/A</w:t>
            </w:r>
          </w:p>
        </w:tc>
        <w:tc>
          <w:tcPr>
            <w:tcW w:w="885" w:type="dxa"/>
          </w:tcPr>
          <w:p w14:paraId="6193D225" w14:textId="77777777" w:rsidR="00B444E0" w:rsidRPr="00B444E0" w:rsidRDefault="00B444E0" w:rsidP="00B444E0">
            <w:pPr>
              <w:spacing w:after="0" w:line="240" w:lineRule="auto"/>
              <w:rPr>
                <w:rFonts w:ascii="Calibri" w:eastAsia="Calibri" w:hAnsi="Calibri" w:cs="Calibri"/>
                <w:lang w:val="en-US" w:eastAsia="en-AU"/>
              </w:rPr>
            </w:pPr>
          </w:p>
        </w:tc>
        <w:tc>
          <w:tcPr>
            <w:tcW w:w="1575" w:type="dxa"/>
            <w:vAlign w:val="center"/>
          </w:tcPr>
          <w:p w14:paraId="7EF1BCFD" w14:textId="7BE26B99" w:rsidR="00B444E0" w:rsidRPr="00B444E0" w:rsidRDefault="00D93457" w:rsidP="00B444E0">
            <w:pPr>
              <w:spacing w:before="120" w:after="12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In progress</w:t>
            </w:r>
          </w:p>
        </w:tc>
      </w:tr>
      <w:tr w:rsidR="00B444E0" w:rsidRPr="00B444E0" w14:paraId="0D3B9BE7" w14:textId="77777777" w:rsidTr="00DD791E">
        <w:tc>
          <w:tcPr>
            <w:tcW w:w="1140" w:type="dxa"/>
          </w:tcPr>
          <w:p w14:paraId="730D0678"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Writing</w:t>
            </w:r>
          </w:p>
        </w:tc>
        <w:tc>
          <w:tcPr>
            <w:tcW w:w="885" w:type="dxa"/>
            <w:shd w:val="clear" w:color="auto" w:fill="auto"/>
          </w:tcPr>
          <w:p w14:paraId="55BE1CFB" w14:textId="77777777" w:rsidR="00B444E0" w:rsidRPr="00B444E0" w:rsidRDefault="00B444E0" w:rsidP="00DD791E">
            <w:pPr>
              <w:spacing w:after="0" w:line="240" w:lineRule="auto"/>
              <w:jc w:val="center"/>
              <w:rPr>
                <w:rFonts w:ascii="Calibri" w:eastAsia="Calibri" w:hAnsi="Calibri" w:cs="Calibri"/>
                <w:color w:val="000000"/>
                <w:lang w:val="en-US" w:eastAsia="en-AU"/>
              </w:rPr>
            </w:pPr>
            <w:r w:rsidRPr="00B444E0">
              <w:rPr>
                <w:rFonts w:ascii="Calibri" w:eastAsia="Calibri" w:hAnsi="Calibri" w:cs="Calibri"/>
                <w:color w:val="000000"/>
                <w:lang w:val="en-US" w:eastAsia="en-AU"/>
              </w:rPr>
              <w:t>n/a</w:t>
            </w:r>
          </w:p>
        </w:tc>
        <w:tc>
          <w:tcPr>
            <w:tcW w:w="885" w:type="dxa"/>
            <w:shd w:val="clear" w:color="auto" w:fill="auto"/>
          </w:tcPr>
          <w:p w14:paraId="796ABEE5"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64.3%</w:t>
            </w:r>
          </w:p>
        </w:tc>
        <w:tc>
          <w:tcPr>
            <w:tcW w:w="885" w:type="dxa"/>
            <w:shd w:val="clear" w:color="auto" w:fill="auto"/>
          </w:tcPr>
          <w:p w14:paraId="0F2A3EBF"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64.5%</w:t>
            </w:r>
          </w:p>
        </w:tc>
        <w:tc>
          <w:tcPr>
            <w:tcW w:w="885" w:type="dxa"/>
            <w:shd w:val="clear" w:color="auto" w:fill="auto"/>
          </w:tcPr>
          <w:p w14:paraId="62B5DA0F"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67%</w:t>
            </w:r>
          </w:p>
        </w:tc>
        <w:tc>
          <w:tcPr>
            <w:tcW w:w="885" w:type="dxa"/>
            <w:shd w:val="clear" w:color="auto" w:fill="auto"/>
          </w:tcPr>
          <w:p w14:paraId="757B65E3" w14:textId="0B75D5BC" w:rsidR="00B444E0" w:rsidRPr="00B444E0" w:rsidRDefault="00DD791E" w:rsidP="00DD791E">
            <w:pPr>
              <w:spacing w:after="0" w:line="240" w:lineRule="auto"/>
              <w:jc w:val="center"/>
              <w:rPr>
                <w:rFonts w:ascii="Calibri" w:eastAsia="Calibri" w:hAnsi="Calibri" w:cs="Calibri"/>
                <w:lang w:val="en-US" w:eastAsia="en-AU"/>
              </w:rPr>
            </w:pPr>
            <w:r>
              <w:rPr>
                <w:rFonts w:ascii="Calibri" w:eastAsia="Calibri" w:hAnsi="Calibri" w:cs="Calibri"/>
                <w:lang w:val="en-US" w:eastAsia="en-AU"/>
              </w:rPr>
              <w:t>N/A</w:t>
            </w:r>
          </w:p>
        </w:tc>
        <w:tc>
          <w:tcPr>
            <w:tcW w:w="885" w:type="dxa"/>
          </w:tcPr>
          <w:p w14:paraId="1A0099A6" w14:textId="77777777" w:rsidR="00B444E0" w:rsidRPr="00B444E0" w:rsidRDefault="00B444E0" w:rsidP="00B444E0">
            <w:pPr>
              <w:spacing w:after="0" w:line="240" w:lineRule="auto"/>
              <w:rPr>
                <w:rFonts w:ascii="Calibri" w:eastAsia="Calibri" w:hAnsi="Calibri" w:cs="Calibri"/>
                <w:lang w:val="en-US" w:eastAsia="en-AU"/>
              </w:rPr>
            </w:pPr>
          </w:p>
        </w:tc>
        <w:tc>
          <w:tcPr>
            <w:tcW w:w="1575" w:type="dxa"/>
            <w:vAlign w:val="center"/>
          </w:tcPr>
          <w:p w14:paraId="2413233D" w14:textId="10C766AA" w:rsidR="00B444E0" w:rsidRPr="00B444E0" w:rsidRDefault="00FC6E3B" w:rsidP="00B444E0">
            <w:pPr>
              <w:spacing w:before="120" w:after="120" w:line="240" w:lineRule="auto"/>
              <w:jc w:val="center"/>
              <w:rPr>
                <w:rFonts w:ascii="Calibri" w:eastAsia="Calibri" w:hAnsi="Calibri" w:cs="Calibri"/>
                <w:sz w:val="24"/>
                <w:szCs w:val="24"/>
                <w:lang w:val="en-US" w:eastAsia="en-AU"/>
              </w:rPr>
            </w:pPr>
            <w:r>
              <w:rPr>
                <w:rFonts w:ascii="Calibri" w:eastAsia="Calibri" w:hAnsi="Calibri" w:cs="Calibri"/>
                <w:sz w:val="24"/>
                <w:szCs w:val="24"/>
                <w:lang w:val="en-US" w:eastAsia="en-AU"/>
              </w:rPr>
              <w:t>Maintained</w:t>
            </w:r>
          </w:p>
        </w:tc>
      </w:tr>
      <w:tr w:rsidR="00B444E0" w:rsidRPr="00B444E0" w14:paraId="32200249" w14:textId="77777777" w:rsidTr="00DD791E">
        <w:tc>
          <w:tcPr>
            <w:tcW w:w="1140" w:type="dxa"/>
          </w:tcPr>
          <w:p w14:paraId="42D89DFF"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Numeracy</w:t>
            </w:r>
          </w:p>
        </w:tc>
        <w:tc>
          <w:tcPr>
            <w:tcW w:w="885" w:type="dxa"/>
            <w:shd w:val="clear" w:color="auto" w:fill="auto"/>
          </w:tcPr>
          <w:p w14:paraId="0B321881" w14:textId="77777777" w:rsidR="00B444E0" w:rsidRPr="00B444E0" w:rsidRDefault="00B444E0" w:rsidP="00DD791E">
            <w:pPr>
              <w:spacing w:after="0" w:line="240" w:lineRule="auto"/>
              <w:jc w:val="center"/>
              <w:rPr>
                <w:rFonts w:ascii="Calibri" w:eastAsia="Calibri" w:hAnsi="Calibri" w:cs="Calibri"/>
                <w:color w:val="000000"/>
                <w:lang w:val="en-US" w:eastAsia="en-AU"/>
              </w:rPr>
            </w:pPr>
            <w:r w:rsidRPr="00B444E0">
              <w:rPr>
                <w:rFonts w:ascii="Calibri" w:eastAsia="Calibri" w:hAnsi="Calibri" w:cs="Calibri"/>
                <w:color w:val="000000"/>
                <w:lang w:val="en-US" w:eastAsia="en-AU"/>
              </w:rPr>
              <w:t>54.4%</w:t>
            </w:r>
          </w:p>
        </w:tc>
        <w:tc>
          <w:tcPr>
            <w:tcW w:w="885" w:type="dxa"/>
            <w:shd w:val="clear" w:color="auto" w:fill="auto"/>
          </w:tcPr>
          <w:p w14:paraId="1BE2D0AD"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64.3%</w:t>
            </w:r>
          </w:p>
        </w:tc>
        <w:tc>
          <w:tcPr>
            <w:tcW w:w="885" w:type="dxa"/>
            <w:shd w:val="clear" w:color="auto" w:fill="auto"/>
          </w:tcPr>
          <w:p w14:paraId="676C3F15"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41%</w:t>
            </w:r>
          </w:p>
        </w:tc>
        <w:tc>
          <w:tcPr>
            <w:tcW w:w="885" w:type="dxa"/>
            <w:shd w:val="clear" w:color="auto" w:fill="auto"/>
          </w:tcPr>
          <w:p w14:paraId="3EBCF859"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48%</w:t>
            </w:r>
          </w:p>
        </w:tc>
        <w:tc>
          <w:tcPr>
            <w:tcW w:w="885" w:type="dxa"/>
            <w:shd w:val="clear" w:color="auto" w:fill="auto"/>
          </w:tcPr>
          <w:p w14:paraId="72904180" w14:textId="57B41074" w:rsidR="00B444E0" w:rsidRPr="00B444E0" w:rsidRDefault="00DD791E" w:rsidP="00DD791E">
            <w:pPr>
              <w:spacing w:after="0" w:line="240" w:lineRule="auto"/>
              <w:jc w:val="center"/>
              <w:rPr>
                <w:rFonts w:ascii="Calibri" w:eastAsia="Calibri" w:hAnsi="Calibri" w:cs="Calibri"/>
                <w:lang w:val="en-US" w:eastAsia="en-AU"/>
              </w:rPr>
            </w:pPr>
            <w:r>
              <w:rPr>
                <w:rFonts w:ascii="Calibri" w:eastAsia="Calibri" w:hAnsi="Calibri" w:cs="Calibri"/>
                <w:lang w:val="en-US" w:eastAsia="en-AU"/>
              </w:rPr>
              <w:t>N/A</w:t>
            </w:r>
          </w:p>
        </w:tc>
        <w:tc>
          <w:tcPr>
            <w:tcW w:w="885" w:type="dxa"/>
          </w:tcPr>
          <w:p w14:paraId="232DBD2B" w14:textId="77777777" w:rsidR="00B444E0" w:rsidRPr="00B444E0" w:rsidRDefault="00B444E0" w:rsidP="00B444E0">
            <w:pPr>
              <w:spacing w:after="0" w:line="240" w:lineRule="auto"/>
              <w:rPr>
                <w:rFonts w:ascii="Calibri" w:eastAsia="Calibri" w:hAnsi="Calibri" w:cs="Calibri"/>
                <w:lang w:val="en-US" w:eastAsia="en-AU"/>
              </w:rPr>
            </w:pPr>
          </w:p>
        </w:tc>
        <w:tc>
          <w:tcPr>
            <w:tcW w:w="1575" w:type="dxa"/>
            <w:vAlign w:val="center"/>
          </w:tcPr>
          <w:p w14:paraId="2CBEE33A" w14:textId="77777777" w:rsidR="00B444E0" w:rsidRPr="00B444E0" w:rsidRDefault="00B444E0" w:rsidP="00B444E0">
            <w:pPr>
              <w:spacing w:before="120" w:after="120" w:line="240" w:lineRule="auto"/>
              <w:jc w:val="center"/>
              <w:rPr>
                <w:rFonts w:ascii="Calibri" w:eastAsia="Calibri" w:hAnsi="Calibri" w:cs="Calibri"/>
                <w:sz w:val="24"/>
                <w:szCs w:val="24"/>
                <w:lang w:val="en-US" w:eastAsia="en-AU"/>
              </w:rPr>
            </w:pPr>
            <w:r w:rsidRPr="00B444E0">
              <w:rPr>
                <w:rFonts w:ascii="Calibri" w:eastAsia="Calibri" w:hAnsi="Calibri" w:cs="Calibri"/>
                <w:sz w:val="24"/>
                <w:szCs w:val="24"/>
                <w:lang w:val="en-US" w:eastAsia="en-AU"/>
              </w:rPr>
              <w:t>In progress</w:t>
            </w:r>
          </w:p>
        </w:tc>
      </w:tr>
    </w:tbl>
    <w:p w14:paraId="110478AC" w14:textId="77777777" w:rsidR="00B444E0" w:rsidRPr="00B444E0" w:rsidRDefault="00B444E0" w:rsidP="00B444E0">
      <w:pPr>
        <w:spacing w:after="200" w:line="276" w:lineRule="auto"/>
        <w:rPr>
          <w:rFonts w:ascii="Calibri" w:eastAsia="Calibri" w:hAnsi="Calibri" w:cs="Calibri"/>
          <w:lang w:val="en-US" w:eastAsia="en-AU"/>
        </w:rPr>
      </w:pPr>
    </w:p>
    <w:tbl>
      <w:tblPr>
        <w:tblW w:w="8053"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880"/>
        <w:gridCol w:w="878"/>
        <w:gridCol w:w="878"/>
        <w:gridCol w:w="878"/>
        <w:gridCol w:w="878"/>
        <w:gridCol w:w="879"/>
        <w:gridCol w:w="1647"/>
      </w:tblGrid>
      <w:tr w:rsidR="00B444E0" w:rsidRPr="00B444E0" w14:paraId="123BB2AA" w14:textId="77777777" w:rsidTr="00B444E0">
        <w:tc>
          <w:tcPr>
            <w:tcW w:w="6406" w:type="dxa"/>
            <w:gridSpan w:val="7"/>
          </w:tcPr>
          <w:p w14:paraId="73962344"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 xml:space="preserve">Percentage of mainstream students </w:t>
            </w:r>
            <w:r w:rsidRPr="00B444E0">
              <w:rPr>
                <w:rFonts w:ascii="Calibri" w:eastAsia="Calibri" w:hAnsi="Calibri" w:cs="Calibri"/>
                <w:b/>
                <w:lang w:val="en-US" w:eastAsia="en-AU"/>
              </w:rPr>
              <w:t>achieving in the top two bands</w:t>
            </w:r>
            <w:r w:rsidRPr="00B444E0">
              <w:rPr>
                <w:rFonts w:ascii="Calibri" w:eastAsia="Calibri" w:hAnsi="Calibri" w:cs="Calibri"/>
                <w:lang w:val="en-US" w:eastAsia="en-AU"/>
              </w:rPr>
              <w:t xml:space="preserve"> for year 3 NAPLAN reading, writing, numeracy</w:t>
            </w:r>
          </w:p>
        </w:tc>
        <w:tc>
          <w:tcPr>
            <w:tcW w:w="1647" w:type="dxa"/>
            <w:vMerge w:val="restart"/>
          </w:tcPr>
          <w:p w14:paraId="61D3DE2A" w14:textId="77777777" w:rsidR="00B444E0" w:rsidRPr="00B444E0" w:rsidRDefault="00B444E0" w:rsidP="00B444E0">
            <w:pPr>
              <w:spacing w:after="0" w:line="240" w:lineRule="auto"/>
              <w:rPr>
                <w:rFonts w:ascii="Calibri" w:eastAsia="Calibri" w:hAnsi="Calibri" w:cs="Calibri"/>
                <w:lang w:val="en-US" w:eastAsia="en-AU"/>
              </w:rPr>
            </w:pPr>
          </w:p>
          <w:p w14:paraId="17FED1D8"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Target</w:t>
            </w:r>
          </w:p>
          <w:p w14:paraId="25C5041E"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Achievement</w:t>
            </w:r>
          </w:p>
        </w:tc>
      </w:tr>
      <w:tr w:rsidR="00B444E0" w:rsidRPr="00B444E0" w14:paraId="46F68F85" w14:textId="77777777" w:rsidTr="00B444E0">
        <w:tc>
          <w:tcPr>
            <w:tcW w:w="1135" w:type="dxa"/>
          </w:tcPr>
          <w:p w14:paraId="1741ED57" w14:textId="77777777" w:rsidR="00B444E0" w:rsidRPr="00B444E0" w:rsidRDefault="00B444E0" w:rsidP="00B444E0">
            <w:pPr>
              <w:spacing w:after="0" w:line="240" w:lineRule="auto"/>
              <w:rPr>
                <w:rFonts w:ascii="Calibri" w:eastAsia="Calibri" w:hAnsi="Calibri" w:cs="Calibri"/>
                <w:lang w:val="en-US" w:eastAsia="en-AU"/>
              </w:rPr>
            </w:pPr>
            <w:proofErr w:type="spellStart"/>
            <w:r w:rsidRPr="00B444E0">
              <w:rPr>
                <w:rFonts w:ascii="Calibri" w:eastAsia="Calibri" w:hAnsi="Calibri" w:cs="Calibri"/>
                <w:lang w:val="en-US" w:eastAsia="en-AU"/>
              </w:rPr>
              <w:t>Yr</w:t>
            </w:r>
            <w:proofErr w:type="spellEnd"/>
            <w:r w:rsidRPr="00B444E0">
              <w:rPr>
                <w:rFonts w:ascii="Calibri" w:eastAsia="Calibri" w:hAnsi="Calibri" w:cs="Calibri"/>
                <w:lang w:val="en-US" w:eastAsia="en-AU"/>
              </w:rPr>
              <w:t xml:space="preserve"> 3</w:t>
            </w:r>
          </w:p>
        </w:tc>
        <w:tc>
          <w:tcPr>
            <w:tcW w:w="880" w:type="dxa"/>
          </w:tcPr>
          <w:p w14:paraId="573AE451"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2016</w:t>
            </w:r>
          </w:p>
        </w:tc>
        <w:tc>
          <w:tcPr>
            <w:tcW w:w="878" w:type="dxa"/>
          </w:tcPr>
          <w:p w14:paraId="0955DCBC"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2017</w:t>
            </w:r>
          </w:p>
        </w:tc>
        <w:tc>
          <w:tcPr>
            <w:tcW w:w="878" w:type="dxa"/>
          </w:tcPr>
          <w:p w14:paraId="3E01BB97"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2018</w:t>
            </w:r>
          </w:p>
        </w:tc>
        <w:tc>
          <w:tcPr>
            <w:tcW w:w="878" w:type="dxa"/>
          </w:tcPr>
          <w:p w14:paraId="63865889"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2019</w:t>
            </w:r>
          </w:p>
        </w:tc>
        <w:tc>
          <w:tcPr>
            <w:tcW w:w="878" w:type="dxa"/>
          </w:tcPr>
          <w:p w14:paraId="33FF60F4"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2020</w:t>
            </w:r>
          </w:p>
        </w:tc>
        <w:tc>
          <w:tcPr>
            <w:tcW w:w="879" w:type="dxa"/>
          </w:tcPr>
          <w:p w14:paraId="67373AAB"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2021</w:t>
            </w:r>
          </w:p>
        </w:tc>
        <w:tc>
          <w:tcPr>
            <w:tcW w:w="1647" w:type="dxa"/>
            <w:vMerge/>
          </w:tcPr>
          <w:p w14:paraId="4CD29DA5" w14:textId="77777777" w:rsidR="00B444E0" w:rsidRPr="00B444E0" w:rsidRDefault="00B444E0" w:rsidP="00B444E0">
            <w:pPr>
              <w:widowControl w:val="0"/>
              <w:pBdr>
                <w:top w:val="nil"/>
                <w:left w:val="nil"/>
                <w:bottom w:val="nil"/>
                <w:right w:val="nil"/>
                <w:between w:val="nil"/>
              </w:pBdr>
              <w:spacing w:after="0" w:line="276" w:lineRule="auto"/>
              <w:rPr>
                <w:rFonts w:ascii="Calibri" w:eastAsia="Calibri" w:hAnsi="Calibri" w:cs="Calibri"/>
                <w:lang w:val="en-US" w:eastAsia="en-AU"/>
              </w:rPr>
            </w:pPr>
          </w:p>
        </w:tc>
      </w:tr>
      <w:tr w:rsidR="00B444E0" w:rsidRPr="00B444E0" w14:paraId="42D1FC47" w14:textId="77777777" w:rsidTr="00B444E0">
        <w:tc>
          <w:tcPr>
            <w:tcW w:w="1135" w:type="dxa"/>
          </w:tcPr>
          <w:p w14:paraId="7BECAD37"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Reading</w:t>
            </w:r>
          </w:p>
        </w:tc>
        <w:tc>
          <w:tcPr>
            <w:tcW w:w="880" w:type="dxa"/>
          </w:tcPr>
          <w:p w14:paraId="41BE1742" w14:textId="77777777" w:rsidR="00B444E0" w:rsidRPr="00B444E0" w:rsidRDefault="00B444E0" w:rsidP="00DD791E">
            <w:pPr>
              <w:spacing w:after="0" w:line="240" w:lineRule="auto"/>
              <w:jc w:val="center"/>
              <w:rPr>
                <w:rFonts w:ascii="Calibri" w:eastAsia="Calibri" w:hAnsi="Calibri" w:cs="Calibri"/>
                <w:color w:val="000000"/>
                <w:lang w:val="en-US" w:eastAsia="en-AU"/>
              </w:rPr>
            </w:pPr>
            <w:r w:rsidRPr="00B444E0">
              <w:rPr>
                <w:rFonts w:ascii="Calibri" w:eastAsia="Calibri" w:hAnsi="Calibri" w:cs="Calibri"/>
                <w:color w:val="000000"/>
                <w:lang w:val="en-US" w:eastAsia="en-AU"/>
              </w:rPr>
              <w:t>72%</w:t>
            </w:r>
          </w:p>
        </w:tc>
        <w:tc>
          <w:tcPr>
            <w:tcW w:w="878" w:type="dxa"/>
          </w:tcPr>
          <w:p w14:paraId="348F179E"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67.7%</w:t>
            </w:r>
          </w:p>
        </w:tc>
        <w:tc>
          <w:tcPr>
            <w:tcW w:w="878" w:type="dxa"/>
          </w:tcPr>
          <w:p w14:paraId="7089DDAA"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82%</w:t>
            </w:r>
          </w:p>
        </w:tc>
        <w:tc>
          <w:tcPr>
            <w:tcW w:w="878" w:type="dxa"/>
          </w:tcPr>
          <w:p w14:paraId="7409B7B8"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72%</w:t>
            </w:r>
          </w:p>
        </w:tc>
        <w:tc>
          <w:tcPr>
            <w:tcW w:w="878" w:type="dxa"/>
          </w:tcPr>
          <w:p w14:paraId="33D9FC84" w14:textId="6421C42E" w:rsidR="00B444E0" w:rsidRPr="00B444E0" w:rsidRDefault="00A35372" w:rsidP="00DD791E">
            <w:pPr>
              <w:spacing w:after="0" w:line="240" w:lineRule="auto"/>
              <w:jc w:val="center"/>
              <w:rPr>
                <w:rFonts w:ascii="Calibri" w:eastAsia="Calibri" w:hAnsi="Calibri" w:cs="Calibri"/>
                <w:lang w:val="en-US" w:eastAsia="en-AU"/>
              </w:rPr>
            </w:pPr>
            <w:r>
              <w:rPr>
                <w:rFonts w:ascii="Calibri" w:eastAsia="Calibri" w:hAnsi="Calibri" w:cs="Calibri"/>
                <w:lang w:val="en-US" w:eastAsia="en-AU"/>
              </w:rPr>
              <w:t>N/A</w:t>
            </w:r>
          </w:p>
        </w:tc>
        <w:tc>
          <w:tcPr>
            <w:tcW w:w="879" w:type="dxa"/>
          </w:tcPr>
          <w:p w14:paraId="4CB9125E" w14:textId="77777777" w:rsidR="00B444E0" w:rsidRPr="00B444E0" w:rsidRDefault="00B444E0" w:rsidP="00B444E0">
            <w:pPr>
              <w:spacing w:after="0" w:line="240" w:lineRule="auto"/>
              <w:rPr>
                <w:rFonts w:ascii="Calibri" w:eastAsia="Calibri" w:hAnsi="Calibri" w:cs="Calibri"/>
                <w:lang w:val="en-US" w:eastAsia="en-AU"/>
              </w:rPr>
            </w:pPr>
          </w:p>
        </w:tc>
        <w:tc>
          <w:tcPr>
            <w:tcW w:w="1647" w:type="dxa"/>
            <w:vAlign w:val="center"/>
          </w:tcPr>
          <w:p w14:paraId="730285C0" w14:textId="77777777" w:rsidR="00B444E0" w:rsidRPr="00B444E0" w:rsidRDefault="00B444E0" w:rsidP="00B444E0">
            <w:pPr>
              <w:spacing w:before="120" w:after="120" w:line="240" w:lineRule="auto"/>
              <w:jc w:val="center"/>
              <w:rPr>
                <w:rFonts w:ascii="Calibri" w:eastAsia="Calibri" w:hAnsi="Calibri" w:cs="Calibri"/>
                <w:sz w:val="24"/>
                <w:szCs w:val="24"/>
                <w:lang w:val="en-US" w:eastAsia="en-AU"/>
              </w:rPr>
            </w:pPr>
            <w:r w:rsidRPr="00B444E0">
              <w:rPr>
                <w:rFonts w:ascii="Calibri" w:eastAsia="Calibri" w:hAnsi="Calibri" w:cs="Calibri"/>
                <w:sz w:val="24"/>
                <w:szCs w:val="24"/>
                <w:lang w:val="en-US" w:eastAsia="en-AU"/>
              </w:rPr>
              <w:t>In progress</w:t>
            </w:r>
          </w:p>
        </w:tc>
      </w:tr>
      <w:tr w:rsidR="00B444E0" w:rsidRPr="00B444E0" w14:paraId="1D8C10A5" w14:textId="77777777" w:rsidTr="00B444E0">
        <w:tc>
          <w:tcPr>
            <w:tcW w:w="1135" w:type="dxa"/>
          </w:tcPr>
          <w:p w14:paraId="0CC80E6E"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Writing</w:t>
            </w:r>
          </w:p>
        </w:tc>
        <w:tc>
          <w:tcPr>
            <w:tcW w:w="880" w:type="dxa"/>
          </w:tcPr>
          <w:p w14:paraId="71DE553E" w14:textId="77777777" w:rsidR="00B444E0" w:rsidRPr="00B444E0" w:rsidRDefault="00B444E0" w:rsidP="00DD791E">
            <w:pPr>
              <w:spacing w:after="0" w:line="240" w:lineRule="auto"/>
              <w:jc w:val="center"/>
              <w:rPr>
                <w:rFonts w:ascii="Calibri" w:eastAsia="Calibri" w:hAnsi="Calibri" w:cs="Calibri"/>
                <w:color w:val="000000"/>
                <w:lang w:val="en-US" w:eastAsia="en-AU"/>
              </w:rPr>
            </w:pPr>
            <w:r w:rsidRPr="00B444E0">
              <w:rPr>
                <w:rFonts w:ascii="Calibri" w:eastAsia="Calibri" w:hAnsi="Calibri" w:cs="Calibri"/>
                <w:color w:val="000000"/>
                <w:lang w:val="en-US" w:eastAsia="en-AU"/>
              </w:rPr>
              <w:t>52.6%</w:t>
            </w:r>
          </w:p>
        </w:tc>
        <w:tc>
          <w:tcPr>
            <w:tcW w:w="878" w:type="dxa"/>
          </w:tcPr>
          <w:p w14:paraId="79793012"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56.3%</w:t>
            </w:r>
          </w:p>
        </w:tc>
        <w:tc>
          <w:tcPr>
            <w:tcW w:w="878" w:type="dxa"/>
          </w:tcPr>
          <w:p w14:paraId="393608D1"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53.4%</w:t>
            </w:r>
          </w:p>
        </w:tc>
        <w:tc>
          <w:tcPr>
            <w:tcW w:w="878" w:type="dxa"/>
          </w:tcPr>
          <w:p w14:paraId="68FD1184"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48%</w:t>
            </w:r>
          </w:p>
        </w:tc>
        <w:tc>
          <w:tcPr>
            <w:tcW w:w="878" w:type="dxa"/>
          </w:tcPr>
          <w:p w14:paraId="4F95DBC1" w14:textId="55F058E7" w:rsidR="00B444E0" w:rsidRPr="00B444E0" w:rsidRDefault="00A35372" w:rsidP="00DD791E">
            <w:pPr>
              <w:spacing w:after="0" w:line="240" w:lineRule="auto"/>
              <w:jc w:val="center"/>
              <w:rPr>
                <w:rFonts w:ascii="Calibri" w:eastAsia="Calibri" w:hAnsi="Calibri" w:cs="Calibri"/>
                <w:lang w:val="en-US" w:eastAsia="en-AU"/>
              </w:rPr>
            </w:pPr>
            <w:r>
              <w:rPr>
                <w:rFonts w:ascii="Calibri" w:eastAsia="Calibri" w:hAnsi="Calibri" w:cs="Calibri"/>
                <w:lang w:val="en-US" w:eastAsia="en-AU"/>
              </w:rPr>
              <w:t>N/A</w:t>
            </w:r>
          </w:p>
        </w:tc>
        <w:tc>
          <w:tcPr>
            <w:tcW w:w="879" w:type="dxa"/>
          </w:tcPr>
          <w:p w14:paraId="431C5D0B" w14:textId="77777777" w:rsidR="00B444E0" w:rsidRPr="00B444E0" w:rsidRDefault="00B444E0" w:rsidP="00B444E0">
            <w:pPr>
              <w:spacing w:after="0" w:line="240" w:lineRule="auto"/>
              <w:rPr>
                <w:rFonts w:ascii="Calibri" w:eastAsia="Calibri" w:hAnsi="Calibri" w:cs="Calibri"/>
                <w:lang w:val="en-US" w:eastAsia="en-AU"/>
              </w:rPr>
            </w:pPr>
          </w:p>
        </w:tc>
        <w:tc>
          <w:tcPr>
            <w:tcW w:w="1647" w:type="dxa"/>
            <w:vAlign w:val="center"/>
          </w:tcPr>
          <w:p w14:paraId="322A5859" w14:textId="77777777" w:rsidR="00B444E0" w:rsidRPr="00B444E0" w:rsidRDefault="00B444E0" w:rsidP="00B444E0">
            <w:pPr>
              <w:spacing w:before="120" w:after="120" w:line="240" w:lineRule="auto"/>
              <w:jc w:val="center"/>
              <w:rPr>
                <w:rFonts w:ascii="Calibri" w:eastAsia="Calibri" w:hAnsi="Calibri" w:cs="Calibri"/>
                <w:sz w:val="24"/>
                <w:szCs w:val="24"/>
                <w:lang w:val="en-US" w:eastAsia="en-AU"/>
              </w:rPr>
            </w:pPr>
            <w:r w:rsidRPr="00B444E0">
              <w:rPr>
                <w:rFonts w:ascii="Calibri" w:eastAsia="Calibri" w:hAnsi="Calibri" w:cs="Calibri"/>
                <w:sz w:val="24"/>
                <w:szCs w:val="24"/>
                <w:lang w:val="en-US" w:eastAsia="en-AU"/>
              </w:rPr>
              <w:t>In progress</w:t>
            </w:r>
          </w:p>
        </w:tc>
      </w:tr>
      <w:tr w:rsidR="00B444E0" w:rsidRPr="00B444E0" w14:paraId="7EB344E1" w14:textId="77777777" w:rsidTr="00B444E0">
        <w:tc>
          <w:tcPr>
            <w:tcW w:w="1135" w:type="dxa"/>
          </w:tcPr>
          <w:p w14:paraId="21675A44"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Numeracy</w:t>
            </w:r>
          </w:p>
        </w:tc>
        <w:tc>
          <w:tcPr>
            <w:tcW w:w="880" w:type="dxa"/>
          </w:tcPr>
          <w:p w14:paraId="14FEB1C1" w14:textId="77777777" w:rsidR="00B444E0" w:rsidRPr="00B444E0" w:rsidRDefault="00B444E0" w:rsidP="00DD791E">
            <w:pPr>
              <w:spacing w:after="0" w:line="240" w:lineRule="auto"/>
              <w:jc w:val="center"/>
              <w:rPr>
                <w:rFonts w:ascii="Calibri" w:eastAsia="Calibri" w:hAnsi="Calibri" w:cs="Calibri"/>
                <w:color w:val="000000"/>
                <w:lang w:val="en-US" w:eastAsia="en-AU"/>
              </w:rPr>
            </w:pPr>
            <w:r w:rsidRPr="00B444E0">
              <w:rPr>
                <w:rFonts w:ascii="Calibri" w:eastAsia="Calibri" w:hAnsi="Calibri" w:cs="Calibri"/>
                <w:color w:val="000000"/>
                <w:lang w:val="en-US" w:eastAsia="en-AU"/>
              </w:rPr>
              <w:t>59.7%</w:t>
            </w:r>
          </w:p>
        </w:tc>
        <w:tc>
          <w:tcPr>
            <w:tcW w:w="878" w:type="dxa"/>
          </w:tcPr>
          <w:p w14:paraId="09F604CB"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50.8%</w:t>
            </w:r>
          </w:p>
        </w:tc>
        <w:tc>
          <w:tcPr>
            <w:tcW w:w="878" w:type="dxa"/>
          </w:tcPr>
          <w:p w14:paraId="3E22A4C1"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50.8%</w:t>
            </w:r>
          </w:p>
        </w:tc>
        <w:tc>
          <w:tcPr>
            <w:tcW w:w="878" w:type="dxa"/>
          </w:tcPr>
          <w:p w14:paraId="5217651E"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55%</w:t>
            </w:r>
          </w:p>
        </w:tc>
        <w:tc>
          <w:tcPr>
            <w:tcW w:w="878" w:type="dxa"/>
          </w:tcPr>
          <w:p w14:paraId="668F040A" w14:textId="27D1A3FA" w:rsidR="00B444E0" w:rsidRPr="00B444E0" w:rsidRDefault="00A35372" w:rsidP="00DD791E">
            <w:pPr>
              <w:spacing w:after="0" w:line="240" w:lineRule="auto"/>
              <w:jc w:val="center"/>
              <w:rPr>
                <w:rFonts w:ascii="Calibri" w:eastAsia="Calibri" w:hAnsi="Calibri" w:cs="Calibri"/>
                <w:lang w:val="en-US" w:eastAsia="en-AU"/>
              </w:rPr>
            </w:pPr>
            <w:r>
              <w:rPr>
                <w:rFonts w:ascii="Calibri" w:eastAsia="Calibri" w:hAnsi="Calibri" w:cs="Calibri"/>
                <w:lang w:val="en-US" w:eastAsia="en-AU"/>
              </w:rPr>
              <w:t>N/A</w:t>
            </w:r>
          </w:p>
        </w:tc>
        <w:tc>
          <w:tcPr>
            <w:tcW w:w="879" w:type="dxa"/>
          </w:tcPr>
          <w:p w14:paraId="179AF32A" w14:textId="77777777" w:rsidR="00B444E0" w:rsidRPr="00B444E0" w:rsidRDefault="00B444E0" w:rsidP="00B444E0">
            <w:pPr>
              <w:spacing w:after="0" w:line="240" w:lineRule="auto"/>
              <w:rPr>
                <w:rFonts w:ascii="Calibri" w:eastAsia="Calibri" w:hAnsi="Calibri" w:cs="Calibri"/>
                <w:lang w:val="en-US" w:eastAsia="en-AU"/>
              </w:rPr>
            </w:pPr>
          </w:p>
        </w:tc>
        <w:tc>
          <w:tcPr>
            <w:tcW w:w="1647" w:type="dxa"/>
            <w:vAlign w:val="center"/>
          </w:tcPr>
          <w:p w14:paraId="2E6F4B94" w14:textId="77777777" w:rsidR="00B444E0" w:rsidRPr="00B444E0" w:rsidRDefault="00B444E0" w:rsidP="00B444E0">
            <w:pPr>
              <w:spacing w:before="120" w:after="120" w:line="240" w:lineRule="auto"/>
              <w:jc w:val="center"/>
              <w:rPr>
                <w:rFonts w:ascii="Calibri" w:eastAsia="Calibri" w:hAnsi="Calibri" w:cs="Calibri"/>
                <w:sz w:val="24"/>
                <w:szCs w:val="24"/>
                <w:lang w:val="en-US" w:eastAsia="en-AU"/>
              </w:rPr>
            </w:pPr>
            <w:r w:rsidRPr="00B444E0">
              <w:rPr>
                <w:rFonts w:ascii="Calibri" w:eastAsia="Calibri" w:hAnsi="Calibri" w:cs="Calibri"/>
                <w:sz w:val="24"/>
                <w:szCs w:val="24"/>
                <w:lang w:val="en-US" w:eastAsia="en-AU"/>
              </w:rPr>
              <w:t>In progress</w:t>
            </w:r>
          </w:p>
        </w:tc>
      </w:tr>
    </w:tbl>
    <w:p w14:paraId="3E665CF5" w14:textId="77777777" w:rsidR="00B444E0" w:rsidRPr="00B444E0" w:rsidRDefault="00B444E0" w:rsidP="00B444E0">
      <w:pPr>
        <w:spacing w:after="200" w:line="276" w:lineRule="auto"/>
        <w:rPr>
          <w:rFonts w:ascii="Calibri" w:eastAsia="Calibri" w:hAnsi="Calibri" w:cs="Calibri"/>
          <w:lang w:val="en-US" w:eastAsia="en-AU"/>
        </w:rPr>
      </w:pPr>
    </w:p>
    <w:tbl>
      <w:tblPr>
        <w:tblW w:w="8053"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880"/>
        <w:gridCol w:w="878"/>
        <w:gridCol w:w="878"/>
        <w:gridCol w:w="878"/>
        <w:gridCol w:w="878"/>
        <w:gridCol w:w="879"/>
        <w:gridCol w:w="1647"/>
      </w:tblGrid>
      <w:tr w:rsidR="00B444E0" w:rsidRPr="00B444E0" w14:paraId="3B8A44FB" w14:textId="77777777" w:rsidTr="00B444E0">
        <w:tc>
          <w:tcPr>
            <w:tcW w:w="6406" w:type="dxa"/>
            <w:gridSpan w:val="7"/>
          </w:tcPr>
          <w:p w14:paraId="7808E829"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 xml:space="preserve">Percentage of mainstream students </w:t>
            </w:r>
            <w:r w:rsidRPr="00B444E0">
              <w:rPr>
                <w:rFonts w:ascii="Calibri" w:eastAsia="Calibri" w:hAnsi="Calibri" w:cs="Calibri"/>
                <w:b/>
                <w:lang w:val="en-US" w:eastAsia="en-AU"/>
              </w:rPr>
              <w:t>achieving in the top two bands</w:t>
            </w:r>
            <w:r w:rsidRPr="00B444E0">
              <w:rPr>
                <w:rFonts w:ascii="Calibri" w:eastAsia="Calibri" w:hAnsi="Calibri" w:cs="Calibri"/>
                <w:lang w:val="en-US" w:eastAsia="en-AU"/>
              </w:rPr>
              <w:t xml:space="preserve"> for year 5 NAPLAN reading, writing, numeracy</w:t>
            </w:r>
          </w:p>
        </w:tc>
        <w:tc>
          <w:tcPr>
            <w:tcW w:w="1647" w:type="dxa"/>
            <w:vMerge w:val="restart"/>
          </w:tcPr>
          <w:p w14:paraId="08BF5FD7" w14:textId="77777777" w:rsidR="00B444E0" w:rsidRPr="00B444E0" w:rsidRDefault="00B444E0" w:rsidP="00B444E0">
            <w:pPr>
              <w:spacing w:after="0" w:line="240" w:lineRule="auto"/>
              <w:rPr>
                <w:rFonts w:ascii="Calibri" w:eastAsia="Calibri" w:hAnsi="Calibri" w:cs="Calibri"/>
                <w:lang w:val="en-US" w:eastAsia="en-AU"/>
              </w:rPr>
            </w:pPr>
          </w:p>
          <w:p w14:paraId="30CC60CC"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Target</w:t>
            </w:r>
          </w:p>
          <w:p w14:paraId="2BAA3399"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Achievement</w:t>
            </w:r>
          </w:p>
        </w:tc>
      </w:tr>
      <w:tr w:rsidR="00B444E0" w:rsidRPr="00B444E0" w14:paraId="74AC1B95" w14:textId="77777777" w:rsidTr="00B444E0">
        <w:tc>
          <w:tcPr>
            <w:tcW w:w="1135" w:type="dxa"/>
          </w:tcPr>
          <w:p w14:paraId="42852734"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Year 5</w:t>
            </w:r>
          </w:p>
        </w:tc>
        <w:tc>
          <w:tcPr>
            <w:tcW w:w="880" w:type="dxa"/>
          </w:tcPr>
          <w:p w14:paraId="093DBD73"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2016</w:t>
            </w:r>
          </w:p>
        </w:tc>
        <w:tc>
          <w:tcPr>
            <w:tcW w:w="878" w:type="dxa"/>
          </w:tcPr>
          <w:p w14:paraId="2099AA2A"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2017</w:t>
            </w:r>
          </w:p>
        </w:tc>
        <w:tc>
          <w:tcPr>
            <w:tcW w:w="878" w:type="dxa"/>
          </w:tcPr>
          <w:p w14:paraId="4221C860"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2018</w:t>
            </w:r>
          </w:p>
        </w:tc>
        <w:tc>
          <w:tcPr>
            <w:tcW w:w="878" w:type="dxa"/>
          </w:tcPr>
          <w:p w14:paraId="2510F0C8"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2019</w:t>
            </w:r>
          </w:p>
        </w:tc>
        <w:tc>
          <w:tcPr>
            <w:tcW w:w="878" w:type="dxa"/>
          </w:tcPr>
          <w:p w14:paraId="15F1DD55"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2020</w:t>
            </w:r>
          </w:p>
        </w:tc>
        <w:tc>
          <w:tcPr>
            <w:tcW w:w="879" w:type="dxa"/>
          </w:tcPr>
          <w:p w14:paraId="7AC4D3F3"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2021</w:t>
            </w:r>
          </w:p>
        </w:tc>
        <w:tc>
          <w:tcPr>
            <w:tcW w:w="1647" w:type="dxa"/>
            <w:vMerge/>
          </w:tcPr>
          <w:p w14:paraId="6C041BD1" w14:textId="77777777" w:rsidR="00B444E0" w:rsidRPr="00B444E0" w:rsidRDefault="00B444E0" w:rsidP="00B444E0">
            <w:pPr>
              <w:widowControl w:val="0"/>
              <w:pBdr>
                <w:top w:val="nil"/>
                <w:left w:val="nil"/>
                <w:bottom w:val="nil"/>
                <w:right w:val="nil"/>
                <w:between w:val="nil"/>
              </w:pBdr>
              <w:spacing w:after="0" w:line="276" w:lineRule="auto"/>
              <w:rPr>
                <w:rFonts w:ascii="Calibri" w:eastAsia="Calibri" w:hAnsi="Calibri" w:cs="Calibri"/>
                <w:lang w:val="en-US" w:eastAsia="en-AU"/>
              </w:rPr>
            </w:pPr>
          </w:p>
        </w:tc>
      </w:tr>
      <w:tr w:rsidR="00B444E0" w:rsidRPr="00B444E0" w14:paraId="741327D0" w14:textId="77777777" w:rsidTr="00B444E0">
        <w:tc>
          <w:tcPr>
            <w:tcW w:w="1135" w:type="dxa"/>
          </w:tcPr>
          <w:p w14:paraId="09AB0A4F"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Reading</w:t>
            </w:r>
          </w:p>
        </w:tc>
        <w:tc>
          <w:tcPr>
            <w:tcW w:w="880" w:type="dxa"/>
          </w:tcPr>
          <w:p w14:paraId="01B730D3" w14:textId="77777777" w:rsidR="00B444E0" w:rsidRPr="00B444E0" w:rsidRDefault="00B444E0" w:rsidP="00DD791E">
            <w:pPr>
              <w:spacing w:after="0" w:line="240" w:lineRule="auto"/>
              <w:jc w:val="center"/>
              <w:rPr>
                <w:rFonts w:ascii="Calibri" w:eastAsia="Calibri" w:hAnsi="Calibri" w:cs="Calibri"/>
                <w:color w:val="000000"/>
                <w:lang w:val="en-US" w:eastAsia="en-AU"/>
              </w:rPr>
            </w:pPr>
            <w:r w:rsidRPr="00B444E0">
              <w:rPr>
                <w:rFonts w:ascii="Calibri" w:eastAsia="Calibri" w:hAnsi="Calibri" w:cs="Calibri"/>
                <w:color w:val="000000"/>
                <w:lang w:val="en-US" w:eastAsia="en-AU"/>
              </w:rPr>
              <w:t>58.8%</w:t>
            </w:r>
          </w:p>
        </w:tc>
        <w:tc>
          <w:tcPr>
            <w:tcW w:w="878" w:type="dxa"/>
          </w:tcPr>
          <w:p w14:paraId="6BD8C400"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77.2%</w:t>
            </w:r>
          </w:p>
        </w:tc>
        <w:tc>
          <w:tcPr>
            <w:tcW w:w="878" w:type="dxa"/>
          </w:tcPr>
          <w:p w14:paraId="75E41A6D"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67.6%</w:t>
            </w:r>
          </w:p>
        </w:tc>
        <w:tc>
          <w:tcPr>
            <w:tcW w:w="878" w:type="dxa"/>
          </w:tcPr>
          <w:p w14:paraId="4AD6C40E"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57%</w:t>
            </w:r>
          </w:p>
        </w:tc>
        <w:tc>
          <w:tcPr>
            <w:tcW w:w="878" w:type="dxa"/>
          </w:tcPr>
          <w:p w14:paraId="2C2C1BB0" w14:textId="0F41FD29" w:rsidR="00B444E0" w:rsidRPr="00B444E0" w:rsidRDefault="00A35372" w:rsidP="00DD791E">
            <w:pPr>
              <w:spacing w:after="0" w:line="240" w:lineRule="auto"/>
              <w:jc w:val="center"/>
              <w:rPr>
                <w:rFonts w:ascii="Calibri" w:eastAsia="Calibri" w:hAnsi="Calibri" w:cs="Calibri"/>
                <w:lang w:val="en-US" w:eastAsia="en-AU"/>
              </w:rPr>
            </w:pPr>
            <w:r>
              <w:rPr>
                <w:rFonts w:ascii="Calibri" w:eastAsia="Calibri" w:hAnsi="Calibri" w:cs="Calibri"/>
                <w:lang w:val="en-US" w:eastAsia="en-AU"/>
              </w:rPr>
              <w:t>N/A</w:t>
            </w:r>
          </w:p>
        </w:tc>
        <w:tc>
          <w:tcPr>
            <w:tcW w:w="879" w:type="dxa"/>
          </w:tcPr>
          <w:p w14:paraId="332EF72B" w14:textId="77777777" w:rsidR="00B444E0" w:rsidRPr="00B444E0" w:rsidRDefault="00B444E0" w:rsidP="00B444E0">
            <w:pPr>
              <w:spacing w:after="0" w:line="240" w:lineRule="auto"/>
              <w:rPr>
                <w:rFonts w:ascii="Calibri" w:eastAsia="Calibri" w:hAnsi="Calibri" w:cs="Calibri"/>
                <w:lang w:val="en-US" w:eastAsia="en-AU"/>
              </w:rPr>
            </w:pPr>
          </w:p>
        </w:tc>
        <w:tc>
          <w:tcPr>
            <w:tcW w:w="1647" w:type="dxa"/>
            <w:vAlign w:val="center"/>
          </w:tcPr>
          <w:p w14:paraId="2BCD0A5C" w14:textId="77777777" w:rsidR="00B444E0" w:rsidRPr="00B444E0" w:rsidRDefault="00B444E0" w:rsidP="00B444E0">
            <w:pPr>
              <w:spacing w:before="120" w:after="120" w:line="240" w:lineRule="auto"/>
              <w:jc w:val="center"/>
              <w:rPr>
                <w:rFonts w:ascii="Calibri" w:eastAsia="Calibri" w:hAnsi="Calibri" w:cs="Calibri"/>
                <w:sz w:val="24"/>
                <w:szCs w:val="24"/>
                <w:lang w:val="en-US" w:eastAsia="en-AU"/>
              </w:rPr>
            </w:pPr>
            <w:r w:rsidRPr="00B444E0">
              <w:rPr>
                <w:rFonts w:ascii="Calibri" w:eastAsia="Calibri" w:hAnsi="Calibri" w:cs="Calibri"/>
                <w:sz w:val="24"/>
                <w:szCs w:val="24"/>
                <w:lang w:val="en-US" w:eastAsia="en-AU"/>
              </w:rPr>
              <w:t>In progress</w:t>
            </w:r>
          </w:p>
        </w:tc>
      </w:tr>
      <w:tr w:rsidR="00B444E0" w:rsidRPr="00B444E0" w14:paraId="5749BEC6" w14:textId="77777777" w:rsidTr="00B444E0">
        <w:tc>
          <w:tcPr>
            <w:tcW w:w="1135" w:type="dxa"/>
          </w:tcPr>
          <w:p w14:paraId="1DEB3FD7"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Writing</w:t>
            </w:r>
          </w:p>
        </w:tc>
        <w:tc>
          <w:tcPr>
            <w:tcW w:w="880" w:type="dxa"/>
          </w:tcPr>
          <w:p w14:paraId="64FCD686" w14:textId="77777777" w:rsidR="00B444E0" w:rsidRPr="00B444E0" w:rsidRDefault="00B444E0" w:rsidP="00DD791E">
            <w:pPr>
              <w:spacing w:after="0" w:line="240" w:lineRule="auto"/>
              <w:jc w:val="center"/>
              <w:rPr>
                <w:rFonts w:ascii="Calibri" w:eastAsia="Calibri" w:hAnsi="Calibri" w:cs="Calibri"/>
                <w:color w:val="000000"/>
                <w:lang w:val="en-US" w:eastAsia="en-AU"/>
              </w:rPr>
            </w:pPr>
            <w:r w:rsidRPr="00B444E0">
              <w:rPr>
                <w:rFonts w:ascii="Calibri" w:eastAsia="Calibri" w:hAnsi="Calibri" w:cs="Calibri"/>
                <w:color w:val="000000"/>
                <w:lang w:val="en-US" w:eastAsia="en-AU"/>
              </w:rPr>
              <w:t>23.5%</w:t>
            </w:r>
          </w:p>
        </w:tc>
        <w:tc>
          <w:tcPr>
            <w:tcW w:w="878" w:type="dxa"/>
          </w:tcPr>
          <w:p w14:paraId="52BEAE17"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27.3%</w:t>
            </w:r>
          </w:p>
        </w:tc>
        <w:tc>
          <w:tcPr>
            <w:tcW w:w="878" w:type="dxa"/>
          </w:tcPr>
          <w:p w14:paraId="78299945"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17.8%</w:t>
            </w:r>
          </w:p>
        </w:tc>
        <w:tc>
          <w:tcPr>
            <w:tcW w:w="878" w:type="dxa"/>
          </w:tcPr>
          <w:p w14:paraId="6EE9E200"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19%</w:t>
            </w:r>
          </w:p>
        </w:tc>
        <w:tc>
          <w:tcPr>
            <w:tcW w:w="878" w:type="dxa"/>
          </w:tcPr>
          <w:p w14:paraId="1D90169C" w14:textId="269BF475" w:rsidR="00B444E0" w:rsidRPr="00B444E0" w:rsidRDefault="00A35372" w:rsidP="00DD791E">
            <w:pPr>
              <w:spacing w:after="0" w:line="240" w:lineRule="auto"/>
              <w:jc w:val="center"/>
              <w:rPr>
                <w:rFonts w:ascii="Calibri" w:eastAsia="Calibri" w:hAnsi="Calibri" w:cs="Calibri"/>
                <w:lang w:val="en-US" w:eastAsia="en-AU"/>
              </w:rPr>
            </w:pPr>
            <w:r>
              <w:rPr>
                <w:rFonts w:ascii="Calibri" w:eastAsia="Calibri" w:hAnsi="Calibri" w:cs="Calibri"/>
                <w:lang w:val="en-US" w:eastAsia="en-AU"/>
              </w:rPr>
              <w:t>N/A</w:t>
            </w:r>
          </w:p>
        </w:tc>
        <w:tc>
          <w:tcPr>
            <w:tcW w:w="879" w:type="dxa"/>
          </w:tcPr>
          <w:p w14:paraId="3BC014D8" w14:textId="77777777" w:rsidR="00B444E0" w:rsidRPr="00B444E0" w:rsidRDefault="00B444E0" w:rsidP="00B444E0">
            <w:pPr>
              <w:spacing w:after="0" w:line="240" w:lineRule="auto"/>
              <w:rPr>
                <w:rFonts w:ascii="Calibri" w:eastAsia="Calibri" w:hAnsi="Calibri" w:cs="Calibri"/>
                <w:lang w:val="en-US" w:eastAsia="en-AU"/>
              </w:rPr>
            </w:pPr>
          </w:p>
        </w:tc>
        <w:tc>
          <w:tcPr>
            <w:tcW w:w="1647" w:type="dxa"/>
            <w:vAlign w:val="center"/>
          </w:tcPr>
          <w:p w14:paraId="52EC88D2" w14:textId="77777777" w:rsidR="00B444E0" w:rsidRPr="00B444E0" w:rsidRDefault="00B444E0" w:rsidP="00B444E0">
            <w:pPr>
              <w:spacing w:before="120" w:after="120" w:line="240" w:lineRule="auto"/>
              <w:jc w:val="center"/>
              <w:rPr>
                <w:rFonts w:ascii="Calibri" w:eastAsia="Calibri" w:hAnsi="Calibri" w:cs="Calibri"/>
                <w:sz w:val="24"/>
                <w:szCs w:val="24"/>
                <w:lang w:val="en-US" w:eastAsia="en-AU"/>
              </w:rPr>
            </w:pPr>
            <w:r w:rsidRPr="00B444E0">
              <w:rPr>
                <w:rFonts w:ascii="Calibri" w:eastAsia="Calibri" w:hAnsi="Calibri" w:cs="Calibri"/>
                <w:sz w:val="24"/>
                <w:szCs w:val="24"/>
                <w:lang w:val="en-US" w:eastAsia="en-AU"/>
              </w:rPr>
              <w:t>In progress</w:t>
            </w:r>
          </w:p>
        </w:tc>
      </w:tr>
      <w:tr w:rsidR="00B444E0" w:rsidRPr="00B444E0" w14:paraId="34085444" w14:textId="77777777" w:rsidTr="00B444E0">
        <w:tc>
          <w:tcPr>
            <w:tcW w:w="1135" w:type="dxa"/>
          </w:tcPr>
          <w:p w14:paraId="43288DA4"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Numeracy</w:t>
            </w:r>
          </w:p>
        </w:tc>
        <w:tc>
          <w:tcPr>
            <w:tcW w:w="880" w:type="dxa"/>
          </w:tcPr>
          <w:p w14:paraId="05CEB302" w14:textId="77777777" w:rsidR="00B444E0" w:rsidRPr="00B444E0" w:rsidRDefault="00B444E0" w:rsidP="00DD791E">
            <w:pPr>
              <w:spacing w:after="0" w:line="240" w:lineRule="auto"/>
              <w:jc w:val="center"/>
              <w:rPr>
                <w:rFonts w:ascii="Calibri" w:eastAsia="Calibri" w:hAnsi="Calibri" w:cs="Calibri"/>
                <w:color w:val="000000"/>
                <w:lang w:val="en-US" w:eastAsia="en-AU"/>
              </w:rPr>
            </w:pPr>
            <w:r w:rsidRPr="00B444E0">
              <w:rPr>
                <w:rFonts w:ascii="Calibri" w:eastAsia="Calibri" w:hAnsi="Calibri" w:cs="Calibri"/>
                <w:color w:val="000000"/>
                <w:lang w:val="en-US" w:eastAsia="en-AU"/>
              </w:rPr>
              <w:t>40.8%</w:t>
            </w:r>
          </w:p>
        </w:tc>
        <w:tc>
          <w:tcPr>
            <w:tcW w:w="878" w:type="dxa"/>
          </w:tcPr>
          <w:p w14:paraId="65B612D0"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50.9%</w:t>
            </w:r>
          </w:p>
        </w:tc>
        <w:tc>
          <w:tcPr>
            <w:tcW w:w="878" w:type="dxa"/>
          </w:tcPr>
          <w:p w14:paraId="14FCB385"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34.2%</w:t>
            </w:r>
          </w:p>
        </w:tc>
        <w:tc>
          <w:tcPr>
            <w:tcW w:w="878" w:type="dxa"/>
          </w:tcPr>
          <w:p w14:paraId="3D7FB5C1"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28%</w:t>
            </w:r>
          </w:p>
        </w:tc>
        <w:tc>
          <w:tcPr>
            <w:tcW w:w="878" w:type="dxa"/>
          </w:tcPr>
          <w:p w14:paraId="676C8F0B" w14:textId="1678D758" w:rsidR="00B444E0" w:rsidRPr="00B444E0" w:rsidRDefault="00A35372" w:rsidP="00DD791E">
            <w:pPr>
              <w:spacing w:after="0" w:line="240" w:lineRule="auto"/>
              <w:jc w:val="center"/>
              <w:rPr>
                <w:rFonts w:ascii="Calibri" w:eastAsia="Calibri" w:hAnsi="Calibri" w:cs="Calibri"/>
                <w:lang w:val="en-US" w:eastAsia="en-AU"/>
              </w:rPr>
            </w:pPr>
            <w:r>
              <w:rPr>
                <w:rFonts w:ascii="Calibri" w:eastAsia="Calibri" w:hAnsi="Calibri" w:cs="Calibri"/>
                <w:lang w:val="en-US" w:eastAsia="en-AU"/>
              </w:rPr>
              <w:t>N/A</w:t>
            </w:r>
          </w:p>
        </w:tc>
        <w:tc>
          <w:tcPr>
            <w:tcW w:w="879" w:type="dxa"/>
          </w:tcPr>
          <w:p w14:paraId="4AB88258" w14:textId="77777777" w:rsidR="00B444E0" w:rsidRPr="00B444E0" w:rsidRDefault="00B444E0" w:rsidP="00B444E0">
            <w:pPr>
              <w:spacing w:after="0" w:line="240" w:lineRule="auto"/>
              <w:rPr>
                <w:rFonts w:ascii="Calibri" w:eastAsia="Calibri" w:hAnsi="Calibri" w:cs="Calibri"/>
                <w:lang w:val="en-US" w:eastAsia="en-AU"/>
              </w:rPr>
            </w:pPr>
          </w:p>
        </w:tc>
        <w:tc>
          <w:tcPr>
            <w:tcW w:w="1647" w:type="dxa"/>
            <w:vAlign w:val="center"/>
          </w:tcPr>
          <w:p w14:paraId="236D52A5" w14:textId="77777777" w:rsidR="00B444E0" w:rsidRPr="00B444E0" w:rsidRDefault="00B444E0" w:rsidP="00B444E0">
            <w:pPr>
              <w:spacing w:before="120" w:after="120" w:line="240" w:lineRule="auto"/>
              <w:jc w:val="center"/>
              <w:rPr>
                <w:rFonts w:ascii="Calibri" w:eastAsia="Calibri" w:hAnsi="Calibri" w:cs="Calibri"/>
                <w:sz w:val="24"/>
                <w:szCs w:val="24"/>
                <w:lang w:val="en-US" w:eastAsia="en-AU"/>
              </w:rPr>
            </w:pPr>
            <w:r w:rsidRPr="00B444E0">
              <w:rPr>
                <w:rFonts w:ascii="Calibri" w:eastAsia="Calibri" w:hAnsi="Calibri" w:cs="Calibri"/>
                <w:sz w:val="24"/>
                <w:szCs w:val="24"/>
                <w:lang w:val="en-US" w:eastAsia="en-AU"/>
              </w:rPr>
              <w:t>In progress</w:t>
            </w:r>
          </w:p>
        </w:tc>
      </w:tr>
    </w:tbl>
    <w:p w14:paraId="29198956" w14:textId="77777777" w:rsidR="00B35B98" w:rsidRDefault="00B35B98" w:rsidP="00B35B98">
      <w:pPr>
        <w:pStyle w:val="ListParagraph"/>
        <w:spacing w:after="200" w:line="276" w:lineRule="auto"/>
        <w:rPr>
          <w:rFonts w:ascii="Calibri" w:eastAsia="Calibri" w:hAnsi="Calibri" w:cs="Calibri"/>
          <w:lang w:val="en-US" w:eastAsia="en-AU"/>
        </w:rPr>
      </w:pPr>
    </w:p>
    <w:p w14:paraId="3E9583C1" w14:textId="54F1C867" w:rsidR="00B444E0" w:rsidRPr="00B35B98" w:rsidRDefault="00030D87" w:rsidP="00030D87">
      <w:pPr>
        <w:pStyle w:val="ListParagraph"/>
        <w:numPr>
          <w:ilvl w:val="0"/>
          <w:numId w:val="8"/>
        </w:numPr>
        <w:spacing w:after="200" w:line="276" w:lineRule="auto"/>
        <w:rPr>
          <w:rFonts w:ascii="Calibri" w:eastAsia="Calibri" w:hAnsi="Calibri" w:cs="Calibri"/>
          <w:lang w:val="en-US" w:eastAsia="en-AU"/>
        </w:rPr>
      </w:pPr>
      <w:r w:rsidRPr="00B35B98">
        <w:rPr>
          <w:rFonts w:ascii="Calibri" w:eastAsia="Calibri" w:hAnsi="Calibri" w:cs="Calibri"/>
          <w:lang w:val="en-US" w:eastAsia="en-AU"/>
        </w:rPr>
        <w:t>In place of NAPLAN data from a whole school level, the following data</w:t>
      </w:r>
      <w:r w:rsidR="00132518">
        <w:rPr>
          <w:rFonts w:ascii="Calibri" w:eastAsia="Calibri" w:hAnsi="Calibri" w:cs="Calibri"/>
          <w:lang w:val="en-US" w:eastAsia="en-AU"/>
        </w:rPr>
        <w:t>, while not exact in comparison,</w:t>
      </w:r>
      <w:r w:rsidRPr="00B35B98">
        <w:rPr>
          <w:rFonts w:ascii="Calibri" w:eastAsia="Calibri" w:hAnsi="Calibri" w:cs="Calibri"/>
          <w:lang w:val="en-US" w:eastAsia="en-AU"/>
        </w:rPr>
        <w:t xml:space="preserve"> has been considered</w:t>
      </w:r>
      <w:r w:rsidR="00132518">
        <w:rPr>
          <w:rFonts w:ascii="Calibri" w:eastAsia="Calibri" w:hAnsi="Calibri" w:cs="Calibri"/>
          <w:lang w:val="en-US" w:eastAsia="en-AU"/>
        </w:rPr>
        <w:t xml:space="preserve"> as part of this data set</w:t>
      </w:r>
      <w:r w:rsidRPr="00B35B98">
        <w:rPr>
          <w:rFonts w:ascii="Calibri" w:eastAsia="Calibri" w:hAnsi="Calibri" w:cs="Calibri"/>
          <w:lang w:val="en-US" w:eastAsia="en-AU"/>
        </w:rPr>
        <w:t xml:space="preserve">: </w:t>
      </w:r>
    </w:p>
    <w:tbl>
      <w:tblPr>
        <w:tblStyle w:val="TableGrid"/>
        <w:tblW w:w="0" w:type="auto"/>
        <w:tblInd w:w="1413" w:type="dxa"/>
        <w:tblLook w:val="04A0" w:firstRow="1" w:lastRow="0" w:firstColumn="1" w:lastColumn="0" w:noHBand="0" w:noVBand="1"/>
      </w:tblPr>
      <w:tblGrid>
        <w:gridCol w:w="1741"/>
        <w:gridCol w:w="2434"/>
        <w:gridCol w:w="2204"/>
        <w:gridCol w:w="1701"/>
      </w:tblGrid>
      <w:tr w:rsidR="00132518" w14:paraId="755D3B8F" w14:textId="77777777" w:rsidTr="00132518">
        <w:tc>
          <w:tcPr>
            <w:tcW w:w="6379" w:type="dxa"/>
            <w:gridSpan w:val="3"/>
          </w:tcPr>
          <w:p w14:paraId="00CCA4E2" w14:textId="6BD7FF47" w:rsidR="00132518" w:rsidRDefault="00132518" w:rsidP="00B35B98">
            <w:pPr>
              <w:pStyle w:val="NoSpacing"/>
            </w:pPr>
            <w:r>
              <w:t xml:space="preserve">Percentage of students </w:t>
            </w:r>
            <w:r w:rsidRPr="00030D87">
              <w:t xml:space="preserve">in year 5 meeting A and B grades in </w:t>
            </w:r>
            <w:r>
              <w:t xml:space="preserve">teacher </w:t>
            </w:r>
            <w:r w:rsidRPr="00030D87">
              <w:t xml:space="preserve">moderated </w:t>
            </w:r>
            <w:r>
              <w:t xml:space="preserve">overall </w:t>
            </w:r>
            <w:r w:rsidRPr="00030D87">
              <w:t>assessment for:</w:t>
            </w:r>
          </w:p>
        </w:tc>
        <w:tc>
          <w:tcPr>
            <w:tcW w:w="1701" w:type="dxa"/>
            <w:vMerge w:val="restart"/>
          </w:tcPr>
          <w:p w14:paraId="45DE1F22" w14:textId="3C1BE74D" w:rsidR="00132518" w:rsidRDefault="00132518" w:rsidP="00B35B98">
            <w:pPr>
              <w:pStyle w:val="NoSpacing"/>
            </w:pPr>
            <w:r>
              <w:t>Target Achievement</w:t>
            </w:r>
          </w:p>
        </w:tc>
      </w:tr>
      <w:tr w:rsidR="00132518" w14:paraId="10191DE0" w14:textId="77777777" w:rsidTr="00132518">
        <w:tc>
          <w:tcPr>
            <w:tcW w:w="1741" w:type="dxa"/>
          </w:tcPr>
          <w:p w14:paraId="14C2CAF2" w14:textId="395D9164" w:rsidR="00132518" w:rsidRDefault="00132518" w:rsidP="00B35B98">
            <w:pPr>
              <w:pStyle w:val="NoSpacing"/>
            </w:pPr>
            <w:r>
              <w:t>Year Group</w:t>
            </w:r>
          </w:p>
        </w:tc>
        <w:tc>
          <w:tcPr>
            <w:tcW w:w="2434" w:type="dxa"/>
          </w:tcPr>
          <w:p w14:paraId="0FF07245" w14:textId="7B820E5A" w:rsidR="00132518" w:rsidRDefault="00132518" w:rsidP="00B35B98">
            <w:pPr>
              <w:pStyle w:val="NoSpacing"/>
            </w:pPr>
            <w:r>
              <w:t>English – reading and writing combined</w:t>
            </w:r>
          </w:p>
        </w:tc>
        <w:tc>
          <w:tcPr>
            <w:tcW w:w="2204" w:type="dxa"/>
          </w:tcPr>
          <w:p w14:paraId="165C7811" w14:textId="5B28127B" w:rsidR="00132518" w:rsidRDefault="00132518" w:rsidP="00B35B98">
            <w:pPr>
              <w:pStyle w:val="NoSpacing"/>
            </w:pPr>
            <w:r>
              <w:t xml:space="preserve">Mathematics </w:t>
            </w:r>
          </w:p>
        </w:tc>
        <w:tc>
          <w:tcPr>
            <w:tcW w:w="1701" w:type="dxa"/>
            <w:vMerge/>
          </w:tcPr>
          <w:p w14:paraId="7476E416" w14:textId="77777777" w:rsidR="00132518" w:rsidRDefault="00132518" w:rsidP="00B35B98">
            <w:pPr>
              <w:pStyle w:val="NoSpacing"/>
            </w:pPr>
          </w:p>
        </w:tc>
      </w:tr>
      <w:tr w:rsidR="00B35B98" w14:paraId="588C77D2" w14:textId="77777777" w:rsidTr="00132518">
        <w:tc>
          <w:tcPr>
            <w:tcW w:w="1741" w:type="dxa"/>
          </w:tcPr>
          <w:p w14:paraId="0B5CC00E" w14:textId="546C4716" w:rsidR="00B35B98" w:rsidRDefault="00B35B98" w:rsidP="00B35B98">
            <w:pPr>
              <w:pStyle w:val="NoSpacing"/>
            </w:pPr>
            <w:r>
              <w:t>Year 3</w:t>
            </w:r>
          </w:p>
        </w:tc>
        <w:tc>
          <w:tcPr>
            <w:tcW w:w="2434" w:type="dxa"/>
          </w:tcPr>
          <w:p w14:paraId="00409808" w14:textId="476D8496" w:rsidR="00B35B98" w:rsidRDefault="00132518" w:rsidP="00B35B98">
            <w:pPr>
              <w:pStyle w:val="NoSpacing"/>
            </w:pPr>
            <w:r>
              <w:t>51 %</w:t>
            </w:r>
          </w:p>
        </w:tc>
        <w:tc>
          <w:tcPr>
            <w:tcW w:w="2204" w:type="dxa"/>
          </w:tcPr>
          <w:p w14:paraId="49150E32" w14:textId="2545DCB4" w:rsidR="00B35B98" w:rsidRDefault="00132518" w:rsidP="00B35B98">
            <w:pPr>
              <w:pStyle w:val="NoSpacing"/>
            </w:pPr>
            <w:r>
              <w:t xml:space="preserve">62% </w:t>
            </w:r>
          </w:p>
        </w:tc>
        <w:tc>
          <w:tcPr>
            <w:tcW w:w="1701" w:type="dxa"/>
          </w:tcPr>
          <w:p w14:paraId="7226E638" w14:textId="77777777" w:rsidR="00B35B98" w:rsidRDefault="00132518" w:rsidP="00B35B98">
            <w:pPr>
              <w:pStyle w:val="NoSpacing"/>
            </w:pPr>
            <w:r>
              <w:t>In progress (E)</w:t>
            </w:r>
          </w:p>
          <w:p w14:paraId="47CE8336" w14:textId="3375691A" w:rsidR="00132518" w:rsidRDefault="00132518" w:rsidP="00B35B98">
            <w:pPr>
              <w:pStyle w:val="NoSpacing"/>
            </w:pPr>
            <w:r>
              <w:t>Achieved (M)</w:t>
            </w:r>
          </w:p>
        </w:tc>
      </w:tr>
      <w:tr w:rsidR="00030D87" w14:paraId="07DD6133" w14:textId="77777777" w:rsidTr="00132518">
        <w:tc>
          <w:tcPr>
            <w:tcW w:w="1741" w:type="dxa"/>
          </w:tcPr>
          <w:p w14:paraId="2E9BD3D9" w14:textId="0F31F277" w:rsidR="00030D87" w:rsidRDefault="00B35B98" w:rsidP="00B35B98">
            <w:pPr>
              <w:pStyle w:val="NoSpacing"/>
            </w:pPr>
            <w:r>
              <w:t>Year 5</w:t>
            </w:r>
          </w:p>
        </w:tc>
        <w:tc>
          <w:tcPr>
            <w:tcW w:w="2434" w:type="dxa"/>
          </w:tcPr>
          <w:p w14:paraId="2B1AEB86" w14:textId="51C0BF84" w:rsidR="00030D87" w:rsidRDefault="00132518" w:rsidP="00B35B98">
            <w:pPr>
              <w:pStyle w:val="NoSpacing"/>
            </w:pPr>
            <w:r>
              <w:t xml:space="preserve">52% </w:t>
            </w:r>
          </w:p>
        </w:tc>
        <w:tc>
          <w:tcPr>
            <w:tcW w:w="2204" w:type="dxa"/>
          </w:tcPr>
          <w:p w14:paraId="42CA364B" w14:textId="2D72A963" w:rsidR="00030D87" w:rsidRDefault="00132518" w:rsidP="00B35B98">
            <w:pPr>
              <w:pStyle w:val="NoSpacing"/>
            </w:pPr>
            <w:r>
              <w:t>64%</w:t>
            </w:r>
          </w:p>
        </w:tc>
        <w:tc>
          <w:tcPr>
            <w:tcW w:w="1701" w:type="dxa"/>
          </w:tcPr>
          <w:p w14:paraId="787F485D" w14:textId="77777777" w:rsidR="00030D87" w:rsidRDefault="00132518" w:rsidP="00B35B98">
            <w:pPr>
              <w:pStyle w:val="NoSpacing"/>
            </w:pPr>
            <w:r>
              <w:t>Achieved (E)</w:t>
            </w:r>
          </w:p>
          <w:p w14:paraId="6291A114" w14:textId="314854B4" w:rsidR="00132518" w:rsidRDefault="00132518" w:rsidP="00B35B98">
            <w:pPr>
              <w:pStyle w:val="NoSpacing"/>
            </w:pPr>
            <w:r>
              <w:t>Achieved (M)</w:t>
            </w:r>
          </w:p>
        </w:tc>
      </w:tr>
    </w:tbl>
    <w:p w14:paraId="22781F58" w14:textId="77777777" w:rsidR="00030D87" w:rsidRPr="00813E0F" w:rsidRDefault="00030D87" w:rsidP="00030D87">
      <w:pPr>
        <w:pStyle w:val="ListParagraph"/>
        <w:spacing w:after="200" w:line="276" w:lineRule="auto"/>
        <w:rPr>
          <w:rFonts w:ascii="Calibri" w:eastAsia="Calibri" w:hAnsi="Calibri" w:cs="Calibri"/>
          <w:color w:val="70AD47" w:themeColor="accent6"/>
          <w:lang w:val="en-US" w:eastAsia="en-AU"/>
        </w:rPr>
      </w:pPr>
    </w:p>
    <w:tbl>
      <w:tblPr>
        <w:tblW w:w="8053"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6"/>
        <w:gridCol w:w="880"/>
        <w:gridCol w:w="878"/>
        <w:gridCol w:w="878"/>
        <w:gridCol w:w="878"/>
        <w:gridCol w:w="878"/>
        <w:gridCol w:w="879"/>
        <w:gridCol w:w="1556"/>
      </w:tblGrid>
      <w:tr w:rsidR="00B444E0" w:rsidRPr="00B444E0" w14:paraId="62C9CD93" w14:textId="77777777" w:rsidTr="00B444E0">
        <w:tc>
          <w:tcPr>
            <w:tcW w:w="6497" w:type="dxa"/>
            <w:gridSpan w:val="7"/>
          </w:tcPr>
          <w:p w14:paraId="08EC4ECB"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 xml:space="preserve"> System Satisfaction Survey question </w:t>
            </w:r>
          </w:p>
          <w:p w14:paraId="6C9786C1"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lastRenderedPageBreak/>
              <w:t>“This school works with me to support my child’s learning”</w:t>
            </w:r>
          </w:p>
        </w:tc>
        <w:tc>
          <w:tcPr>
            <w:tcW w:w="1556" w:type="dxa"/>
            <w:vMerge w:val="restart"/>
          </w:tcPr>
          <w:p w14:paraId="0C197F1F" w14:textId="77777777" w:rsidR="00B444E0" w:rsidRPr="00B444E0" w:rsidRDefault="00B444E0" w:rsidP="00B444E0">
            <w:pPr>
              <w:spacing w:after="0" w:line="240" w:lineRule="auto"/>
              <w:rPr>
                <w:rFonts w:ascii="Calibri" w:eastAsia="Calibri" w:hAnsi="Calibri" w:cs="Calibri"/>
                <w:lang w:val="en-US" w:eastAsia="en-AU"/>
              </w:rPr>
            </w:pPr>
          </w:p>
          <w:p w14:paraId="492E760B"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lastRenderedPageBreak/>
              <w:t>Target</w:t>
            </w:r>
          </w:p>
          <w:p w14:paraId="16735D2A"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Achievement</w:t>
            </w:r>
          </w:p>
        </w:tc>
      </w:tr>
      <w:tr w:rsidR="00B444E0" w:rsidRPr="00B444E0" w14:paraId="50F042CD" w14:textId="77777777" w:rsidTr="00B444E0">
        <w:tc>
          <w:tcPr>
            <w:tcW w:w="1226" w:type="dxa"/>
          </w:tcPr>
          <w:p w14:paraId="72E07EE1" w14:textId="77777777" w:rsidR="00B444E0" w:rsidRPr="00B444E0" w:rsidRDefault="00B444E0" w:rsidP="00B444E0">
            <w:pPr>
              <w:spacing w:after="0" w:line="240" w:lineRule="auto"/>
              <w:rPr>
                <w:rFonts w:ascii="Calibri" w:eastAsia="Calibri" w:hAnsi="Calibri" w:cs="Calibri"/>
                <w:lang w:val="en-US" w:eastAsia="en-AU"/>
              </w:rPr>
            </w:pPr>
          </w:p>
        </w:tc>
        <w:tc>
          <w:tcPr>
            <w:tcW w:w="880" w:type="dxa"/>
          </w:tcPr>
          <w:p w14:paraId="29706EF5"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2016</w:t>
            </w:r>
          </w:p>
        </w:tc>
        <w:tc>
          <w:tcPr>
            <w:tcW w:w="878" w:type="dxa"/>
          </w:tcPr>
          <w:p w14:paraId="595D7229"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2017</w:t>
            </w:r>
          </w:p>
        </w:tc>
        <w:tc>
          <w:tcPr>
            <w:tcW w:w="878" w:type="dxa"/>
          </w:tcPr>
          <w:p w14:paraId="70F181D5"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2018</w:t>
            </w:r>
          </w:p>
        </w:tc>
        <w:tc>
          <w:tcPr>
            <w:tcW w:w="878" w:type="dxa"/>
          </w:tcPr>
          <w:p w14:paraId="7C0EBAA4"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2019</w:t>
            </w:r>
          </w:p>
        </w:tc>
        <w:tc>
          <w:tcPr>
            <w:tcW w:w="878" w:type="dxa"/>
          </w:tcPr>
          <w:p w14:paraId="5C1B25EE"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2020</w:t>
            </w:r>
          </w:p>
        </w:tc>
        <w:tc>
          <w:tcPr>
            <w:tcW w:w="879" w:type="dxa"/>
          </w:tcPr>
          <w:p w14:paraId="188AFB26"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2021</w:t>
            </w:r>
          </w:p>
        </w:tc>
        <w:tc>
          <w:tcPr>
            <w:tcW w:w="1556" w:type="dxa"/>
            <w:vMerge/>
          </w:tcPr>
          <w:p w14:paraId="26D1928F" w14:textId="77777777" w:rsidR="00B444E0" w:rsidRPr="00B444E0" w:rsidRDefault="00B444E0" w:rsidP="00B444E0">
            <w:pPr>
              <w:widowControl w:val="0"/>
              <w:pBdr>
                <w:top w:val="nil"/>
                <w:left w:val="nil"/>
                <w:bottom w:val="nil"/>
                <w:right w:val="nil"/>
                <w:between w:val="nil"/>
              </w:pBdr>
              <w:spacing w:after="0" w:line="276" w:lineRule="auto"/>
              <w:rPr>
                <w:rFonts w:ascii="Calibri" w:eastAsia="Calibri" w:hAnsi="Calibri" w:cs="Calibri"/>
                <w:lang w:val="en-US" w:eastAsia="en-AU"/>
              </w:rPr>
            </w:pPr>
          </w:p>
        </w:tc>
      </w:tr>
      <w:tr w:rsidR="00B444E0" w:rsidRPr="00B444E0" w14:paraId="01B7D3F0" w14:textId="77777777" w:rsidTr="00AC480C">
        <w:tc>
          <w:tcPr>
            <w:tcW w:w="1226" w:type="dxa"/>
          </w:tcPr>
          <w:p w14:paraId="2C3F9DEC"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 xml:space="preserve">Percentage of parent agreement </w:t>
            </w:r>
          </w:p>
        </w:tc>
        <w:tc>
          <w:tcPr>
            <w:tcW w:w="880" w:type="dxa"/>
          </w:tcPr>
          <w:p w14:paraId="1F9A2C58" w14:textId="77777777" w:rsidR="00B444E0" w:rsidRPr="00B444E0" w:rsidRDefault="00B444E0" w:rsidP="00DD791E">
            <w:pPr>
              <w:spacing w:after="0" w:line="240" w:lineRule="auto"/>
              <w:jc w:val="center"/>
              <w:rPr>
                <w:rFonts w:ascii="Calibri" w:eastAsia="Calibri" w:hAnsi="Calibri" w:cs="Calibri"/>
                <w:color w:val="000000"/>
                <w:lang w:val="en-US" w:eastAsia="en-AU"/>
              </w:rPr>
            </w:pPr>
          </w:p>
          <w:p w14:paraId="78A3FBFD" w14:textId="77777777" w:rsidR="00B444E0" w:rsidRPr="00B444E0" w:rsidRDefault="00B444E0" w:rsidP="00DD791E">
            <w:pPr>
              <w:spacing w:after="0" w:line="240" w:lineRule="auto"/>
              <w:jc w:val="center"/>
              <w:rPr>
                <w:rFonts w:ascii="Calibri" w:eastAsia="Calibri" w:hAnsi="Calibri" w:cs="Calibri"/>
                <w:color w:val="000000"/>
                <w:lang w:val="en-US" w:eastAsia="en-AU"/>
              </w:rPr>
            </w:pPr>
            <w:r w:rsidRPr="00B444E0">
              <w:rPr>
                <w:rFonts w:ascii="Calibri" w:eastAsia="Calibri" w:hAnsi="Calibri" w:cs="Calibri"/>
                <w:color w:val="000000"/>
                <w:lang w:val="en-US" w:eastAsia="en-AU"/>
              </w:rPr>
              <w:t>81%</w:t>
            </w:r>
          </w:p>
        </w:tc>
        <w:tc>
          <w:tcPr>
            <w:tcW w:w="878" w:type="dxa"/>
          </w:tcPr>
          <w:p w14:paraId="460718D0" w14:textId="77777777" w:rsidR="00B444E0" w:rsidRPr="00B444E0" w:rsidRDefault="00B444E0" w:rsidP="00DD791E">
            <w:pPr>
              <w:spacing w:after="0" w:line="240" w:lineRule="auto"/>
              <w:jc w:val="center"/>
              <w:rPr>
                <w:rFonts w:ascii="Calibri" w:eastAsia="Calibri" w:hAnsi="Calibri" w:cs="Calibri"/>
                <w:lang w:val="en-US" w:eastAsia="en-AU"/>
              </w:rPr>
            </w:pPr>
          </w:p>
          <w:p w14:paraId="194FBFCD"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87.5%</w:t>
            </w:r>
          </w:p>
        </w:tc>
        <w:tc>
          <w:tcPr>
            <w:tcW w:w="878" w:type="dxa"/>
          </w:tcPr>
          <w:p w14:paraId="237DE5F4" w14:textId="77777777" w:rsidR="00B444E0" w:rsidRPr="00B444E0" w:rsidRDefault="00B444E0" w:rsidP="00DD791E">
            <w:pPr>
              <w:spacing w:after="0" w:line="240" w:lineRule="auto"/>
              <w:jc w:val="center"/>
              <w:rPr>
                <w:rFonts w:ascii="Calibri" w:eastAsia="Calibri" w:hAnsi="Calibri" w:cs="Calibri"/>
                <w:lang w:val="en-US" w:eastAsia="en-AU"/>
              </w:rPr>
            </w:pPr>
          </w:p>
          <w:p w14:paraId="2FEB8A3F"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87%</w:t>
            </w:r>
          </w:p>
        </w:tc>
        <w:tc>
          <w:tcPr>
            <w:tcW w:w="878" w:type="dxa"/>
          </w:tcPr>
          <w:p w14:paraId="7A236D19" w14:textId="77777777" w:rsidR="00B444E0" w:rsidRPr="00B444E0" w:rsidRDefault="00B444E0" w:rsidP="00DD791E">
            <w:pPr>
              <w:spacing w:after="0" w:line="240" w:lineRule="auto"/>
              <w:jc w:val="center"/>
              <w:rPr>
                <w:rFonts w:ascii="Calibri" w:eastAsia="Calibri" w:hAnsi="Calibri" w:cs="Calibri"/>
                <w:lang w:val="en-US" w:eastAsia="en-AU"/>
              </w:rPr>
            </w:pPr>
          </w:p>
          <w:p w14:paraId="3C1D4C99"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85%</w:t>
            </w:r>
          </w:p>
        </w:tc>
        <w:tc>
          <w:tcPr>
            <w:tcW w:w="878" w:type="dxa"/>
            <w:shd w:val="clear" w:color="auto" w:fill="auto"/>
          </w:tcPr>
          <w:p w14:paraId="7C0BE23F" w14:textId="77777777" w:rsidR="00B444E0" w:rsidRDefault="00B444E0" w:rsidP="00DD791E">
            <w:pPr>
              <w:spacing w:after="0" w:line="240" w:lineRule="auto"/>
              <w:jc w:val="center"/>
              <w:rPr>
                <w:rFonts w:ascii="Calibri" w:eastAsia="Calibri" w:hAnsi="Calibri" w:cs="Calibri"/>
                <w:lang w:val="en-US" w:eastAsia="en-AU"/>
              </w:rPr>
            </w:pPr>
          </w:p>
          <w:p w14:paraId="4B104E71" w14:textId="488C828C" w:rsidR="00AC480C" w:rsidRPr="00B444E0" w:rsidRDefault="00AC480C" w:rsidP="00DD791E">
            <w:pPr>
              <w:spacing w:after="0" w:line="240" w:lineRule="auto"/>
              <w:jc w:val="center"/>
              <w:rPr>
                <w:rFonts w:ascii="Calibri" w:eastAsia="Calibri" w:hAnsi="Calibri" w:cs="Calibri"/>
                <w:lang w:val="en-US" w:eastAsia="en-AU"/>
              </w:rPr>
            </w:pPr>
            <w:r>
              <w:rPr>
                <w:rFonts w:ascii="Calibri" w:eastAsia="Calibri" w:hAnsi="Calibri" w:cs="Calibri"/>
                <w:lang w:val="en-US" w:eastAsia="en-AU"/>
              </w:rPr>
              <w:t>77%</w:t>
            </w:r>
          </w:p>
        </w:tc>
        <w:tc>
          <w:tcPr>
            <w:tcW w:w="879" w:type="dxa"/>
          </w:tcPr>
          <w:p w14:paraId="4B9E1C1E" w14:textId="77777777" w:rsidR="00B444E0" w:rsidRPr="00B444E0" w:rsidRDefault="00B444E0" w:rsidP="00B444E0">
            <w:pPr>
              <w:spacing w:after="0" w:line="240" w:lineRule="auto"/>
              <w:rPr>
                <w:rFonts w:ascii="Calibri" w:eastAsia="Calibri" w:hAnsi="Calibri" w:cs="Calibri"/>
                <w:lang w:val="en-US" w:eastAsia="en-AU"/>
              </w:rPr>
            </w:pPr>
          </w:p>
        </w:tc>
        <w:tc>
          <w:tcPr>
            <w:tcW w:w="1556" w:type="dxa"/>
            <w:vAlign w:val="center"/>
          </w:tcPr>
          <w:p w14:paraId="0BA9874A" w14:textId="77777777" w:rsidR="00B444E0" w:rsidRPr="00B444E0" w:rsidRDefault="00B444E0" w:rsidP="00B444E0">
            <w:pPr>
              <w:spacing w:before="120" w:after="120" w:line="240" w:lineRule="auto"/>
              <w:rPr>
                <w:rFonts w:ascii="Calibri" w:eastAsia="Calibri" w:hAnsi="Calibri" w:cs="Calibri"/>
                <w:sz w:val="24"/>
                <w:szCs w:val="24"/>
                <w:lang w:val="en-US" w:eastAsia="en-AU"/>
              </w:rPr>
            </w:pPr>
            <w:r w:rsidRPr="00B444E0">
              <w:rPr>
                <w:rFonts w:ascii="Calibri" w:eastAsia="Calibri" w:hAnsi="Calibri" w:cs="Calibri"/>
                <w:sz w:val="24"/>
                <w:szCs w:val="24"/>
                <w:lang w:val="en-US" w:eastAsia="en-AU"/>
              </w:rPr>
              <w:t>In progress</w:t>
            </w:r>
          </w:p>
        </w:tc>
      </w:tr>
    </w:tbl>
    <w:p w14:paraId="341A2230" w14:textId="77777777" w:rsidR="00B444E0" w:rsidRPr="00B444E0" w:rsidRDefault="00B444E0" w:rsidP="00B444E0">
      <w:pPr>
        <w:spacing w:after="200" w:line="276" w:lineRule="auto"/>
        <w:rPr>
          <w:rFonts w:ascii="Calibri" w:eastAsia="Calibri" w:hAnsi="Calibri" w:cs="Calibri"/>
          <w:lang w:val="en-US" w:eastAsia="en-AU"/>
        </w:rPr>
      </w:pPr>
    </w:p>
    <w:tbl>
      <w:tblPr>
        <w:tblW w:w="8053"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6"/>
        <w:gridCol w:w="880"/>
        <w:gridCol w:w="878"/>
        <w:gridCol w:w="878"/>
        <w:gridCol w:w="878"/>
        <w:gridCol w:w="878"/>
        <w:gridCol w:w="879"/>
        <w:gridCol w:w="1556"/>
      </w:tblGrid>
      <w:tr w:rsidR="00B444E0" w:rsidRPr="00B444E0" w14:paraId="6987EC02" w14:textId="77777777" w:rsidTr="00B444E0">
        <w:tc>
          <w:tcPr>
            <w:tcW w:w="6497" w:type="dxa"/>
            <w:gridSpan w:val="7"/>
          </w:tcPr>
          <w:p w14:paraId="699E6989"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 xml:space="preserve">System Satisfaction Survey question </w:t>
            </w:r>
          </w:p>
          <w:p w14:paraId="7D43A31E"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“Teachers at the school provide students with useful feedback about their schoolwork”</w:t>
            </w:r>
          </w:p>
        </w:tc>
        <w:tc>
          <w:tcPr>
            <w:tcW w:w="1556" w:type="dxa"/>
            <w:vMerge w:val="restart"/>
          </w:tcPr>
          <w:p w14:paraId="26D59F1A" w14:textId="77777777" w:rsidR="00B444E0" w:rsidRPr="00B444E0" w:rsidRDefault="00B444E0" w:rsidP="00B444E0">
            <w:pPr>
              <w:spacing w:after="0" w:line="240" w:lineRule="auto"/>
              <w:rPr>
                <w:rFonts w:ascii="Calibri" w:eastAsia="Calibri" w:hAnsi="Calibri" w:cs="Calibri"/>
                <w:lang w:val="en-US" w:eastAsia="en-AU"/>
              </w:rPr>
            </w:pPr>
          </w:p>
          <w:p w14:paraId="6C455CD1"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Target</w:t>
            </w:r>
          </w:p>
          <w:p w14:paraId="3C06BCDB"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Achievement</w:t>
            </w:r>
          </w:p>
        </w:tc>
      </w:tr>
      <w:tr w:rsidR="00B444E0" w:rsidRPr="00B444E0" w14:paraId="780DB31B" w14:textId="77777777" w:rsidTr="00B444E0">
        <w:tc>
          <w:tcPr>
            <w:tcW w:w="1226" w:type="dxa"/>
          </w:tcPr>
          <w:p w14:paraId="1E75E963" w14:textId="77777777" w:rsidR="00B444E0" w:rsidRPr="00B444E0" w:rsidRDefault="00B444E0" w:rsidP="00B444E0">
            <w:pPr>
              <w:spacing w:after="0" w:line="240" w:lineRule="auto"/>
              <w:rPr>
                <w:rFonts w:ascii="Calibri" w:eastAsia="Calibri" w:hAnsi="Calibri" w:cs="Calibri"/>
                <w:lang w:val="en-US" w:eastAsia="en-AU"/>
              </w:rPr>
            </w:pPr>
          </w:p>
        </w:tc>
        <w:tc>
          <w:tcPr>
            <w:tcW w:w="880" w:type="dxa"/>
          </w:tcPr>
          <w:p w14:paraId="2C873A95"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2016</w:t>
            </w:r>
          </w:p>
        </w:tc>
        <w:tc>
          <w:tcPr>
            <w:tcW w:w="878" w:type="dxa"/>
          </w:tcPr>
          <w:p w14:paraId="5ADF21C5"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2017</w:t>
            </w:r>
          </w:p>
        </w:tc>
        <w:tc>
          <w:tcPr>
            <w:tcW w:w="878" w:type="dxa"/>
          </w:tcPr>
          <w:p w14:paraId="3D1F72E2"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2018</w:t>
            </w:r>
          </w:p>
        </w:tc>
        <w:tc>
          <w:tcPr>
            <w:tcW w:w="878" w:type="dxa"/>
          </w:tcPr>
          <w:p w14:paraId="7A872CA7"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2019</w:t>
            </w:r>
          </w:p>
        </w:tc>
        <w:tc>
          <w:tcPr>
            <w:tcW w:w="878" w:type="dxa"/>
          </w:tcPr>
          <w:p w14:paraId="2EC8F9BB"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2020</w:t>
            </w:r>
          </w:p>
        </w:tc>
        <w:tc>
          <w:tcPr>
            <w:tcW w:w="879" w:type="dxa"/>
          </w:tcPr>
          <w:p w14:paraId="6F214689"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2021</w:t>
            </w:r>
          </w:p>
        </w:tc>
        <w:tc>
          <w:tcPr>
            <w:tcW w:w="1556" w:type="dxa"/>
            <w:vMerge/>
          </w:tcPr>
          <w:p w14:paraId="6A9BDA2C" w14:textId="77777777" w:rsidR="00B444E0" w:rsidRPr="00B444E0" w:rsidRDefault="00B444E0" w:rsidP="00B444E0">
            <w:pPr>
              <w:widowControl w:val="0"/>
              <w:pBdr>
                <w:top w:val="nil"/>
                <w:left w:val="nil"/>
                <w:bottom w:val="nil"/>
                <w:right w:val="nil"/>
                <w:between w:val="nil"/>
              </w:pBdr>
              <w:spacing w:after="0" w:line="276" w:lineRule="auto"/>
              <w:rPr>
                <w:rFonts w:ascii="Calibri" w:eastAsia="Calibri" w:hAnsi="Calibri" w:cs="Calibri"/>
                <w:lang w:val="en-US" w:eastAsia="en-AU"/>
              </w:rPr>
            </w:pPr>
          </w:p>
        </w:tc>
      </w:tr>
      <w:tr w:rsidR="00B444E0" w:rsidRPr="00B444E0" w14:paraId="642698DD" w14:textId="77777777" w:rsidTr="00AC480C">
        <w:tc>
          <w:tcPr>
            <w:tcW w:w="1226" w:type="dxa"/>
          </w:tcPr>
          <w:p w14:paraId="409D0CF1" w14:textId="77777777" w:rsidR="00B444E0" w:rsidRPr="00B444E0" w:rsidRDefault="00B444E0" w:rsidP="00B444E0">
            <w:pPr>
              <w:spacing w:after="0" w:line="240" w:lineRule="auto"/>
              <w:rPr>
                <w:rFonts w:ascii="Calibri" w:eastAsia="Calibri" w:hAnsi="Calibri" w:cs="Calibri"/>
                <w:lang w:val="en-US" w:eastAsia="en-AU"/>
              </w:rPr>
            </w:pPr>
            <w:r w:rsidRPr="00B444E0">
              <w:rPr>
                <w:rFonts w:ascii="Calibri" w:eastAsia="Calibri" w:hAnsi="Calibri" w:cs="Calibri"/>
                <w:lang w:val="en-US" w:eastAsia="en-AU"/>
              </w:rPr>
              <w:t xml:space="preserve">Percentage of student agreement </w:t>
            </w:r>
          </w:p>
        </w:tc>
        <w:tc>
          <w:tcPr>
            <w:tcW w:w="880" w:type="dxa"/>
          </w:tcPr>
          <w:p w14:paraId="64065663" w14:textId="77777777" w:rsidR="00B444E0" w:rsidRPr="00B444E0" w:rsidRDefault="00B444E0" w:rsidP="00DD791E">
            <w:pPr>
              <w:spacing w:after="0" w:line="240" w:lineRule="auto"/>
              <w:jc w:val="center"/>
              <w:rPr>
                <w:rFonts w:ascii="Calibri" w:eastAsia="Calibri" w:hAnsi="Calibri" w:cs="Calibri"/>
                <w:color w:val="000000"/>
                <w:lang w:val="en-US" w:eastAsia="en-AU"/>
              </w:rPr>
            </w:pPr>
          </w:p>
          <w:p w14:paraId="622CEFD3" w14:textId="77777777" w:rsidR="00B444E0" w:rsidRPr="00B444E0" w:rsidRDefault="00B444E0" w:rsidP="00DD791E">
            <w:pPr>
              <w:spacing w:after="0" w:line="240" w:lineRule="auto"/>
              <w:jc w:val="center"/>
              <w:rPr>
                <w:rFonts w:ascii="Calibri" w:eastAsia="Calibri" w:hAnsi="Calibri" w:cs="Calibri"/>
                <w:color w:val="000000"/>
                <w:lang w:val="en-US" w:eastAsia="en-AU"/>
              </w:rPr>
            </w:pPr>
            <w:r w:rsidRPr="00B444E0">
              <w:rPr>
                <w:rFonts w:ascii="Calibri" w:eastAsia="Calibri" w:hAnsi="Calibri" w:cs="Calibri"/>
                <w:color w:val="000000"/>
                <w:lang w:val="en-US" w:eastAsia="en-AU"/>
              </w:rPr>
              <w:t>87%</w:t>
            </w:r>
          </w:p>
        </w:tc>
        <w:tc>
          <w:tcPr>
            <w:tcW w:w="878" w:type="dxa"/>
          </w:tcPr>
          <w:p w14:paraId="70F96603" w14:textId="77777777" w:rsidR="00B444E0" w:rsidRPr="00B444E0" w:rsidRDefault="00B444E0" w:rsidP="00DD791E">
            <w:pPr>
              <w:spacing w:after="0" w:line="240" w:lineRule="auto"/>
              <w:jc w:val="center"/>
              <w:rPr>
                <w:rFonts w:ascii="Calibri" w:eastAsia="Calibri" w:hAnsi="Calibri" w:cs="Calibri"/>
                <w:lang w:val="en-US" w:eastAsia="en-AU"/>
              </w:rPr>
            </w:pPr>
          </w:p>
          <w:p w14:paraId="2ACB84AA"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83.49%</w:t>
            </w:r>
          </w:p>
        </w:tc>
        <w:tc>
          <w:tcPr>
            <w:tcW w:w="878" w:type="dxa"/>
          </w:tcPr>
          <w:p w14:paraId="5CAD4619" w14:textId="77777777" w:rsidR="00B444E0" w:rsidRPr="00B444E0" w:rsidRDefault="00B444E0" w:rsidP="00DD791E">
            <w:pPr>
              <w:spacing w:after="0" w:line="240" w:lineRule="auto"/>
              <w:jc w:val="center"/>
              <w:rPr>
                <w:rFonts w:ascii="Calibri" w:eastAsia="Calibri" w:hAnsi="Calibri" w:cs="Calibri"/>
                <w:lang w:val="en-US" w:eastAsia="en-AU"/>
              </w:rPr>
            </w:pPr>
          </w:p>
          <w:p w14:paraId="7E670CD6"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73%</w:t>
            </w:r>
          </w:p>
        </w:tc>
        <w:tc>
          <w:tcPr>
            <w:tcW w:w="878" w:type="dxa"/>
          </w:tcPr>
          <w:p w14:paraId="52647330" w14:textId="77777777" w:rsidR="00B444E0" w:rsidRPr="00B444E0" w:rsidRDefault="00B444E0" w:rsidP="00DD791E">
            <w:pPr>
              <w:spacing w:after="0" w:line="240" w:lineRule="auto"/>
              <w:jc w:val="center"/>
              <w:rPr>
                <w:rFonts w:ascii="Calibri" w:eastAsia="Calibri" w:hAnsi="Calibri" w:cs="Calibri"/>
                <w:lang w:val="en-US" w:eastAsia="en-AU"/>
              </w:rPr>
            </w:pPr>
          </w:p>
          <w:p w14:paraId="72A3E59B" w14:textId="77777777" w:rsidR="00B444E0" w:rsidRPr="00B444E0" w:rsidRDefault="00B444E0" w:rsidP="00DD791E">
            <w:pPr>
              <w:spacing w:after="0" w:line="240" w:lineRule="auto"/>
              <w:jc w:val="center"/>
              <w:rPr>
                <w:rFonts w:ascii="Calibri" w:eastAsia="Calibri" w:hAnsi="Calibri" w:cs="Calibri"/>
                <w:lang w:val="en-US" w:eastAsia="en-AU"/>
              </w:rPr>
            </w:pPr>
            <w:r w:rsidRPr="00B444E0">
              <w:rPr>
                <w:rFonts w:ascii="Calibri" w:eastAsia="Calibri" w:hAnsi="Calibri" w:cs="Calibri"/>
                <w:lang w:val="en-US" w:eastAsia="en-AU"/>
              </w:rPr>
              <w:t>79%</w:t>
            </w:r>
          </w:p>
        </w:tc>
        <w:tc>
          <w:tcPr>
            <w:tcW w:w="878" w:type="dxa"/>
            <w:shd w:val="clear" w:color="auto" w:fill="auto"/>
          </w:tcPr>
          <w:p w14:paraId="2E7D4073" w14:textId="77777777" w:rsidR="00B444E0" w:rsidRDefault="00B444E0" w:rsidP="00DD791E">
            <w:pPr>
              <w:spacing w:after="0" w:line="240" w:lineRule="auto"/>
              <w:jc w:val="center"/>
              <w:rPr>
                <w:rFonts w:ascii="Calibri" w:eastAsia="Calibri" w:hAnsi="Calibri" w:cs="Calibri"/>
                <w:lang w:val="en-US" w:eastAsia="en-AU"/>
              </w:rPr>
            </w:pPr>
          </w:p>
          <w:p w14:paraId="14AC5E1A" w14:textId="127E1BBE" w:rsidR="00AC480C" w:rsidRPr="00B444E0" w:rsidRDefault="00AC480C" w:rsidP="00DD791E">
            <w:pPr>
              <w:spacing w:after="0" w:line="240" w:lineRule="auto"/>
              <w:jc w:val="center"/>
              <w:rPr>
                <w:rFonts w:ascii="Calibri" w:eastAsia="Calibri" w:hAnsi="Calibri" w:cs="Calibri"/>
                <w:lang w:val="en-US" w:eastAsia="en-AU"/>
              </w:rPr>
            </w:pPr>
            <w:r>
              <w:rPr>
                <w:rFonts w:ascii="Calibri" w:eastAsia="Calibri" w:hAnsi="Calibri" w:cs="Calibri"/>
                <w:lang w:val="en-US" w:eastAsia="en-AU"/>
              </w:rPr>
              <w:t>84%</w:t>
            </w:r>
          </w:p>
        </w:tc>
        <w:tc>
          <w:tcPr>
            <w:tcW w:w="879" w:type="dxa"/>
          </w:tcPr>
          <w:p w14:paraId="33A2C969" w14:textId="77777777" w:rsidR="00B444E0" w:rsidRPr="00B444E0" w:rsidRDefault="00B444E0" w:rsidP="00B444E0">
            <w:pPr>
              <w:spacing w:after="0" w:line="240" w:lineRule="auto"/>
              <w:rPr>
                <w:rFonts w:ascii="Calibri" w:eastAsia="Calibri" w:hAnsi="Calibri" w:cs="Calibri"/>
                <w:lang w:val="en-US" w:eastAsia="en-AU"/>
              </w:rPr>
            </w:pPr>
          </w:p>
        </w:tc>
        <w:tc>
          <w:tcPr>
            <w:tcW w:w="1556" w:type="dxa"/>
            <w:vAlign w:val="center"/>
          </w:tcPr>
          <w:p w14:paraId="0715A34E" w14:textId="77777777" w:rsidR="00B444E0" w:rsidRPr="00B444E0" w:rsidRDefault="00B444E0" w:rsidP="00A40C43">
            <w:pPr>
              <w:spacing w:before="120" w:after="120" w:line="240" w:lineRule="auto"/>
              <w:jc w:val="center"/>
              <w:rPr>
                <w:rFonts w:ascii="Calibri" w:eastAsia="Calibri" w:hAnsi="Calibri" w:cs="Calibri"/>
                <w:sz w:val="24"/>
                <w:szCs w:val="24"/>
                <w:lang w:val="en-US" w:eastAsia="en-AU"/>
              </w:rPr>
            </w:pPr>
            <w:r w:rsidRPr="00B444E0">
              <w:rPr>
                <w:rFonts w:ascii="Calibri" w:eastAsia="Calibri" w:hAnsi="Calibri" w:cs="Calibri"/>
                <w:sz w:val="24"/>
                <w:szCs w:val="24"/>
                <w:lang w:val="en-US" w:eastAsia="en-AU"/>
              </w:rPr>
              <w:t>In progress</w:t>
            </w:r>
          </w:p>
        </w:tc>
      </w:tr>
    </w:tbl>
    <w:p w14:paraId="0463C4E3" w14:textId="77777777" w:rsidR="000E6889" w:rsidRPr="00E061B8" w:rsidRDefault="000E6889" w:rsidP="000E6889">
      <w:pPr>
        <w:pStyle w:val="Heading3"/>
      </w:pPr>
      <w:r w:rsidRPr="00E061B8">
        <w:t>What this evidence tells us</w:t>
      </w:r>
    </w:p>
    <w:p w14:paraId="13AE432B" w14:textId="55E48B5F" w:rsidR="000E6889" w:rsidRPr="00D93457" w:rsidRDefault="000E6889" w:rsidP="007A1200">
      <w:pPr>
        <w:pStyle w:val="NoSpacing"/>
        <w:numPr>
          <w:ilvl w:val="0"/>
          <w:numId w:val="10"/>
        </w:numPr>
      </w:pPr>
      <w:r w:rsidRPr="00232292">
        <w:t xml:space="preserve">We have sustained (within 5%) or exceeded growth in reading </w:t>
      </w:r>
      <w:r w:rsidRPr="00D93457">
        <w:t xml:space="preserve">benchmarks (PMs) and </w:t>
      </w:r>
      <w:r w:rsidR="004B2E6B" w:rsidRPr="00D93457">
        <w:t xml:space="preserve">year 5 growth for </w:t>
      </w:r>
      <w:r w:rsidR="00D93457" w:rsidRPr="00D93457">
        <w:t xml:space="preserve">English and </w:t>
      </w:r>
      <w:proofErr w:type="spellStart"/>
      <w:r w:rsidR="00D93457" w:rsidRPr="00D93457">
        <w:t>Maths</w:t>
      </w:r>
      <w:proofErr w:type="spellEnd"/>
      <w:r w:rsidR="004B2E6B" w:rsidRPr="00D93457">
        <w:t xml:space="preserve">. </w:t>
      </w:r>
    </w:p>
    <w:p w14:paraId="1A8C8439" w14:textId="1CDF9135" w:rsidR="004B2E6B" w:rsidRPr="00D93457" w:rsidRDefault="00D93457" w:rsidP="00A40C43">
      <w:pPr>
        <w:pStyle w:val="ListParagraph"/>
        <w:numPr>
          <w:ilvl w:val="0"/>
          <w:numId w:val="8"/>
        </w:numPr>
        <w:spacing w:after="200" w:line="276" w:lineRule="auto"/>
      </w:pPr>
      <w:r w:rsidRPr="00D93457">
        <w:t xml:space="preserve">We do not have NAPLAN assessments for 2020 and have used moderated A-E grades and </w:t>
      </w:r>
      <w:r w:rsidR="004B2E6B" w:rsidRPr="00D93457">
        <w:t xml:space="preserve">Multiple Sources of Data to address our next steps </w:t>
      </w:r>
      <w:r w:rsidR="00074E45">
        <w:t xml:space="preserve">to </w:t>
      </w:r>
      <w:r w:rsidR="004B2E6B" w:rsidRPr="00D93457">
        <w:t xml:space="preserve">support overall improvement. </w:t>
      </w:r>
      <w:r w:rsidR="00813E0F" w:rsidRPr="00D93457">
        <w:rPr>
          <w:rFonts w:ascii="Calibri" w:eastAsia="Calibri" w:hAnsi="Calibri" w:cs="Calibri"/>
          <w:lang w:val="en-US" w:eastAsia="en-AU"/>
        </w:rPr>
        <w:t xml:space="preserve"> </w:t>
      </w:r>
    </w:p>
    <w:p w14:paraId="337E4A9E" w14:textId="77777777" w:rsidR="00B444E0" w:rsidRDefault="00B444E0" w:rsidP="00B444E0">
      <w:pPr>
        <w:pStyle w:val="Heading3"/>
      </w:pPr>
      <w:r>
        <w:t>Our Achievements for this priority</w:t>
      </w:r>
    </w:p>
    <w:p w14:paraId="18C79D93" w14:textId="484D3FC7" w:rsidR="00A35372" w:rsidRPr="00A40C43" w:rsidRDefault="00827C78" w:rsidP="00656DE8">
      <w:pPr>
        <w:jc w:val="both"/>
        <w:rPr>
          <w:rFonts w:cs="Times New Roman"/>
          <w:b/>
        </w:rPr>
      </w:pPr>
      <w:r w:rsidRPr="00A40C43">
        <w:rPr>
          <w:rFonts w:cs="Times New Roman"/>
          <w:b/>
        </w:rPr>
        <w:t>Increase the use of literacy and numeracy progressions in planning.</w:t>
      </w:r>
    </w:p>
    <w:p w14:paraId="7A083DBB" w14:textId="1C3639F1" w:rsidR="00E96B65" w:rsidRDefault="00827C78" w:rsidP="00E96B65">
      <w:pPr>
        <w:pStyle w:val="ListParagraph"/>
        <w:numPr>
          <w:ilvl w:val="0"/>
          <w:numId w:val="3"/>
        </w:numPr>
        <w:jc w:val="both"/>
      </w:pPr>
      <w:r w:rsidRPr="00A40C43">
        <w:rPr>
          <w:rFonts w:cs="Times New Roman"/>
        </w:rPr>
        <w:t xml:space="preserve">Teacher capability in this area has been further built </w:t>
      </w:r>
      <w:r w:rsidR="00E96B65" w:rsidRPr="00A40C43">
        <w:rPr>
          <w:rFonts w:cs="Times New Roman"/>
        </w:rPr>
        <w:t xml:space="preserve">this year </w:t>
      </w:r>
      <w:r w:rsidR="005F37E7" w:rsidRPr="00A40C43">
        <w:rPr>
          <w:rFonts w:cs="Times New Roman"/>
        </w:rPr>
        <w:t>using</w:t>
      </w:r>
      <w:r w:rsidR="004A2265" w:rsidRPr="00A40C43">
        <w:t xml:space="preserve"> </w:t>
      </w:r>
      <w:r w:rsidR="00E96B65" w:rsidRPr="00A40C43">
        <w:t xml:space="preserve">the School Improvement Curriculum </w:t>
      </w:r>
      <w:r w:rsidR="00654CBB">
        <w:t xml:space="preserve">Professional Learning Community (PLC) </w:t>
      </w:r>
      <w:r w:rsidR="00E96B65" w:rsidRPr="00A40C43">
        <w:t xml:space="preserve">  inquiry. This team developed and implemented a framework for planning, assessment and moderation of learning using </w:t>
      </w:r>
      <w:r w:rsidR="003D4A97" w:rsidRPr="00A40C43">
        <w:t>a consistent, school-wide approach to planning and documenting teaching and learning using 3</w:t>
      </w:r>
      <w:r w:rsidR="003D4A97">
        <w:t>-</w:t>
      </w:r>
      <w:r w:rsidR="003D4A97" w:rsidRPr="00A40C43">
        <w:t>tiered approach (whole school / team / class &amp; individual student planning).</w:t>
      </w:r>
    </w:p>
    <w:p w14:paraId="6EC0F806" w14:textId="482B9648" w:rsidR="00E24786" w:rsidRDefault="00E24786" w:rsidP="00E96B65">
      <w:pPr>
        <w:pStyle w:val="ListParagraph"/>
        <w:numPr>
          <w:ilvl w:val="0"/>
          <w:numId w:val="3"/>
        </w:numPr>
        <w:jc w:val="both"/>
      </w:pPr>
      <w:r>
        <w:t xml:space="preserve">Numeracy progressions were introduced to the staff in </w:t>
      </w:r>
      <w:r w:rsidR="00650F80">
        <w:t>term 1, with subsequent professional learning opportunities across whole staff meetings, team meetings, coaching cycles and PLCs to build teacher capacity to plot their students &amp; class spread as formative assessment. The SENA 1-4 assessments, aligned with the Numeracy Progressions, were introduced to support teachers to build their capacity and reduce variance when capturing student understanding and planning for next steps in teaching and learning.</w:t>
      </w:r>
    </w:p>
    <w:p w14:paraId="4B312751" w14:textId="4454014C" w:rsidR="00650F80" w:rsidRDefault="00650F80" w:rsidP="00E96B65">
      <w:pPr>
        <w:pStyle w:val="ListParagraph"/>
        <w:numPr>
          <w:ilvl w:val="0"/>
          <w:numId w:val="3"/>
        </w:numPr>
        <w:jc w:val="both"/>
      </w:pPr>
      <w:r>
        <w:t xml:space="preserve">Literacy progression mapping was introduced in the 5/6 team to support teachers to capture understanding, target teaching and learning and track student growth in learning for students with reading levels above 30+. A data wall to complement </w:t>
      </w:r>
      <w:r w:rsidR="000C7DDB">
        <w:t>the capture of this learning was also established and provided prompts for regular disciplined dialogue conversations with teachers.</w:t>
      </w:r>
    </w:p>
    <w:p w14:paraId="460F45B4" w14:textId="32E64D2D" w:rsidR="003D4A97" w:rsidRDefault="003D4A97" w:rsidP="00E96B65">
      <w:pPr>
        <w:pStyle w:val="ListParagraph"/>
        <w:numPr>
          <w:ilvl w:val="0"/>
          <w:numId w:val="3"/>
        </w:numPr>
        <w:jc w:val="both"/>
      </w:pPr>
      <w:r>
        <w:t xml:space="preserve">All teams ensured consistent implementation of planning using Achievement Standards mapping and content descriptors (expressed as student-friendly ‘I can…’ statements) </w:t>
      </w:r>
      <w:r w:rsidR="00650F80">
        <w:t xml:space="preserve">scoped </w:t>
      </w:r>
      <w:r>
        <w:t>across the year. Teams used planning days across each term to collaboratively plan for teaching &amp; learning using the Literacy &amp; Numeracy progressions.</w:t>
      </w:r>
    </w:p>
    <w:p w14:paraId="7F1F6870" w14:textId="1BC855BA" w:rsidR="000C7DDB" w:rsidRPr="00A40C43" w:rsidRDefault="00E96B65" w:rsidP="00E96B65">
      <w:pPr>
        <w:pStyle w:val="ListParagraph"/>
        <w:numPr>
          <w:ilvl w:val="0"/>
          <w:numId w:val="3"/>
        </w:numPr>
        <w:jc w:val="both"/>
      </w:pPr>
      <w:r w:rsidRPr="00A40C43">
        <w:t>E</w:t>
      </w:r>
      <w:r w:rsidR="004A2265" w:rsidRPr="0099069E">
        <w:t xml:space="preserve">xpert coaches for </w:t>
      </w:r>
      <w:r w:rsidR="00E24786" w:rsidRPr="00A40C43">
        <w:t>teachers</w:t>
      </w:r>
      <w:r w:rsidR="004A2265" w:rsidRPr="0099069E">
        <w:t xml:space="preserve"> across the year continued to be recogni</w:t>
      </w:r>
      <w:r w:rsidR="00E24786" w:rsidRPr="00A40C43">
        <w:t>s</w:t>
      </w:r>
      <w:r w:rsidR="004A2265" w:rsidRPr="0099069E">
        <w:t>ed as a high impact strategy to sustain and increase consistency of learning opportunities across every class.</w:t>
      </w:r>
      <w:r w:rsidR="00827C78" w:rsidRPr="0099069E">
        <w:t xml:space="preserve"> Turner</w:t>
      </w:r>
      <w:r w:rsidR="004A2265" w:rsidRPr="0099069E">
        <w:t xml:space="preserve"> had two new expert coaches added to the team and the coaching team took multiple opportunities across the year to reflect and improve on their own practice as a leader of practice in the school. </w:t>
      </w:r>
      <w:r w:rsidR="0099069E">
        <w:t xml:space="preserve">Coaches also lead whole-school audits in Literacy &amp; Numeracy, leading teams through disciplined dialogue and successfully reducing variance within and across teams. </w:t>
      </w:r>
      <w:r w:rsidR="00E24786" w:rsidRPr="00A40C43">
        <w:t>The coaching team developed a plan</w:t>
      </w:r>
      <w:r w:rsidR="002100C9">
        <w:t xml:space="preserve"> and coaching/mentoring documents</w:t>
      </w:r>
      <w:r w:rsidR="00E24786" w:rsidRPr="00A40C43">
        <w:t xml:space="preserve"> to support the ongoing induction and capacity-building for coaches to further refine in 2021</w:t>
      </w:r>
      <w:r w:rsidR="002100C9">
        <w:t>.</w:t>
      </w:r>
    </w:p>
    <w:p w14:paraId="1D00F752" w14:textId="6C787CB5" w:rsidR="004A2265" w:rsidRPr="0099069E" w:rsidRDefault="00827C78">
      <w:pPr>
        <w:pStyle w:val="ListParagraph"/>
        <w:numPr>
          <w:ilvl w:val="0"/>
          <w:numId w:val="3"/>
        </w:numPr>
        <w:jc w:val="both"/>
      </w:pPr>
      <w:r w:rsidRPr="0099069E">
        <w:lastRenderedPageBreak/>
        <w:t xml:space="preserve">Teachers engaged in Professional Learning offered by </w:t>
      </w:r>
      <w:r w:rsidR="00E96B65" w:rsidRPr="00A40C43">
        <w:t xml:space="preserve">Misty </w:t>
      </w:r>
      <w:proofErr w:type="spellStart"/>
      <w:r w:rsidR="00E96B65" w:rsidRPr="00A40C43">
        <w:t>Adoniou</w:t>
      </w:r>
      <w:proofErr w:type="spellEnd"/>
      <w:r w:rsidR="000C7DDB" w:rsidRPr="00A40C43">
        <w:t xml:space="preserve"> and Christine </w:t>
      </w:r>
      <w:proofErr w:type="spellStart"/>
      <w:r w:rsidR="000C7DDB" w:rsidRPr="00A40C43">
        <w:t>Topfer</w:t>
      </w:r>
      <w:proofErr w:type="spellEnd"/>
      <w:r w:rsidR="000C7DDB" w:rsidRPr="00A40C43">
        <w:t xml:space="preserve"> (further refining and synthesising whole-school approaches to spelling and word study)</w:t>
      </w:r>
      <w:r w:rsidR="00E96B65" w:rsidRPr="00A40C43">
        <w:t>,</w:t>
      </w:r>
      <w:r w:rsidRPr="0099069E">
        <w:t xml:space="preserve"> </w:t>
      </w:r>
      <w:r w:rsidR="000C7DDB" w:rsidRPr="00A40C43">
        <w:t>as well as</w:t>
      </w:r>
      <w:r w:rsidR="00FB143F">
        <w:t xml:space="preserve"> Dr</w:t>
      </w:r>
      <w:r w:rsidR="00E96B65" w:rsidRPr="00A40C43">
        <w:t xml:space="preserve"> Harry Kanasa</w:t>
      </w:r>
      <w:r w:rsidR="000C7DDB" w:rsidRPr="00A40C43">
        <w:t xml:space="preserve"> (supporting renewed knowledge and implementation of inquiry approach in Maths as well as consistency for Problem Solving with teachers co-constructing </w:t>
      </w:r>
      <w:r w:rsidR="0099069E" w:rsidRPr="00A40C43">
        <w:t>the ‘Problem Solving Toolkit’)</w:t>
      </w:r>
      <w:r w:rsidR="00E96B65" w:rsidRPr="00A40C43">
        <w:t xml:space="preserve">. </w:t>
      </w:r>
      <w:r w:rsidR="002100C9">
        <w:t xml:space="preserve">This led to a renewal of the Turner School </w:t>
      </w:r>
      <w:r w:rsidR="007A147B">
        <w:t xml:space="preserve">Defining Beliefs, </w:t>
      </w:r>
      <w:r w:rsidR="002100C9">
        <w:t>Aligning</w:t>
      </w:r>
      <w:r w:rsidR="007A147B">
        <w:t xml:space="preserve"> Practice @ Turner School.</w:t>
      </w:r>
    </w:p>
    <w:p w14:paraId="25BA41F1" w14:textId="38AF2EDF" w:rsidR="004A2265" w:rsidRPr="00A40C43" w:rsidRDefault="0099069E" w:rsidP="007A1200">
      <w:pPr>
        <w:pStyle w:val="ListParagraph"/>
        <w:numPr>
          <w:ilvl w:val="0"/>
          <w:numId w:val="3"/>
        </w:numPr>
        <w:jc w:val="both"/>
      </w:pPr>
      <w:r w:rsidRPr="00A40C43">
        <w:t>Reports</w:t>
      </w:r>
      <w:r w:rsidR="000D6F53" w:rsidRPr="00A40C43">
        <w:t xml:space="preserve"> aligned</w:t>
      </w:r>
      <w:r w:rsidR="004A2265" w:rsidRPr="00A40C43">
        <w:t xml:space="preserve"> the Australian Curriculum Standards with the general capabilities and content descriptors aligned with a practice of inquiry, questioning and conferring on individual learning goals</w:t>
      </w:r>
      <w:r w:rsidR="000D6F53" w:rsidRPr="00A40C43">
        <w:t>.</w:t>
      </w:r>
    </w:p>
    <w:p w14:paraId="2B5C14BF" w14:textId="162243BD" w:rsidR="00827C78" w:rsidRPr="00A40C43" w:rsidRDefault="004A2265" w:rsidP="007A1200">
      <w:pPr>
        <w:pStyle w:val="ListParagraph"/>
        <w:numPr>
          <w:ilvl w:val="0"/>
          <w:numId w:val="3"/>
        </w:numPr>
        <w:jc w:val="both"/>
        <w:rPr>
          <w:rStyle w:val="BodyTextChar"/>
        </w:rPr>
      </w:pPr>
      <w:r w:rsidRPr="00A40C43">
        <w:t>Induction process for new staff ensured that early career teachers and new teachers to Turner School were supported in aligning with established Turner practices.</w:t>
      </w:r>
      <w:r w:rsidR="00827C78" w:rsidRPr="00A40C43">
        <w:rPr>
          <w:rStyle w:val="BodyTextChar"/>
        </w:rPr>
        <w:t xml:space="preserve"> </w:t>
      </w:r>
    </w:p>
    <w:p w14:paraId="639A8E1A" w14:textId="49D57A7E" w:rsidR="000D6F53" w:rsidRDefault="000D6F53" w:rsidP="0099069E">
      <w:pPr>
        <w:pStyle w:val="ListParagraph"/>
        <w:numPr>
          <w:ilvl w:val="0"/>
          <w:numId w:val="3"/>
        </w:numPr>
        <w:jc w:val="both"/>
        <w:rPr>
          <w:rStyle w:val="BodyTextChar"/>
        </w:rPr>
      </w:pPr>
      <w:r w:rsidRPr="00A40C43">
        <w:rPr>
          <w:rStyle w:val="BodyTextChar"/>
        </w:rPr>
        <w:t xml:space="preserve">Writing progression assessment was </w:t>
      </w:r>
      <w:r w:rsidR="0099069E" w:rsidRPr="00A40C43">
        <w:rPr>
          <w:rStyle w:val="BodyTextChar"/>
        </w:rPr>
        <w:t>embedded, providing evidence of literacy achievement against the Literacy Progressions. Students in the 5/6 cohort reflected on their achievement using student-friendly versions presented within the ‘I can…’ framework</w:t>
      </w:r>
      <w:r w:rsidRPr="00A40C43">
        <w:rPr>
          <w:rStyle w:val="BodyTextChar"/>
        </w:rPr>
        <w:t xml:space="preserve"> </w:t>
      </w:r>
    </w:p>
    <w:p w14:paraId="1B32F932" w14:textId="6555127B" w:rsidR="00122AE6" w:rsidRPr="007A147B" w:rsidRDefault="0099069E">
      <w:pPr>
        <w:pStyle w:val="ListParagraph"/>
        <w:numPr>
          <w:ilvl w:val="0"/>
          <w:numId w:val="3"/>
        </w:numPr>
        <w:jc w:val="both"/>
        <w:rPr>
          <w:rStyle w:val="BodyTextChar"/>
        </w:rPr>
      </w:pPr>
      <w:r>
        <w:rPr>
          <w:rStyle w:val="BodyTextChar"/>
        </w:rPr>
        <w:t xml:space="preserve">Moderation documents were further refined, aligned with updated Achievement Standard mapping, and used as formative and summative assessment measures </w:t>
      </w:r>
      <w:r w:rsidR="00790A36">
        <w:rPr>
          <w:rStyle w:val="BodyTextChar"/>
        </w:rPr>
        <w:t xml:space="preserve">to support teacher discussion and consistency of </w:t>
      </w:r>
      <w:r w:rsidR="00790A36" w:rsidRPr="007A147B">
        <w:rPr>
          <w:rStyle w:val="BodyTextChar"/>
        </w:rPr>
        <w:t>judgement for formal reporting.</w:t>
      </w:r>
    </w:p>
    <w:p w14:paraId="7D4132F0" w14:textId="4D6A35AE" w:rsidR="00122AE6" w:rsidRPr="007A147B" w:rsidRDefault="007A147B" w:rsidP="00CA6CFB">
      <w:pPr>
        <w:pStyle w:val="ListParagraph"/>
        <w:numPr>
          <w:ilvl w:val="0"/>
          <w:numId w:val="3"/>
        </w:numPr>
        <w:jc w:val="both"/>
        <w:rPr>
          <w:rStyle w:val="BodyTextChar"/>
          <w:color w:val="FF0000"/>
        </w:rPr>
      </w:pPr>
      <w:r w:rsidRPr="007A147B">
        <w:rPr>
          <w:rStyle w:val="BodyTextChar"/>
        </w:rPr>
        <w:t xml:space="preserve">Collaborative development of Aligning Curriculum and pedagogy documents (Writing, Spelling and Mental </w:t>
      </w:r>
      <w:r>
        <w:rPr>
          <w:rStyle w:val="BodyTextChar"/>
        </w:rPr>
        <w:t>Computation) to be introduced and implemented in 2021.</w:t>
      </w:r>
    </w:p>
    <w:p w14:paraId="26F3D836" w14:textId="0694B0DE" w:rsidR="004A2265" w:rsidRPr="00E12DF9" w:rsidRDefault="00827C78" w:rsidP="00A95299">
      <w:pPr>
        <w:jc w:val="both"/>
        <w:rPr>
          <w:b/>
        </w:rPr>
      </w:pPr>
      <w:r w:rsidRPr="00A40C43">
        <w:rPr>
          <w:rStyle w:val="BodyTextChar"/>
          <w:b/>
        </w:rPr>
        <w:t>Explore the use of General Capabilities- Intercultural Understanding in planning</w:t>
      </w:r>
    </w:p>
    <w:p w14:paraId="72708008" w14:textId="601E38C5" w:rsidR="005979DA" w:rsidRPr="00A40C43" w:rsidRDefault="00E12DF9" w:rsidP="007A1200">
      <w:pPr>
        <w:pStyle w:val="ListParagraph"/>
        <w:numPr>
          <w:ilvl w:val="0"/>
          <w:numId w:val="3"/>
        </w:numPr>
        <w:jc w:val="both"/>
        <w:rPr>
          <w:i/>
          <w:iCs/>
        </w:rPr>
      </w:pPr>
      <w:r w:rsidRPr="00A40C43">
        <w:t xml:space="preserve">Turner School Executive and lead teachers have maintained critical friendship with David Spillman and Ben Wilson.  Through the School Improvement </w:t>
      </w:r>
      <w:r w:rsidR="00654CBB">
        <w:t xml:space="preserve"> action learning </w:t>
      </w:r>
      <w:r w:rsidRPr="00A40C43">
        <w:t>‘Cultural Integrity’ group, discussions with critical friends were integral to discussing Turner’s cultural journey.</w:t>
      </w:r>
      <w:r>
        <w:t xml:space="preserve"> The ‘Cultural Integrity’ teacher toolkit </w:t>
      </w:r>
      <w:r w:rsidR="00EB7DC6">
        <w:t>was created, with a number of opportunities for feedback and revisions from Turner staff and critical friends</w:t>
      </w:r>
      <w:r w:rsidR="00FE03DC">
        <w:t>, with</w:t>
      </w:r>
      <w:r w:rsidR="00EB7DC6">
        <w:t xml:space="preserve"> </w:t>
      </w:r>
      <w:r w:rsidR="00FE03DC">
        <w:t xml:space="preserve">Ben Wilson describing it as “very compelling”. </w:t>
      </w:r>
      <w:r w:rsidR="005979DA">
        <w:t xml:space="preserve">This toolkit was officially shared with the staff towards the end of the year and will form the basis of a key professional learning focus across 2021. This will be supported by the  introduction of four school-wide inquiry questions – </w:t>
      </w:r>
      <w:r w:rsidR="005979DA" w:rsidRPr="00A40C43">
        <w:rPr>
          <w:i/>
          <w:iCs/>
        </w:rPr>
        <w:t>‘Who am I?’</w:t>
      </w:r>
      <w:r w:rsidR="005979DA">
        <w:t xml:space="preserve">, </w:t>
      </w:r>
      <w:r w:rsidR="005979DA" w:rsidRPr="00A40C43">
        <w:rPr>
          <w:i/>
          <w:iCs/>
        </w:rPr>
        <w:t>‘Who am I in my relationships?’</w:t>
      </w:r>
      <w:r w:rsidR="005979DA">
        <w:t xml:space="preserve">, </w:t>
      </w:r>
      <w:r w:rsidR="005979DA" w:rsidRPr="00A40C43">
        <w:rPr>
          <w:i/>
          <w:iCs/>
        </w:rPr>
        <w:t>‘Who am I with Country?’</w:t>
      </w:r>
      <w:r w:rsidR="005979DA">
        <w:t xml:space="preserve"> and </w:t>
      </w:r>
      <w:r w:rsidR="005979DA" w:rsidRPr="00A40C43">
        <w:rPr>
          <w:i/>
          <w:iCs/>
        </w:rPr>
        <w:t>‘How are we together?’</w:t>
      </w:r>
      <w:r w:rsidR="00226D0D">
        <w:rPr>
          <w:i/>
          <w:iCs/>
        </w:rPr>
        <w:t xml:space="preserve"> </w:t>
      </w:r>
    </w:p>
    <w:p w14:paraId="205C64AB" w14:textId="7E9A3E15" w:rsidR="000D6F53" w:rsidRPr="00A40C43" w:rsidRDefault="00EB7DC6" w:rsidP="007A1200">
      <w:pPr>
        <w:pStyle w:val="ListParagraph"/>
        <w:numPr>
          <w:ilvl w:val="0"/>
          <w:numId w:val="3"/>
        </w:numPr>
        <w:jc w:val="both"/>
      </w:pPr>
      <w:r>
        <w:t>A large number of staff members attended the ‘8-Way</w:t>
      </w:r>
      <w:r w:rsidR="007A147B">
        <w:t>s</w:t>
      </w:r>
      <w:r>
        <w:t xml:space="preserve">’ professional learning opportunity, impacting the implementation in each </w:t>
      </w:r>
      <w:r w:rsidRPr="00EB7DC6">
        <w:t>team and aligning form</w:t>
      </w:r>
      <w:r>
        <w:t>a</w:t>
      </w:r>
      <w:r w:rsidRPr="00EB7DC6">
        <w:t xml:space="preserve">ts of curriculum </w:t>
      </w:r>
      <w:r>
        <w:t xml:space="preserve">inquiry </w:t>
      </w:r>
      <w:r w:rsidRPr="00EB7DC6">
        <w:t>planning linking to cross-curricula priorities.</w:t>
      </w:r>
      <w:r w:rsidR="009D7256">
        <w:t xml:space="preserve"> The engagement of a </w:t>
      </w:r>
      <w:r w:rsidR="00074E45">
        <w:t>Cultural Integrity Support</w:t>
      </w:r>
      <w:r w:rsidR="009D7256">
        <w:t xml:space="preserve"> officer for our school, shared across our cluster school network, has further engaged students and staff in this area.</w:t>
      </w:r>
    </w:p>
    <w:p w14:paraId="7242CCAC" w14:textId="5CBEEC83" w:rsidR="003B19C4" w:rsidRDefault="00EB7DC6" w:rsidP="007A1200">
      <w:pPr>
        <w:pStyle w:val="ListParagraph"/>
        <w:numPr>
          <w:ilvl w:val="0"/>
          <w:numId w:val="3"/>
        </w:numPr>
        <w:jc w:val="both"/>
      </w:pPr>
      <w:r w:rsidRPr="00A40C43">
        <w:t>STEAM (Science, Technology, Engineering, Arts &amp; Maths) Festival</w:t>
      </w:r>
      <w:r w:rsidR="00F40059" w:rsidRPr="00A40C43">
        <w:t xml:space="preserve"> </w:t>
      </w:r>
      <w:r w:rsidRPr="00A40C43">
        <w:t xml:space="preserve">(theme ‘Our Obligation through Collaboration’) </w:t>
      </w:r>
      <w:r w:rsidR="00F40059" w:rsidRPr="00A40C43">
        <w:t>in August showcase</w:t>
      </w:r>
      <w:r w:rsidRPr="00A40C43">
        <w:t>d</w:t>
      </w:r>
      <w:r w:rsidR="00F40059" w:rsidRPr="00A40C43">
        <w:t xml:space="preserve"> the school</w:t>
      </w:r>
      <w:r w:rsidRPr="00A40C43">
        <w:t>’s</w:t>
      </w:r>
      <w:r w:rsidR="00F40059" w:rsidRPr="00A40C43">
        <w:t xml:space="preserve"> ever growing knowledge of Intercultural Understandings (Australian Curriculum) through opportunities that engaged students, parents and staff with a connection to Country and a study of cultural and countries from all over the world through the lens of a cultural marker, ‘with every connection comes obligation’.</w:t>
      </w:r>
    </w:p>
    <w:p w14:paraId="3382B095" w14:textId="4A823E12" w:rsidR="00E12DF9" w:rsidRPr="007A1200" w:rsidRDefault="00EB7DC6" w:rsidP="00A40C43">
      <w:pPr>
        <w:pStyle w:val="ListParagraph"/>
        <w:numPr>
          <w:ilvl w:val="0"/>
          <w:numId w:val="3"/>
        </w:numPr>
        <w:jc w:val="both"/>
        <w:rPr>
          <w:rFonts w:ascii="Times New Roman" w:eastAsia="Times New Roman" w:hAnsi="Times New Roman" w:cs="Times New Roman"/>
          <w:sz w:val="24"/>
          <w:szCs w:val="24"/>
          <w:lang w:eastAsia="en-AU"/>
        </w:rPr>
      </w:pPr>
      <w:r>
        <w:t xml:space="preserve">Students across kindergarten and 3/4 worked collaboratively to design the </w:t>
      </w:r>
      <w:r w:rsidR="005979DA">
        <w:t xml:space="preserve">school’s new </w:t>
      </w:r>
      <w:r>
        <w:t xml:space="preserve">Cultural Integrity Garden, with the P&amp;C </w:t>
      </w:r>
      <w:r w:rsidR="00FE03DC">
        <w:t xml:space="preserve">supporting through a </w:t>
      </w:r>
      <w:r w:rsidR="005979DA">
        <w:t xml:space="preserve">successful </w:t>
      </w:r>
      <w:r w:rsidR="00FE03DC">
        <w:t>grant application where Nathan Richards (Turner P&amp;C President)</w:t>
      </w:r>
      <w:r w:rsidR="00074E45">
        <w:t xml:space="preserve"> stated</w:t>
      </w:r>
      <w:r w:rsidR="00FE03DC">
        <w:t xml:space="preserve"> “Cultural learning, inclusivity, and engagement are the key elements to the Turner School community”.</w:t>
      </w:r>
    </w:p>
    <w:p w14:paraId="2A66A99A" w14:textId="77777777" w:rsidR="00E12DF9" w:rsidRPr="00A40C43" w:rsidRDefault="00E12DF9" w:rsidP="00A40C43">
      <w:pPr>
        <w:spacing w:after="0" w:line="240" w:lineRule="auto"/>
        <w:ind w:left="500" w:hanging="360"/>
        <w:rPr>
          <w:color w:val="FF0000"/>
        </w:rPr>
      </w:pPr>
    </w:p>
    <w:p w14:paraId="4E7471DE" w14:textId="13BFE2FC" w:rsidR="00725929" w:rsidRPr="00A40C43" w:rsidRDefault="00725929" w:rsidP="00725929">
      <w:pPr>
        <w:jc w:val="both"/>
        <w:rPr>
          <w:b/>
        </w:rPr>
      </w:pPr>
      <w:r w:rsidRPr="00A40C43">
        <w:rPr>
          <w:b/>
        </w:rPr>
        <w:t xml:space="preserve">Embed teachers’ capacity to notice student learning and respond using high impact strategies </w:t>
      </w:r>
      <w:r w:rsidR="00D53002" w:rsidRPr="00A40C43">
        <w:rPr>
          <w:b/>
        </w:rPr>
        <w:t>around feedback and conferring.</w:t>
      </w:r>
    </w:p>
    <w:p w14:paraId="43739F1C" w14:textId="111675AB" w:rsidR="00D53002" w:rsidRPr="00A40C43" w:rsidRDefault="00D53002" w:rsidP="007A1200">
      <w:pPr>
        <w:pStyle w:val="ListParagraph"/>
        <w:numPr>
          <w:ilvl w:val="0"/>
          <w:numId w:val="3"/>
        </w:numPr>
        <w:jc w:val="both"/>
      </w:pPr>
      <w:r w:rsidRPr="00A40C43">
        <w:t>Teachers using the SOLO (Structure of Observable Learning Outcomes</w:t>
      </w:r>
      <w:r w:rsidR="005E20EE" w:rsidRPr="00A40C43">
        <w:t xml:space="preserve"> </w:t>
      </w:r>
      <w:r w:rsidRPr="00A40C43">
        <w:t>-Claxton) as a formative assessment tool</w:t>
      </w:r>
      <w:r w:rsidR="005E20EE" w:rsidRPr="00A40C43">
        <w:t xml:space="preserve"> and to support students to set individual learning goals, track their growth &amp; achievement.</w:t>
      </w:r>
    </w:p>
    <w:p w14:paraId="40F0E128" w14:textId="41551341" w:rsidR="005E20EE" w:rsidRDefault="005E20EE" w:rsidP="007A1200">
      <w:pPr>
        <w:pStyle w:val="ListParagraph"/>
        <w:numPr>
          <w:ilvl w:val="0"/>
          <w:numId w:val="3"/>
        </w:numPr>
        <w:jc w:val="both"/>
      </w:pPr>
      <w:r w:rsidRPr="00A40C43">
        <w:t xml:space="preserve">Through </w:t>
      </w:r>
      <w:r w:rsidR="00654CBB">
        <w:t>Professional Learning Communities (PLCs)</w:t>
      </w:r>
      <w:r w:rsidRPr="00A40C43">
        <w:t>, coaching cycles</w:t>
      </w:r>
      <w:r w:rsidR="00E5016B" w:rsidRPr="00A40C43">
        <w:t xml:space="preserve"> and </w:t>
      </w:r>
      <w:r w:rsidRPr="00A40C43">
        <w:t>team planning session</w:t>
      </w:r>
      <w:r w:rsidR="00E5016B" w:rsidRPr="00A40C43">
        <w:t>s, the use of the ‘Personalising Learning’, ‘Student Feedback’ and ‘Conferring’ toolkits were embedded.</w:t>
      </w:r>
      <w:r w:rsidR="00E5016B">
        <w:t xml:space="preserve"> New Turner staff </w:t>
      </w:r>
      <w:r w:rsidR="00E5016B">
        <w:lastRenderedPageBreak/>
        <w:t>were supported to build their understanding in these areas through induction processes, mentoring relationships and coaching cycles.</w:t>
      </w:r>
    </w:p>
    <w:p w14:paraId="1F1FDC2A" w14:textId="3D251C04" w:rsidR="00E5016B" w:rsidRDefault="00E5016B" w:rsidP="007A1200">
      <w:pPr>
        <w:pStyle w:val="ListParagraph"/>
        <w:numPr>
          <w:ilvl w:val="0"/>
          <w:numId w:val="3"/>
        </w:numPr>
        <w:jc w:val="both"/>
      </w:pPr>
      <w:r>
        <w:t xml:space="preserve">Teaching teams engaged in professional learning during planning days in the area of conferring, targeting teacher capacity in this area to support the increase in </w:t>
      </w:r>
      <w:r w:rsidR="00E4129C">
        <w:t>conferencing time in classes through the implementation of ‘Self-Directed Learning’ in the senior area of the school.</w:t>
      </w:r>
    </w:p>
    <w:p w14:paraId="53B08D3C" w14:textId="134A5D93" w:rsidR="00E4129C" w:rsidRDefault="00E4129C" w:rsidP="007A1200">
      <w:pPr>
        <w:pStyle w:val="ListParagraph"/>
        <w:numPr>
          <w:ilvl w:val="0"/>
          <w:numId w:val="3"/>
        </w:numPr>
        <w:jc w:val="both"/>
      </w:pPr>
      <w:r>
        <w:t>Students provided feedback to teachers around conferring practices (end of term 3) and participated in a number of student forums across the year. The information from the student forum in term 4 informed teachers understanding and refinement of inquiry learning (through both project-based and self-directed learning).</w:t>
      </w:r>
    </w:p>
    <w:p w14:paraId="26F47B90" w14:textId="7DB208C5" w:rsidR="00E4129C" w:rsidRDefault="00E4129C" w:rsidP="007A1200">
      <w:pPr>
        <w:pStyle w:val="ListParagraph"/>
        <w:numPr>
          <w:ilvl w:val="0"/>
          <w:numId w:val="3"/>
        </w:numPr>
        <w:jc w:val="both"/>
      </w:pPr>
      <w:r>
        <w:t>Turner’s ‘Pedagogical Framework’ was developed. This document synthesises the high-impact teaching strategies proven successful in Turner School’s context and implemented over our school journey since 2013. Executive staff will use the Pedagogical Framework in 2021 to build capacity and reduce variance</w:t>
      </w:r>
      <w:r w:rsidR="00DC6BB2">
        <w:t>, utilising the teacher reflection page using the SOLO Taxonomy framework to inform coaching, action learning teacher inquiries and teacher PDP goals.</w:t>
      </w:r>
      <w:r w:rsidR="005061E5">
        <w:t xml:space="preserve"> This will be supported by the development of </w:t>
      </w:r>
      <w:r w:rsidR="007A147B">
        <w:t xml:space="preserve">the </w:t>
      </w:r>
      <w:r w:rsidR="005061E5">
        <w:t xml:space="preserve">Turner ‘Teacher Portal’ site in 2021, with staff providing feedback on the site construction choices to support teaching and learning. </w:t>
      </w:r>
    </w:p>
    <w:p w14:paraId="3EE1B855" w14:textId="6EFEDCBC" w:rsidR="00DC6BB2" w:rsidRPr="00A40C43" w:rsidRDefault="00DC6BB2" w:rsidP="007A1200">
      <w:pPr>
        <w:pStyle w:val="ListParagraph"/>
        <w:numPr>
          <w:ilvl w:val="0"/>
          <w:numId w:val="3"/>
        </w:numPr>
        <w:jc w:val="both"/>
      </w:pPr>
      <w:r>
        <w:t xml:space="preserve">Staff engaged in professional learning in Inquiry </w:t>
      </w:r>
      <w:r w:rsidR="005061E5">
        <w:t>approaches</w:t>
      </w:r>
      <w:r>
        <w:t xml:space="preserve"> with Kath Murdoch </w:t>
      </w:r>
      <w:r w:rsidR="009D7256">
        <w:t xml:space="preserve">in the area of ‘The Art of Questioning’ </w:t>
      </w:r>
      <w:r>
        <w:t>(ongoing critical friend partnership). Throughout the year, executive staff engaged in multiple feedback sessions with Kath Murdoch and established next step areas for development across teams and whole school priorities</w:t>
      </w:r>
      <w:r w:rsidR="005061E5">
        <w:t xml:space="preserve"> such as increasing student agency to co-construct learning using and reflecting through the ‘I can…’ statements. </w:t>
      </w:r>
    </w:p>
    <w:p w14:paraId="181AA4A7" w14:textId="0A6805F0" w:rsidR="002178C1" w:rsidRPr="00074E45" w:rsidRDefault="007B5F3C" w:rsidP="007A1200">
      <w:pPr>
        <w:pStyle w:val="ListParagraph"/>
        <w:numPr>
          <w:ilvl w:val="0"/>
          <w:numId w:val="3"/>
        </w:numPr>
      </w:pPr>
      <w:r w:rsidRPr="00074E45">
        <w:t>Turn</w:t>
      </w:r>
      <w:r w:rsidR="002178C1" w:rsidRPr="00074E45">
        <w:t xml:space="preserve">er </w:t>
      </w:r>
      <w:r w:rsidRPr="00074E45">
        <w:t>has sustained the high level of agreement (in excess of 8</w:t>
      </w:r>
      <w:r w:rsidR="00074E45" w:rsidRPr="00074E45">
        <w:t>5</w:t>
      </w:r>
      <w:r w:rsidRPr="00074E45">
        <w:t>% agreement) from students, staff and parents that ‘child’s needs are being met at this school’, ‘I’m getting a good education</w:t>
      </w:r>
      <w:r w:rsidR="00E772D0" w:rsidRPr="00074E45">
        <w:t xml:space="preserve"> </w:t>
      </w:r>
      <w:r w:rsidRPr="00074E45">
        <w:t xml:space="preserve">at this school’ in the School Satisfaction Survey. </w:t>
      </w:r>
    </w:p>
    <w:p w14:paraId="31F5D1F0" w14:textId="3E83A108" w:rsidR="00601A45" w:rsidRDefault="00601A45" w:rsidP="00601A45">
      <w:pPr>
        <w:spacing w:after="0" w:line="240" w:lineRule="auto"/>
        <w:textAlignment w:val="baseline"/>
        <w:rPr>
          <w:rFonts w:ascii="Arial" w:eastAsia="Times New Roman" w:hAnsi="Arial" w:cs="Arial"/>
          <w:color w:val="000000"/>
          <w:lang w:eastAsia="en-AU"/>
        </w:rPr>
      </w:pPr>
    </w:p>
    <w:p w14:paraId="6456D7AE" w14:textId="34459FE9" w:rsidR="00601A45" w:rsidRDefault="00601A45" w:rsidP="00601A45">
      <w:pPr>
        <w:jc w:val="both"/>
        <w:rPr>
          <w:b/>
        </w:rPr>
      </w:pPr>
      <w:r>
        <w:rPr>
          <w:b/>
        </w:rPr>
        <w:t xml:space="preserve">Strengthen </w:t>
      </w:r>
      <w:r w:rsidRPr="00A40C43">
        <w:rPr>
          <w:b/>
        </w:rPr>
        <w:t>teacher’s capacity to implement Multiple Sources of Data to measure incremental growth.</w:t>
      </w:r>
    </w:p>
    <w:p w14:paraId="0483D847" w14:textId="4D2D70C6" w:rsidR="006B30C8" w:rsidRDefault="006B30C8" w:rsidP="00A40C43">
      <w:pPr>
        <w:pStyle w:val="ListParagraph"/>
        <w:numPr>
          <w:ilvl w:val="0"/>
          <w:numId w:val="65"/>
        </w:numPr>
        <w:jc w:val="both"/>
      </w:pPr>
      <w:r>
        <w:t>Through professional learning in 2019, all members of the school leadership team have a strong understanding of Helen Timperley’s approach of Multiple Sources of Data and have</w:t>
      </w:r>
      <w:r w:rsidR="00074E45">
        <w:t xml:space="preserve"> embedded it’s use in 2020 t</w:t>
      </w:r>
      <w:r>
        <w:t>o form a shared understanding of this in Turner’s context.</w:t>
      </w:r>
    </w:p>
    <w:p w14:paraId="778762BE" w14:textId="597C0540" w:rsidR="00601A45" w:rsidRPr="00814FF9" w:rsidRDefault="00601A45" w:rsidP="00601A45">
      <w:pPr>
        <w:pStyle w:val="ListParagraph"/>
        <w:numPr>
          <w:ilvl w:val="0"/>
          <w:numId w:val="3"/>
        </w:numPr>
        <w:jc w:val="both"/>
      </w:pPr>
      <w:r>
        <w:t>Leadership was established for</w:t>
      </w:r>
      <w:r w:rsidR="000F102A">
        <w:t xml:space="preserve"> executive teachers</w:t>
      </w:r>
      <w:r>
        <w:t xml:space="preserve">, coaches and teachers across all teams to lead the collection and interrogation of Multiple </w:t>
      </w:r>
      <w:r w:rsidRPr="00814FF9">
        <w:t>S</w:t>
      </w:r>
      <w:r>
        <w:t>ources</w:t>
      </w:r>
      <w:r w:rsidRPr="00814FF9">
        <w:t xml:space="preserve"> of Data</w:t>
      </w:r>
      <w:r w:rsidR="00074E45">
        <w:t xml:space="preserve"> each term in a formal way</w:t>
      </w:r>
      <w:r w:rsidRPr="00814FF9">
        <w:t xml:space="preserve"> to measure and articulate impact, as well as engaging with the school’s executive to discuss and plan next steps.</w:t>
      </w:r>
    </w:p>
    <w:p w14:paraId="6E147BCB" w14:textId="7BEED069" w:rsidR="00601A45" w:rsidRPr="00A40C43" w:rsidRDefault="00601A45" w:rsidP="00601A45">
      <w:pPr>
        <w:pStyle w:val="ListParagraph"/>
        <w:numPr>
          <w:ilvl w:val="0"/>
          <w:numId w:val="3"/>
        </w:numPr>
        <w:jc w:val="both"/>
        <w:rPr>
          <w:b/>
        </w:rPr>
      </w:pPr>
      <w:r>
        <w:rPr>
          <w:bCs/>
        </w:rPr>
        <w:t xml:space="preserve">New staff induction through coaching, </w:t>
      </w:r>
      <w:r w:rsidR="00654CBB">
        <w:rPr>
          <w:bCs/>
        </w:rPr>
        <w:t>Professional Learning Communities (PLCs)</w:t>
      </w:r>
      <w:r>
        <w:rPr>
          <w:bCs/>
        </w:rPr>
        <w:t xml:space="preserve"> and teams to understand the beliefs and practices around multiple sources of data approach</w:t>
      </w:r>
      <w:r w:rsidR="0063707F">
        <w:rPr>
          <w:bCs/>
        </w:rPr>
        <w:t>.</w:t>
      </w:r>
    </w:p>
    <w:p w14:paraId="49FAA3A5" w14:textId="5F700E51" w:rsidR="0063707F" w:rsidRPr="00A40C43" w:rsidRDefault="00601A45" w:rsidP="00601A45">
      <w:pPr>
        <w:pStyle w:val="ListParagraph"/>
        <w:numPr>
          <w:ilvl w:val="0"/>
          <w:numId w:val="3"/>
        </w:numPr>
        <w:jc w:val="both"/>
        <w:rPr>
          <w:b/>
        </w:rPr>
      </w:pPr>
      <w:r>
        <w:rPr>
          <w:bCs/>
        </w:rPr>
        <w:t>Consistent format</w:t>
      </w:r>
      <w:r w:rsidR="0063707F">
        <w:rPr>
          <w:bCs/>
        </w:rPr>
        <w:t>s</w:t>
      </w:r>
      <w:r>
        <w:rPr>
          <w:bCs/>
        </w:rPr>
        <w:t xml:space="preserve"> created and implemented for SLCs to </w:t>
      </w:r>
      <w:r w:rsidR="0063707F">
        <w:rPr>
          <w:bCs/>
        </w:rPr>
        <w:t>collate multiple sources of data across each team, supporting data conversations in teams and informing student support needs</w:t>
      </w:r>
      <w:r w:rsidR="007A147B">
        <w:rPr>
          <w:bCs/>
        </w:rPr>
        <w:t>.</w:t>
      </w:r>
    </w:p>
    <w:p w14:paraId="5EA4321D" w14:textId="68E216C9" w:rsidR="00601A45" w:rsidRPr="00A40C43" w:rsidRDefault="0063707F" w:rsidP="00601A45">
      <w:pPr>
        <w:pStyle w:val="ListParagraph"/>
        <w:numPr>
          <w:ilvl w:val="0"/>
          <w:numId w:val="3"/>
        </w:numPr>
        <w:jc w:val="both"/>
        <w:rPr>
          <w:b/>
        </w:rPr>
      </w:pPr>
      <w:r>
        <w:rPr>
          <w:bCs/>
        </w:rPr>
        <w:t>Assessment &amp; Monitoring Schedule updated to include a variety of data, with coaches using student and class data sets to target individual and team focus professional learning areas</w:t>
      </w:r>
      <w:r w:rsidR="007A147B">
        <w:rPr>
          <w:bCs/>
        </w:rPr>
        <w:t>.</w:t>
      </w:r>
    </w:p>
    <w:p w14:paraId="45E5F659" w14:textId="4491034C" w:rsidR="0063707F" w:rsidRPr="00A40C43" w:rsidRDefault="0063707F" w:rsidP="00601A45">
      <w:pPr>
        <w:pStyle w:val="ListParagraph"/>
        <w:numPr>
          <w:ilvl w:val="0"/>
          <w:numId w:val="3"/>
        </w:numPr>
        <w:jc w:val="both"/>
        <w:rPr>
          <w:b/>
        </w:rPr>
      </w:pPr>
      <w:r>
        <w:rPr>
          <w:bCs/>
        </w:rPr>
        <w:t>Team planning days and School Improvement PLC groups embedded the use of multiple sources of data in planning and assessment cycles, including data gathered from monitoring tiered support related to student support</w:t>
      </w:r>
      <w:r w:rsidR="007A147B">
        <w:rPr>
          <w:bCs/>
        </w:rPr>
        <w:t>.</w:t>
      </w:r>
    </w:p>
    <w:p w14:paraId="00FA78B6" w14:textId="0A385221" w:rsidR="009F0012" w:rsidRPr="00A40C43" w:rsidRDefault="009F0012" w:rsidP="009F0012">
      <w:pPr>
        <w:pStyle w:val="ListParagraph"/>
        <w:numPr>
          <w:ilvl w:val="0"/>
          <w:numId w:val="3"/>
        </w:numPr>
        <w:jc w:val="both"/>
        <w:rPr>
          <w:rFonts w:ascii="Times New Roman" w:eastAsia="Times New Roman" w:hAnsi="Times New Roman" w:cs="Times New Roman"/>
          <w:sz w:val="24"/>
          <w:szCs w:val="24"/>
          <w:lang w:eastAsia="en-AU"/>
        </w:rPr>
      </w:pPr>
      <w:r>
        <w:rPr>
          <w:bCs/>
        </w:rPr>
        <w:t xml:space="preserve">Implementation of the literacy progressions visual data wall to assess, target and monitor student learning for </w:t>
      </w:r>
      <w:r w:rsidRPr="001A19EB">
        <w:rPr>
          <w:bCs/>
        </w:rPr>
        <w:t>students reading above 30+, placing ‘faces on the data’ (</w:t>
      </w:r>
      <w:proofErr w:type="spellStart"/>
      <w:r w:rsidRPr="001A19EB">
        <w:rPr>
          <w:bCs/>
        </w:rPr>
        <w:t>Sharratt</w:t>
      </w:r>
      <w:proofErr w:type="spellEnd"/>
      <w:r w:rsidR="005B4AD6" w:rsidRPr="001A19EB">
        <w:rPr>
          <w:bCs/>
        </w:rPr>
        <w:t>, 2012</w:t>
      </w:r>
      <w:r w:rsidRPr="001A19EB">
        <w:rPr>
          <w:bCs/>
        </w:rPr>
        <w:t>)</w:t>
      </w:r>
      <w:r w:rsidR="007A147B">
        <w:rPr>
          <w:bCs/>
        </w:rPr>
        <w:t>.</w:t>
      </w:r>
    </w:p>
    <w:p w14:paraId="5AC57643" w14:textId="0FEC4E32" w:rsidR="00601A45" w:rsidRPr="00A40C43" w:rsidRDefault="006B30C8" w:rsidP="00A40C43">
      <w:pPr>
        <w:pStyle w:val="ListParagraph"/>
        <w:numPr>
          <w:ilvl w:val="0"/>
          <w:numId w:val="6"/>
        </w:numPr>
        <w:pBdr>
          <w:top w:val="nil"/>
          <w:left w:val="nil"/>
          <w:bottom w:val="nil"/>
          <w:right w:val="nil"/>
          <w:between w:val="nil"/>
        </w:pBdr>
        <w:spacing w:after="0" w:line="240" w:lineRule="auto"/>
        <w:textAlignment w:val="baseline"/>
        <w:rPr>
          <w:rFonts w:ascii="Arial" w:eastAsia="Times New Roman" w:hAnsi="Arial" w:cs="Arial"/>
          <w:lang w:eastAsia="en-AU"/>
        </w:rPr>
      </w:pPr>
      <w:r w:rsidRPr="00A40C43">
        <w:t xml:space="preserve">The Multiple Sources of Data has deepened understanding of impact, strengthened capacity to identify high impact teaching strategies for all and more effectively target each student at their point of need. </w:t>
      </w:r>
      <w:r w:rsidR="001A19EB" w:rsidRPr="00A40C43">
        <w:t>Multiple Sources of Data around Writing and Numeracy, with NAPLAN data, highlight an opportunity to build student growth in these areas.</w:t>
      </w:r>
    </w:p>
    <w:p w14:paraId="22CDE791" w14:textId="77777777" w:rsidR="005E20EE" w:rsidRPr="00A40C43" w:rsidRDefault="005E20EE" w:rsidP="00A40C43">
      <w:pPr>
        <w:rPr>
          <w:color w:val="FF0000"/>
        </w:rPr>
      </w:pPr>
    </w:p>
    <w:p w14:paraId="08AE3B3A" w14:textId="530FD642" w:rsidR="002178C1" w:rsidRPr="00A40C43" w:rsidRDefault="002178C1" w:rsidP="002178C1">
      <w:pPr>
        <w:rPr>
          <w:b/>
        </w:rPr>
      </w:pPr>
      <w:r w:rsidRPr="00A40C43">
        <w:rPr>
          <w:b/>
        </w:rPr>
        <w:t>Embed Case management process</w:t>
      </w:r>
      <w:r w:rsidR="009F0012" w:rsidRPr="00A40C43">
        <w:rPr>
          <w:b/>
        </w:rPr>
        <w:t>es in and outside the school.</w:t>
      </w:r>
    </w:p>
    <w:p w14:paraId="1F22C78F" w14:textId="2DB37576" w:rsidR="002178C1" w:rsidRPr="00A40C43" w:rsidRDefault="002178C1">
      <w:pPr>
        <w:pStyle w:val="ListParagraph"/>
        <w:numPr>
          <w:ilvl w:val="0"/>
          <w:numId w:val="9"/>
        </w:numPr>
        <w:jc w:val="both"/>
      </w:pPr>
      <w:r w:rsidRPr="00A40C43">
        <w:lastRenderedPageBreak/>
        <w:t xml:space="preserve">Personalised learning guidelines </w:t>
      </w:r>
      <w:r w:rsidR="00D906F8">
        <w:t>embedded across teachers and teams to support personalised student needs (</w:t>
      </w:r>
      <w:r w:rsidRPr="00A40C43">
        <w:t>referred to across the year in team meetings, staff meetings, coaching, data discussions and on an individual case by case basis</w:t>
      </w:r>
      <w:r w:rsidR="00D906F8">
        <w:t>)</w:t>
      </w:r>
      <w:r w:rsidR="007A147B">
        <w:t>.</w:t>
      </w:r>
    </w:p>
    <w:p w14:paraId="144E883A" w14:textId="33C80D67" w:rsidR="002178C1" w:rsidRPr="00A40C43" w:rsidRDefault="00D906F8" w:rsidP="007A1200">
      <w:pPr>
        <w:pStyle w:val="ListParagraph"/>
        <w:numPr>
          <w:ilvl w:val="0"/>
          <w:numId w:val="9"/>
        </w:numPr>
        <w:jc w:val="both"/>
      </w:pPr>
      <w:r w:rsidRPr="00A40C43">
        <w:t>C</w:t>
      </w:r>
      <w:r w:rsidR="002178C1" w:rsidRPr="00A40C43">
        <w:t xml:space="preserve">ase management </w:t>
      </w:r>
      <w:r w:rsidRPr="00A40C43">
        <w:t xml:space="preserve">and student support </w:t>
      </w:r>
      <w:r w:rsidR="002178C1" w:rsidRPr="00A40C43">
        <w:t>process</w:t>
      </w:r>
      <w:r w:rsidRPr="00A40C43">
        <w:t xml:space="preserve"> knowledge of teachers evidenced</w:t>
      </w:r>
      <w:r w:rsidR="002178C1" w:rsidRPr="00A40C43">
        <w:t xml:space="preserve"> through individual conversations and data analysis of student growth in learning when discussed at Student Support meetings. </w:t>
      </w:r>
    </w:p>
    <w:p w14:paraId="23CCD34B" w14:textId="3944AB2B" w:rsidR="002178C1" w:rsidRDefault="00D906F8" w:rsidP="007A1200">
      <w:pPr>
        <w:pStyle w:val="ListParagraph"/>
        <w:numPr>
          <w:ilvl w:val="0"/>
          <w:numId w:val="9"/>
        </w:numPr>
        <w:jc w:val="both"/>
      </w:pPr>
      <w:r w:rsidRPr="00A40C43">
        <w:t>C</w:t>
      </w:r>
      <w:r w:rsidR="002178C1" w:rsidRPr="00A40C43">
        <w:t xml:space="preserve">ase management </w:t>
      </w:r>
      <w:r w:rsidRPr="00A40C43">
        <w:t xml:space="preserve">alignment </w:t>
      </w:r>
      <w:r w:rsidR="002178C1" w:rsidRPr="00A40C43">
        <w:t xml:space="preserve">with National Consistent Collection of Data </w:t>
      </w:r>
      <w:r w:rsidRPr="00A40C43">
        <w:t>embedded, streamlining teacher understanding of how student needs are being met</w:t>
      </w:r>
      <w:r w:rsidR="000B072F">
        <w:t xml:space="preserve">. Case management </w:t>
      </w:r>
      <w:r w:rsidR="004D13AE">
        <w:t>documentation to be simplified in 2021 and exploration of how to effectively and consistently track interventions for students across multiple years as well as incorporating this into current handover processes to support the start of the new year</w:t>
      </w:r>
      <w:r w:rsidR="003365D7">
        <w:t>.</w:t>
      </w:r>
    </w:p>
    <w:p w14:paraId="5D263C5A" w14:textId="29E45007" w:rsidR="002C7080" w:rsidRPr="00A40C43" w:rsidRDefault="002C7080" w:rsidP="007A1200">
      <w:pPr>
        <w:pStyle w:val="ListParagraph"/>
        <w:numPr>
          <w:ilvl w:val="0"/>
          <w:numId w:val="9"/>
        </w:numPr>
        <w:jc w:val="both"/>
      </w:pPr>
      <w:r>
        <w:t>In response to the C</w:t>
      </w:r>
      <w:r w:rsidR="007A147B">
        <w:t>OVID</w:t>
      </w:r>
      <w:r>
        <w:t xml:space="preserve">-19 pandemic and remote learning response, </w:t>
      </w:r>
      <w:r w:rsidR="00F80FA9">
        <w:t xml:space="preserve">the development and implementation of Turner’s ‘Online Learning Case Management’ plan to ensure all student needs (existing and emerging due to new circumstances) were identified and targeted. </w:t>
      </w:r>
      <w:r w:rsidR="003365D7">
        <w:t xml:space="preserve">154 students were individually case-managed. </w:t>
      </w:r>
      <w:r w:rsidR="00F80FA9">
        <w:t>In addition to this, the building of LSA capacity through professional learning and shoulder-to-shoulder coaching to implement the ‘Reading Project’ to support engagement and connection for students with additional needs</w:t>
      </w:r>
      <w:r w:rsidR="007A147B">
        <w:t>.</w:t>
      </w:r>
    </w:p>
    <w:p w14:paraId="04E7542B" w14:textId="1A67539C" w:rsidR="002178C1" w:rsidRPr="00A40C43" w:rsidRDefault="000B072F" w:rsidP="007A1200">
      <w:pPr>
        <w:pStyle w:val="ListParagraph"/>
        <w:numPr>
          <w:ilvl w:val="0"/>
          <w:numId w:val="9"/>
        </w:numPr>
        <w:jc w:val="both"/>
        <w:rPr>
          <w:b/>
        </w:rPr>
      </w:pPr>
      <w:r w:rsidRPr="00A40C43">
        <w:t>Continued i</w:t>
      </w:r>
      <w:r w:rsidR="002178C1" w:rsidRPr="00A40C43">
        <w:t xml:space="preserve">ncrease in student referrals for support evident from multiple points- classroom teacher, coach, team meeting discussion, student data discussions and </w:t>
      </w:r>
      <w:r w:rsidRPr="00A40C43">
        <w:t>PLCs</w:t>
      </w:r>
      <w:r w:rsidR="003365D7">
        <w:t>.</w:t>
      </w:r>
    </w:p>
    <w:p w14:paraId="060720F9" w14:textId="08FF49FD" w:rsidR="000B072F" w:rsidRPr="00A40C43" w:rsidRDefault="000B072F" w:rsidP="007A1200">
      <w:pPr>
        <w:pStyle w:val="ListParagraph"/>
        <w:numPr>
          <w:ilvl w:val="0"/>
          <w:numId w:val="9"/>
        </w:numPr>
        <w:jc w:val="both"/>
        <w:rPr>
          <w:b/>
        </w:rPr>
      </w:pPr>
      <w:r>
        <w:t>Team leaders engaging teachers, PLCs and teams in discussions around student needs, every 5 weeks, to update student support tiered tracking document overview of cohort needs. Tiered tracking forming the basis of team conversations around collective student support opportunities and structures</w:t>
      </w:r>
      <w:r w:rsidR="003365D7">
        <w:t>.</w:t>
      </w:r>
    </w:p>
    <w:p w14:paraId="4CC50A23" w14:textId="44C618DF" w:rsidR="000B072F" w:rsidRPr="00A40C43" w:rsidRDefault="000B072F" w:rsidP="007A1200">
      <w:pPr>
        <w:pStyle w:val="ListParagraph"/>
        <w:numPr>
          <w:ilvl w:val="0"/>
          <w:numId w:val="9"/>
        </w:numPr>
        <w:jc w:val="both"/>
        <w:rPr>
          <w:b/>
        </w:rPr>
      </w:pPr>
      <w:r>
        <w:rPr>
          <w:bCs/>
        </w:rPr>
        <w:t xml:space="preserve">Weekly student support meetings and update email to team leaders effectively closing feedback loop around </w:t>
      </w:r>
      <w:r w:rsidRPr="005F51FD">
        <w:rPr>
          <w:bCs/>
        </w:rPr>
        <w:t>student needs and arising actions to support</w:t>
      </w:r>
      <w:r w:rsidR="003365D7">
        <w:rPr>
          <w:bCs/>
        </w:rPr>
        <w:t>.</w:t>
      </w:r>
    </w:p>
    <w:p w14:paraId="192E3867" w14:textId="334964B1" w:rsidR="00AE3E4D" w:rsidRPr="00074E45" w:rsidRDefault="002178C1" w:rsidP="00074E45">
      <w:pPr>
        <w:pStyle w:val="ListParagraph"/>
        <w:numPr>
          <w:ilvl w:val="0"/>
          <w:numId w:val="9"/>
        </w:numPr>
      </w:pPr>
      <w:r w:rsidRPr="00A40C43">
        <w:t xml:space="preserve">School Board Meetings, Newsletters and P&amp;C Principal Reports continue to be a way for Turner to build the </w:t>
      </w:r>
      <w:r w:rsidR="006F243F" w:rsidRPr="00A40C43">
        <w:t xml:space="preserve">conversation around case management and inclusive practices when it comes to personalising for student need. </w:t>
      </w:r>
    </w:p>
    <w:p w14:paraId="69123015" w14:textId="3BED6DEE" w:rsidR="001C7EA4" w:rsidRDefault="001C7EA4" w:rsidP="004D13AE">
      <w:pPr>
        <w:rPr>
          <w:b/>
        </w:rPr>
      </w:pPr>
      <w:r w:rsidRPr="00A40C43">
        <w:rPr>
          <w:b/>
        </w:rPr>
        <w:t>Promote and communicate Turner’s approach to learning through substantive conversations.</w:t>
      </w:r>
    </w:p>
    <w:p w14:paraId="2845AE1C" w14:textId="36DED4E4" w:rsidR="004D13AE" w:rsidRPr="00A40C43" w:rsidRDefault="005F51FD" w:rsidP="004D13AE">
      <w:pPr>
        <w:pStyle w:val="ListParagraph"/>
        <w:numPr>
          <w:ilvl w:val="0"/>
          <w:numId w:val="9"/>
        </w:numPr>
        <w:jc w:val="both"/>
        <w:rPr>
          <w:b/>
        </w:rPr>
      </w:pPr>
      <w:r>
        <w:rPr>
          <w:bCs/>
        </w:rPr>
        <w:t>Coaching team engaged in targeted professional learning and practice of leading teachers through cycles of learning, through substantive conversations using GROWTH coaching questioning</w:t>
      </w:r>
      <w:r w:rsidR="000B163A">
        <w:rPr>
          <w:bCs/>
        </w:rPr>
        <w:t xml:space="preserve"> approach</w:t>
      </w:r>
      <w:r w:rsidR="003365D7">
        <w:rPr>
          <w:bCs/>
        </w:rPr>
        <w:t>.</w:t>
      </w:r>
    </w:p>
    <w:p w14:paraId="3F7F629E" w14:textId="1B0D9685" w:rsidR="000B163A" w:rsidRPr="00A40C43" w:rsidRDefault="000B163A" w:rsidP="000B163A">
      <w:pPr>
        <w:pStyle w:val="ListParagraph"/>
        <w:numPr>
          <w:ilvl w:val="0"/>
          <w:numId w:val="9"/>
        </w:numPr>
        <w:jc w:val="both"/>
        <w:rPr>
          <w:b/>
        </w:rPr>
      </w:pPr>
      <w:r>
        <w:rPr>
          <w:bCs/>
        </w:rPr>
        <w:t xml:space="preserve">All teachers provided with the Personalising Learning documentation and supported through PDP goals, PLCs, teams and staff professional learning to embed substantive conversations in classroom practice to target and support student growth in learning. </w:t>
      </w:r>
      <w:r w:rsidR="002C7080">
        <w:rPr>
          <w:bCs/>
        </w:rPr>
        <w:t xml:space="preserve">Ongoing engagement for all staff through ‘Welcome to Week’ highlights on learning. </w:t>
      </w:r>
      <w:r>
        <w:rPr>
          <w:bCs/>
        </w:rPr>
        <w:t>New staff provided with additional opportunities to build this knowledge through induction processes and mentoring relationships.</w:t>
      </w:r>
      <w:r w:rsidR="00F04A5F">
        <w:rPr>
          <w:bCs/>
        </w:rPr>
        <w:t xml:space="preserve"> Ongoing support and professional learning to build the knowledge and capacity of mentors will be a focus.</w:t>
      </w:r>
    </w:p>
    <w:p w14:paraId="719E6D9E" w14:textId="4C795203" w:rsidR="000B163A" w:rsidRPr="00A40C43" w:rsidRDefault="000B163A" w:rsidP="000B163A">
      <w:pPr>
        <w:pStyle w:val="ListParagraph"/>
        <w:numPr>
          <w:ilvl w:val="0"/>
          <w:numId w:val="9"/>
        </w:numPr>
        <w:jc w:val="both"/>
        <w:rPr>
          <w:b/>
        </w:rPr>
      </w:pPr>
      <w:r>
        <w:rPr>
          <w:bCs/>
        </w:rPr>
        <w:t>Sustaining and embedding communication around personalising learning approach with all stakeholders through newsletters, board reports, P&amp;C reports, student forums, Contemporary Literacies Project</w:t>
      </w:r>
      <w:r w:rsidR="002C7080">
        <w:rPr>
          <w:bCs/>
        </w:rPr>
        <w:t>, Future Schools Alliance</w:t>
      </w:r>
      <w:r>
        <w:rPr>
          <w:bCs/>
        </w:rPr>
        <w:t xml:space="preserve"> and external learning critical friend partnerships (Pegasus, University of Canberra and Australian National University)</w:t>
      </w:r>
    </w:p>
    <w:p w14:paraId="39B19F1A" w14:textId="5DA08CB0" w:rsidR="002C7080" w:rsidRPr="00F80FA9" w:rsidRDefault="002C7080" w:rsidP="000B163A">
      <w:pPr>
        <w:pStyle w:val="ListParagraph"/>
        <w:numPr>
          <w:ilvl w:val="0"/>
          <w:numId w:val="9"/>
        </w:numPr>
        <w:jc w:val="both"/>
        <w:rPr>
          <w:bCs/>
        </w:rPr>
      </w:pPr>
      <w:r>
        <w:rPr>
          <w:bCs/>
        </w:rPr>
        <w:t>The development of the ‘Learning From Home’ Hub (in response to rapidly emerging needs to build electronic communication avenues with the community due to the C</w:t>
      </w:r>
      <w:r w:rsidR="003365D7">
        <w:rPr>
          <w:bCs/>
        </w:rPr>
        <w:t>OVID</w:t>
      </w:r>
      <w:r>
        <w:rPr>
          <w:bCs/>
        </w:rPr>
        <w:t xml:space="preserve">-19 pandemic and remote learning response). Engaging Kath Murdoch to create tailored videos for the community unpacking Inquiry learning approaches </w:t>
      </w:r>
      <w:r w:rsidRPr="00F80FA9">
        <w:rPr>
          <w:bCs/>
        </w:rPr>
        <w:t xml:space="preserve">and supports as well as creating resources and supports for learning from home for families. </w:t>
      </w:r>
    </w:p>
    <w:p w14:paraId="1567C9A7" w14:textId="73421F24" w:rsidR="002C7080" w:rsidRDefault="00F80FA9" w:rsidP="000B163A">
      <w:pPr>
        <w:pStyle w:val="ListParagraph"/>
        <w:numPr>
          <w:ilvl w:val="0"/>
          <w:numId w:val="9"/>
        </w:numPr>
        <w:jc w:val="both"/>
        <w:rPr>
          <w:bCs/>
        </w:rPr>
      </w:pPr>
      <w:r w:rsidRPr="00A40C43">
        <w:rPr>
          <w:bCs/>
        </w:rPr>
        <w:t>Increased communication needs between home and school in response to remote learning</w:t>
      </w:r>
      <w:r>
        <w:rPr>
          <w:bCs/>
        </w:rPr>
        <w:t xml:space="preserve">. Teachers, LSAs and School Leaders communicating with families through </w:t>
      </w:r>
      <w:r w:rsidR="00F04A5F">
        <w:rPr>
          <w:bCs/>
        </w:rPr>
        <w:t>regular email updates, phone conversations and Google Meet conferences to support student and family needs.</w:t>
      </w:r>
    </w:p>
    <w:p w14:paraId="4AB194CC" w14:textId="0F504FA0" w:rsidR="003365D7" w:rsidRDefault="003365D7" w:rsidP="000B163A">
      <w:pPr>
        <w:pStyle w:val="ListParagraph"/>
        <w:numPr>
          <w:ilvl w:val="0"/>
          <w:numId w:val="9"/>
        </w:numPr>
        <w:jc w:val="both"/>
        <w:rPr>
          <w:bCs/>
        </w:rPr>
      </w:pPr>
      <w:r>
        <w:rPr>
          <w:bCs/>
        </w:rPr>
        <w:t>Trial and development of 5/6 self-directed learning time in response to student feedback on return form learning from home.</w:t>
      </w:r>
    </w:p>
    <w:p w14:paraId="711D6152" w14:textId="6131F6EA" w:rsidR="00F04A5F" w:rsidRDefault="00F04A5F" w:rsidP="000B163A">
      <w:pPr>
        <w:pStyle w:val="ListParagraph"/>
        <w:numPr>
          <w:ilvl w:val="0"/>
          <w:numId w:val="9"/>
        </w:numPr>
        <w:jc w:val="both"/>
        <w:rPr>
          <w:bCs/>
        </w:rPr>
      </w:pPr>
      <w:r>
        <w:rPr>
          <w:bCs/>
        </w:rPr>
        <w:t xml:space="preserve">Increase in student ability to articulate their own learning, thinking and growth as evidenced through the term 4 student forums and SRC feedback sessions. Increase in student reflections and sharing in newsletters and </w:t>
      </w:r>
      <w:r>
        <w:rPr>
          <w:bCs/>
        </w:rPr>
        <w:lastRenderedPageBreak/>
        <w:t>SRC group initiating a change in the student leadership structure towards a ‘Children’s Parliament’ style for 2021 with the aim of increasing student leadership opportunities in areas of student passion and expertise</w:t>
      </w:r>
    </w:p>
    <w:p w14:paraId="53530C31" w14:textId="77777777" w:rsidR="00937D6F" w:rsidRDefault="00937D6F" w:rsidP="00A40C43">
      <w:pPr>
        <w:ind w:left="360"/>
        <w:jc w:val="both"/>
      </w:pPr>
    </w:p>
    <w:p w14:paraId="73AF730F" w14:textId="72698C66" w:rsidR="005611F4" w:rsidRPr="005611F4" w:rsidRDefault="00937D6F" w:rsidP="00A95299">
      <w:pPr>
        <w:pStyle w:val="Heading3"/>
      </w:pPr>
      <w:r w:rsidRPr="00DA09ED">
        <w:t xml:space="preserve">Challenges we </w:t>
      </w:r>
      <w:r>
        <w:t>will address in</w:t>
      </w:r>
      <w:r w:rsidRPr="00DA09ED">
        <w:t xml:space="preserve"> our</w:t>
      </w:r>
      <w:r>
        <w:t xml:space="preserve"> next Action Plan</w:t>
      </w:r>
    </w:p>
    <w:p w14:paraId="7276123F" w14:textId="0FC9BF79" w:rsidR="00725929" w:rsidRDefault="00725929" w:rsidP="00725929">
      <w:pPr>
        <w:pStyle w:val="BodyText"/>
      </w:pPr>
      <w:r>
        <w:t xml:space="preserve">Next </w:t>
      </w:r>
      <w:r w:rsidR="005342DC">
        <w:t>steps for meeting Priority 1 in 202</w:t>
      </w:r>
      <w:r w:rsidR="00A35372">
        <w:t>1</w:t>
      </w:r>
      <w:r>
        <w:t xml:space="preserve">: </w:t>
      </w:r>
    </w:p>
    <w:p w14:paraId="70F5033E" w14:textId="27F6DDF2" w:rsidR="00725929" w:rsidRPr="000F102A" w:rsidRDefault="00F150FC" w:rsidP="007A1200">
      <w:pPr>
        <w:pStyle w:val="NoSpacing"/>
        <w:numPr>
          <w:ilvl w:val="0"/>
          <w:numId w:val="9"/>
        </w:numPr>
        <w:jc w:val="both"/>
      </w:pPr>
      <w:r w:rsidRPr="000F102A">
        <w:rPr>
          <w:b/>
        </w:rPr>
        <w:t>School Based Curriculum Framework:</w:t>
      </w:r>
      <w:r w:rsidRPr="000F102A">
        <w:t xml:space="preserve"> </w:t>
      </w:r>
      <w:r w:rsidR="000F102A" w:rsidRPr="000F102A">
        <w:t>Embed and induct (new staff)</w:t>
      </w:r>
      <w:r w:rsidR="00725929" w:rsidRPr="000F102A">
        <w:t xml:space="preserve"> implementation of </w:t>
      </w:r>
      <w:r w:rsidR="000F102A" w:rsidRPr="000F102A">
        <w:t xml:space="preserve">the 2020 </w:t>
      </w:r>
      <w:r w:rsidR="00725929" w:rsidRPr="000F102A">
        <w:t xml:space="preserve">whole school curriculum planning </w:t>
      </w:r>
      <w:r w:rsidR="000F102A" w:rsidRPr="000F102A">
        <w:t xml:space="preserve">three tier </w:t>
      </w:r>
      <w:r w:rsidR="00725929" w:rsidRPr="000F102A">
        <w:t>framework</w:t>
      </w:r>
      <w:r w:rsidR="000F102A">
        <w:t>,</w:t>
      </w:r>
      <w:r w:rsidR="00725929" w:rsidRPr="000F102A">
        <w:t xml:space="preserve"> including the Literacy and Numeracy progressions. </w:t>
      </w:r>
    </w:p>
    <w:p w14:paraId="36D5D022" w14:textId="332BD239" w:rsidR="004A7BC1" w:rsidRPr="000F102A" w:rsidRDefault="00F150FC" w:rsidP="007A1200">
      <w:pPr>
        <w:pStyle w:val="NoSpacing"/>
        <w:numPr>
          <w:ilvl w:val="0"/>
          <w:numId w:val="9"/>
        </w:numPr>
        <w:jc w:val="both"/>
      </w:pPr>
      <w:r w:rsidRPr="000F102A">
        <w:rPr>
          <w:b/>
        </w:rPr>
        <w:t>Intercultural Understanding:</w:t>
      </w:r>
      <w:r w:rsidRPr="000F102A">
        <w:t xml:space="preserve"> </w:t>
      </w:r>
      <w:r w:rsidR="004A7BC1" w:rsidRPr="000F102A">
        <w:t>Align staff</w:t>
      </w:r>
      <w:r w:rsidR="000F102A" w:rsidRPr="000F102A">
        <w:t>, student and community learning r</w:t>
      </w:r>
      <w:r w:rsidR="004A7BC1" w:rsidRPr="000F102A">
        <w:t xml:space="preserve">elated to </w:t>
      </w:r>
      <w:r w:rsidR="00725929" w:rsidRPr="000F102A">
        <w:t>Intercultural</w:t>
      </w:r>
      <w:r w:rsidR="004A7BC1" w:rsidRPr="000F102A">
        <w:t xml:space="preserve"> </w:t>
      </w:r>
      <w:r w:rsidR="000F102A" w:rsidRPr="000F102A">
        <w:t xml:space="preserve">through the development of the Turner Cultural Integrity intent and use of the P&amp;C partnership garden. </w:t>
      </w:r>
    </w:p>
    <w:p w14:paraId="43536010" w14:textId="12F04E41" w:rsidR="004A7BC1" w:rsidRPr="000F102A" w:rsidRDefault="00F150FC" w:rsidP="007A1200">
      <w:pPr>
        <w:pStyle w:val="NoSpacing"/>
        <w:numPr>
          <w:ilvl w:val="0"/>
          <w:numId w:val="9"/>
        </w:numPr>
        <w:jc w:val="both"/>
      </w:pPr>
      <w:r w:rsidRPr="000F102A">
        <w:rPr>
          <w:b/>
        </w:rPr>
        <w:t>Thinking Tools:</w:t>
      </w:r>
      <w:r w:rsidRPr="000F102A">
        <w:t xml:space="preserve"> </w:t>
      </w:r>
      <w:r w:rsidR="00725929" w:rsidRPr="000F102A">
        <w:t>Embed</w:t>
      </w:r>
      <w:r w:rsidR="004A7BC1" w:rsidRPr="000F102A">
        <w:t xml:space="preserve"> </w:t>
      </w:r>
      <w:r w:rsidR="00725929" w:rsidRPr="000F102A">
        <w:t>E</w:t>
      </w:r>
      <w:r w:rsidR="004A7BC1" w:rsidRPr="000F102A">
        <w:t>ngoori practices as part of thinking tools in school improvement meetings</w:t>
      </w:r>
      <w:r w:rsidR="000F102A" w:rsidRPr="000F102A">
        <w:t xml:space="preserve"> and forums.</w:t>
      </w:r>
    </w:p>
    <w:p w14:paraId="2EA0F1D3" w14:textId="4AE0B50B" w:rsidR="006D2F6B" w:rsidRPr="00A95299" w:rsidRDefault="006D2F6B" w:rsidP="007A1200">
      <w:pPr>
        <w:pStyle w:val="ListParagraph"/>
        <w:numPr>
          <w:ilvl w:val="0"/>
          <w:numId w:val="9"/>
        </w:numPr>
        <w:rPr>
          <w:b/>
        </w:rPr>
      </w:pPr>
      <w:r w:rsidRPr="00A95299">
        <w:rPr>
          <w:b/>
        </w:rPr>
        <w:br w:type="page"/>
      </w:r>
    </w:p>
    <w:p w14:paraId="42622187" w14:textId="53E95DCD" w:rsidR="00E772D0" w:rsidRDefault="00E772D0" w:rsidP="00465625">
      <w:pPr>
        <w:pStyle w:val="Heading2"/>
      </w:pPr>
      <w:r w:rsidRPr="00E772D0">
        <w:lastRenderedPageBreak/>
        <w:t xml:space="preserve">Priority </w:t>
      </w:r>
      <w:r>
        <w:t>2</w:t>
      </w:r>
      <w:r w:rsidRPr="00E772D0">
        <w:t>:</w:t>
      </w:r>
      <w:r w:rsidRPr="00E772D0">
        <w:tab/>
      </w:r>
      <w:r>
        <w:t>Equip students with the capabilities and dispositions to learn and live successfully in the 21</w:t>
      </w:r>
      <w:r w:rsidRPr="00E772D0">
        <w:rPr>
          <w:vertAlign w:val="superscript"/>
        </w:rPr>
        <w:t>st</w:t>
      </w:r>
      <w:r>
        <w:t xml:space="preserve"> Century</w:t>
      </w:r>
    </w:p>
    <w:p w14:paraId="1EC1C515" w14:textId="53ECE6E1" w:rsidR="00465625" w:rsidRDefault="00465625" w:rsidP="00465625">
      <w:pPr>
        <w:pStyle w:val="Heading2"/>
      </w:pPr>
      <w:r>
        <w:t>Targets</w:t>
      </w:r>
    </w:p>
    <w:p w14:paraId="0AB27B7E" w14:textId="77777777" w:rsidR="00465625" w:rsidRDefault="00465625" w:rsidP="00465625">
      <w:pPr>
        <w:rPr>
          <w:b/>
        </w:rPr>
      </w:pPr>
      <w:r>
        <w:t>By the end of</w:t>
      </w:r>
      <w:r>
        <w:rPr>
          <w:b/>
        </w:rPr>
        <w:t xml:space="preserve"> 2021</w:t>
      </w:r>
      <w:r>
        <w:t xml:space="preserve"> the school will achieve:</w:t>
      </w:r>
    </w:p>
    <w:p w14:paraId="7C384179" w14:textId="77777777" w:rsidR="00465625" w:rsidRDefault="00465625" w:rsidP="007A1200">
      <w:pPr>
        <w:numPr>
          <w:ilvl w:val="1"/>
          <w:numId w:val="5"/>
        </w:numPr>
        <w:spacing w:after="0" w:line="276" w:lineRule="auto"/>
      </w:pPr>
      <w:r>
        <w:t>The establishment of a set of reliable measures to track student growth in a range of learning dispositions (for example we may track growth in a student’s ability to coordinate these learning dispositions). Once established, these tools will be used to track growth for the rest of the strategic plan.</w:t>
      </w:r>
    </w:p>
    <w:p w14:paraId="1534C1B6" w14:textId="77777777" w:rsidR="00465625" w:rsidRDefault="00465625" w:rsidP="007A1200">
      <w:pPr>
        <w:numPr>
          <w:ilvl w:val="1"/>
          <w:numId w:val="5"/>
        </w:numPr>
        <w:pBdr>
          <w:top w:val="nil"/>
          <w:left w:val="nil"/>
          <w:bottom w:val="nil"/>
          <w:right w:val="nil"/>
          <w:between w:val="nil"/>
        </w:pBdr>
        <w:spacing w:after="0" w:line="276" w:lineRule="auto"/>
        <w:rPr>
          <w:color w:val="000000"/>
        </w:rPr>
      </w:pPr>
      <w:r>
        <w:rPr>
          <w:color w:val="000000"/>
        </w:rPr>
        <w:t>An increase in agreement in the System Survey question “The use of learning technologies is an integral part of learning and teaching” from 2016 figures</w:t>
      </w:r>
    </w:p>
    <w:p w14:paraId="23F8153F" w14:textId="77777777" w:rsidR="00465625" w:rsidRDefault="00465625" w:rsidP="007A1200">
      <w:pPr>
        <w:numPr>
          <w:ilvl w:val="2"/>
          <w:numId w:val="5"/>
        </w:numPr>
        <w:pBdr>
          <w:top w:val="nil"/>
          <w:left w:val="nil"/>
          <w:bottom w:val="nil"/>
          <w:right w:val="nil"/>
          <w:between w:val="nil"/>
        </w:pBdr>
        <w:spacing w:after="0" w:line="276" w:lineRule="auto"/>
        <w:rPr>
          <w:color w:val="000000"/>
        </w:rPr>
      </w:pPr>
      <w:r>
        <w:rPr>
          <w:color w:val="000000"/>
        </w:rPr>
        <w:t>students (2016-93%) by 1 percentage point</w:t>
      </w:r>
    </w:p>
    <w:p w14:paraId="7F53D937" w14:textId="77777777" w:rsidR="00465625" w:rsidRDefault="00465625" w:rsidP="007A1200">
      <w:pPr>
        <w:numPr>
          <w:ilvl w:val="2"/>
          <w:numId w:val="5"/>
        </w:numPr>
        <w:pBdr>
          <w:top w:val="nil"/>
          <w:left w:val="nil"/>
          <w:bottom w:val="nil"/>
          <w:right w:val="nil"/>
          <w:between w:val="nil"/>
        </w:pBdr>
        <w:spacing w:after="0" w:line="276" w:lineRule="auto"/>
        <w:rPr>
          <w:color w:val="000000"/>
        </w:rPr>
      </w:pPr>
      <w:r>
        <w:rPr>
          <w:color w:val="000000"/>
        </w:rPr>
        <w:t>staff (2016-61%) by 5 percentage points</w:t>
      </w:r>
    </w:p>
    <w:p w14:paraId="5F96C8FE" w14:textId="4E21784C" w:rsidR="00465625" w:rsidRPr="00465625" w:rsidRDefault="00465625" w:rsidP="007A1200">
      <w:pPr>
        <w:numPr>
          <w:ilvl w:val="2"/>
          <w:numId w:val="5"/>
        </w:numPr>
        <w:pBdr>
          <w:top w:val="nil"/>
          <w:left w:val="nil"/>
          <w:bottom w:val="nil"/>
          <w:right w:val="nil"/>
          <w:between w:val="nil"/>
        </w:pBdr>
        <w:spacing w:after="0" w:line="276" w:lineRule="auto"/>
        <w:rPr>
          <w:color w:val="000000"/>
        </w:rPr>
      </w:pPr>
      <w:r>
        <w:rPr>
          <w:color w:val="000000"/>
        </w:rPr>
        <w:t>parents (2016- 67%) by 5 percentage points</w:t>
      </w:r>
    </w:p>
    <w:p w14:paraId="36A9A405" w14:textId="3FC99EA1" w:rsidR="00465625" w:rsidRPr="00465625" w:rsidRDefault="00465625" w:rsidP="007A1200">
      <w:pPr>
        <w:numPr>
          <w:ilvl w:val="1"/>
          <w:numId w:val="5"/>
        </w:numPr>
        <w:pBdr>
          <w:top w:val="nil"/>
          <w:left w:val="nil"/>
          <w:bottom w:val="nil"/>
          <w:right w:val="nil"/>
          <w:between w:val="nil"/>
        </w:pBdr>
        <w:spacing w:after="0" w:line="276" w:lineRule="auto"/>
      </w:pPr>
      <w:r>
        <w:rPr>
          <w:color w:val="000000"/>
        </w:rPr>
        <w:t>An increase in agreement in the new school question in the System Survey “Students at Turner School are being equipped with the capabilities and dispositions to learn and live successfully in the 21</w:t>
      </w:r>
      <w:r>
        <w:rPr>
          <w:color w:val="000000"/>
          <w:vertAlign w:val="superscript"/>
        </w:rPr>
        <w:t>st</w:t>
      </w:r>
      <w:r>
        <w:rPr>
          <w:color w:val="000000"/>
        </w:rPr>
        <w:t xml:space="preserve"> Century.” (This question added in 2017 to form the baseline percentage)</w:t>
      </w:r>
    </w:p>
    <w:p w14:paraId="34D754A4" w14:textId="77777777" w:rsidR="00465625" w:rsidRDefault="00465625" w:rsidP="00465625">
      <w:pPr>
        <w:pBdr>
          <w:top w:val="nil"/>
          <w:left w:val="nil"/>
          <w:bottom w:val="nil"/>
          <w:right w:val="nil"/>
          <w:between w:val="nil"/>
        </w:pBdr>
        <w:spacing w:after="0" w:line="276" w:lineRule="auto"/>
        <w:ind w:left="720"/>
      </w:pPr>
    </w:p>
    <w:p w14:paraId="41961664" w14:textId="77777777" w:rsidR="004F0FA3" w:rsidRDefault="004F0FA3" w:rsidP="004F0FA3">
      <w:pPr>
        <w:pStyle w:val="Heading3"/>
        <w:spacing w:before="0"/>
      </w:pPr>
      <w:r>
        <w:t>Progress</w:t>
      </w:r>
    </w:p>
    <w:p w14:paraId="35E5DF42" w14:textId="2498026B" w:rsidR="004F0FA3" w:rsidRDefault="004F0FA3" w:rsidP="004F0FA3">
      <w:pPr>
        <w:widowControl w:val="0"/>
        <w:pBdr>
          <w:top w:val="nil"/>
          <w:left w:val="nil"/>
          <w:bottom w:val="nil"/>
          <w:right w:val="nil"/>
          <w:between w:val="nil"/>
        </w:pBdr>
        <w:spacing w:after="240" w:line="240" w:lineRule="auto"/>
        <w:rPr>
          <w:color w:val="000000"/>
        </w:rPr>
      </w:pPr>
      <w:r>
        <w:rPr>
          <w:color w:val="000000"/>
        </w:rPr>
        <w:t>The following tables indicate the 20</w:t>
      </w:r>
      <w:r w:rsidR="007C0167">
        <w:rPr>
          <w:color w:val="000000"/>
        </w:rPr>
        <w:t>20</w:t>
      </w:r>
      <w:r>
        <w:rPr>
          <w:color w:val="000000"/>
        </w:rPr>
        <w:t xml:space="preserve"> percentage for each target against the 2016 baseline.</w:t>
      </w:r>
    </w:p>
    <w:tbl>
      <w:tblPr>
        <w:tblW w:w="7802"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880"/>
        <w:gridCol w:w="878"/>
        <w:gridCol w:w="878"/>
        <w:gridCol w:w="878"/>
        <w:gridCol w:w="878"/>
        <w:gridCol w:w="879"/>
        <w:gridCol w:w="1396"/>
      </w:tblGrid>
      <w:tr w:rsidR="00465625" w14:paraId="160518E0" w14:textId="77777777" w:rsidTr="00E764FC">
        <w:tc>
          <w:tcPr>
            <w:tcW w:w="6406" w:type="dxa"/>
            <w:gridSpan w:val="7"/>
          </w:tcPr>
          <w:p w14:paraId="76AE0EA8" w14:textId="77777777" w:rsidR="00465625" w:rsidRDefault="00465625" w:rsidP="00E764FC">
            <w:r>
              <w:t xml:space="preserve">System Satisfaction Survey question </w:t>
            </w:r>
          </w:p>
          <w:p w14:paraId="0E7532D4" w14:textId="77777777" w:rsidR="00465625" w:rsidRDefault="00465625" w:rsidP="00E764FC">
            <w:r>
              <w:t>“The use of learning technologies is an integral part of learning and teaching”</w:t>
            </w:r>
          </w:p>
        </w:tc>
        <w:tc>
          <w:tcPr>
            <w:tcW w:w="1396" w:type="dxa"/>
            <w:vMerge w:val="restart"/>
          </w:tcPr>
          <w:p w14:paraId="412BA2CB" w14:textId="77777777" w:rsidR="00465625" w:rsidRDefault="00465625" w:rsidP="00E764FC"/>
          <w:p w14:paraId="42110CEE" w14:textId="77777777" w:rsidR="00465625" w:rsidRDefault="00465625" w:rsidP="00E764FC">
            <w:r>
              <w:t>Target</w:t>
            </w:r>
          </w:p>
          <w:p w14:paraId="2329CF5E" w14:textId="77777777" w:rsidR="00465625" w:rsidRDefault="00465625" w:rsidP="00E764FC">
            <w:r>
              <w:t>Achievement</w:t>
            </w:r>
          </w:p>
        </w:tc>
      </w:tr>
      <w:tr w:rsidR="00465625" w14:paraId="261CCE08" w14:textId="77777777" w:rsidTr="00E764FC">
        <w:tc>
          <w:tcPr>
            <w:tcW w:w="1135" w:type="dxa"/>
          </w:tcPr>
          <w:p w14:paraId="5C98070A" w14:textId="77777777" w:rsidR="00465625" w:rsidRDefault="00465625" w:rsidP="00E764FC"/>
        </w:tc>
        <w:tc>
          <w:tcPr>
            <w:tcW w:w="880" w:type="dxa"/>
          </w:tcPr>
          <w:p w14:paraId="4F52F747" w14:textId="77777777" w:rsidR="00465625" w:rsidRDefault="00465625" w:rsidP="00E764FC">
            <w:r>
              <w:t>2016</w:t>
            </w:r>
          </w:p>
        </w:tc>
        <w:tc>
          <w:tcPr>
            <w:tcW w:w="878" w:type="dxa"/>
          </w:tcPr>
          <w:p w14:paraId="3CE5472B" w14:textId="77777777" w:rsidR="00465625" w:rsidRDefault="00465625" w:rsidP="00E764FC">
            <w:r>
              <w:t>2017</w:t>
            </w:r>
          </w:p>
        </w:tc>
        <w:tc>
          <w:tcPr>
            <w:tcW w:w="878" w:type="dxa"/>
          </w:tcPr>
          <w:p w14:paraId="42E8176F" w14:textId="77777777" w:rsidR="00465625" w:rsidRDefault="00465625" w:rsidP="00E764FC">
            <w:r>
              <w:t>2018</w:t>
            </w:r>
          </w:p>
        </w:tc>
        <w:tc>
          <w:tcPr>
            <w:tcW w:w="878" w:type="dxa"/>
          </w:tcPr>
          <w:p w14:paraId="5CD7DCDB" w14:textId="77777777" w:rsidR="00465625" w:rsidRDefault="00465625" w:rsidP="00E764FC">
            <w:r>
              <w:t>2019</w:t>
            </w:r>
          </w:p>
        </w:tc>
        <w:tc>
          <w:tcPr>
            <w:tcW w:w="878" w:type="dxa"/>
          </w:tcPr>
          <w:p w14:paraId="6040AE19" w14:textId="77777777" w:rsidR="00465625" w:rsidRDefault="00465625" w:rsidP="00E764FC">
            <w:r>
              <w:t>2020</w:t>
            </w:r>
          </w:p>
        </w:tc>
        <w:tc>
          <w:tcPr>
            <w:tcW w:w="879" w:type="dxa"/>
          </w:tcPr>
          <w:p w14:paraId="2C63EE8B" w14:textId="77777777" w:rsidR="00465625" w:rsidRDefault="00465625" w:rsidP="00E764FC">
            <w:r>
              <w:t>2021</w:t>
            </w:r>
          </w:p>
        </w:tc>
        <w:tc>
          <w:tcPr>
            <w:tcW w:w="1396" w:type="dxa"/>
            <w:vMerge/>
          </w:tcPr>
          <w:p w14:paraId="10C30ED5" w14:textId="77777777" w:rsidR="00465625" w:rsidRDefault="00465625" w:rsidP="00E764FC">
            <w:pPr>
              <w:widowControl w:val="0"/>
              <w:pBdr>
                <w:top w:val="nil"/>
                <w:left w:val="nil"/>
                <w:bottom w:val="nil"/>
                <w:right w:val="nil"/>
                <w:between w:val="nil"/>
              </w:pBdr>
            </w:pPr>
          </w:p>
        </w:tc>
      </w:tr>
      <w:tr w:rsidR="00465625" w14:paraId="1298DF3C" w14:textId="77777777" w:rsidTr="00AC480C">
        <w:tc>
          <w:tcPr>
            <w:tcW w:w="1135" w:type="dxa"/>
          </w:tcPr>
          <w:p w14:paraId="3A18DBC7" w14:textId="77777777" w:rsidR="00465625" w:rsidRDefault="00465625" w:rsidP="00E764FC">
            <w:r>
              <w:t xml:space="preserve">Students  </w:t>
            </w:r>
          </w:p>
        </w:tc>
        <w:tc>
          <w:tcPr>
            <w:tcW w:w="880" w:type="dxa"/>
          </w:tcPr>
          <w:p w14:paraId="66B43715" w14:textId="77777777" w:rsidR="00465625" w:rsidRDefault="00465625" w:rsidP="00E764FC">
            <w:pPr>
              <w:jc w:val="center"/>
              <w:rPr>
                <w:color w:val="000000"/>
              </w:rPr>
            </w:pPr>
          </w:p>
          <w:p w14:paraId="2AB22002" w14:textId="77777777" w:rsidR="00465625" w:rsidRDefault="00465625" w:rsidP="00E764FC">
            <w:pPr>
              <w:jc w:val="center"/>
              <w:rPr>
                <w:color w:val="000000"/>
              </w:rPr>
            </w:pPr>
            <w:r>
              <w:rPr>
                <w:color w:val="000000"/>
              </w:rPr>
              <w:t>93%</w:t>
            </w:r>
          </w:p>
        </w:tc>
        <w:tc>
          <w:tcPr>
            <w:tcW w:w="878" w:type="dxa"/>
          </w:tcPr>
          <w:p w14:paraId="0E82BE7A" w14:textId="77777777" w:rsidR="00465625" w:rsidRDefault="00465625" w:rsidP="00E764FC"/>
          <w:p w14:paraId="48D20851" w14:textId="77777777" w:rsidR="00465625" w:rsidRDefault="00465625" w:rsidP="00E764FC">
            <w:r>
              <w:t>99.09%</w:t>
            </w:r>
          </w:p>
        </w:tc>
        <w:tc>
          <w:tcPr>
            <w:tcW w:w="878" w:type="dxa"/>
          </w:tcPr>
          <w:p w14:paraId="3C95D588" w14:textId="77777777" w:rsidR="00465625" w:rsidRPr="00356FBD" w:rsidRDefault="00465625" w:rsidP="00E764FC">
            <w:pPr>
              <w:jc w:val="center"/>
            </w:pPr>
          </w:p>
          <w:p w14:paraId="5B2D8E88" w14:textId="77777777" w:rsidR="00465625" w:rsidRPr="00356FBD" w:rsidRDefault="00465625" w:rsidP="00E764FC">
            <w:pPr>
              <w:jc w:val="center"/>
            </w:pPr>
            <w:r w:rsidRPr="00356FBD">
              <w:t>86%</w:t>
            </w:r>
          </w:p>
        </w:tc>
        <w:tc>
          <w:tcPr>
            <w:tcW w:w="878" w:type="dxa"/>
          </w:tcPr>
          <w:p w14:paraId="3151A667" w14:textId="77777777" w:rsidR="004B2E6B" w:rsidRDefault="004B2E6B" w:rsidP="00E764FC"/>
          <w:p w14:paraId="3A50BF41" w14:textId="46C5E792" w:rsidR="00465625" w:rsidRDefault="004B2E6B" w:rsidP="00E764FC">
            <w:r>
              <w:t>88%</w:t>
            </w:r>
          </w:p>
          <w:p w14:paraId="7DC1E639" w14:textId="64C37AF4" w:rsidR="004B2E6B" w:rsidRDefault="004B2E6B" w:rsidP="00E764FC"/>
        </w:tc>
        <w:tc>
          <w:tcPr>
            <w:tcW w:w="878" w:type="dxa"/>
            <w:shd w:val="clear" w:color="auto" w:fill="auto"/>
          </w:tcPr>
          <w:p w14:paraId="5D0A4714" w14:textId="77777777" w:rsidR="00465625" w:rsidRDefault="00465625" w:rsidP="00E764FC"/>
          <w:p w14:paraId="12AA0B5A" w14:textId="4930EEBC" w:rsidR="00AC480C" w:rsidRDefault="00AC480C" w:rsidP="00E764FC">
            <w:r>
              <w:t>90%</w:t>
            </w:r>
          </w:p>
        </w:tc>
        <w:tc>
          <w:tcPr>
            <w:tcW w:w="879" w:type="dxa"/>
          </w:tcPr>
          <w:p w14:paraId="20822BE0" w14:textId="77777777" w:rsidR="00465625" w:rsidRDefault="00465625" w:rsidP="00E764FC"/>
        </w:tc>
        <w:tc>
          <w:tcPr>
            <w:tcW w:w="1396" w:type="dxa"/>
            <w:vAlign w:val="center"/>
          </w:tcPr>
          <w:p w14:paraId="3CDA0259" w14:textId="22BC81FD" w:rsidR="00465625" w:rsidRDefault="00AC480C" w:rsidP="00E764FC">
            <w:pPr>
              <w:spacing w:before="120" w:after="120"/>
              <w:rPr>
                <w:sz w:val="24"/>
                <w:szCs w:val="24"/>
              </w:rPr>
            </w:pPr>
            <w:r>
              <w:rPr>
                <w:sz w:val="24"/>
                <w:szCs w:val="24"/>
              </w:rPr>
              <w:t xml:space="preserve">Achieved </w:t>
            </w:r>
          </w:p>
        </w:tc>
      </w:tr>
      <w:tr w:rsidR="00465625" w14:paraId="4B3524BB" w14:textId="77777777" w:rsidTr="00AC480C">
        <w:tc>
          <w:tcPr>
            <w:tcW w:w="1135" w:type="dxa"/>
          </w:tcPr>
          <w:p w14:paraId="0DB8BE8B" w14:textId="77777777" w:rsidR="00465625" w:rsidRDefault="00465625" w:rsidP="00E764FC">
            <w:r>
              <w:t xml:space="preserve">Staff </w:t>
            </w:r>
          </w:p>
        </w:tc>
        <w:tc>
          <w:tcPr>
            <w:tcW w:w="880" w:type="dxa"/>
          </w:tcPr>
          <w:p w14:paraId="03728163" w14:textId="77777777" w:rsidR="00465625" w:rsidRDefault="00465625" w:rsidP="00E764FC">
            <w:pPr>
              <w:jc w:val="center"/>
              <w:rPr>
                <w:color w:val="000000"/>
              </w:rPr>
            </w:pPr>
          </w:p>
          <w:p w14:paraId="5ADA70DB" w14:textId="77777777" w:rsidR="00465625" w:rsidRDefault="00465625" w:rsidP="00E764FC">
            <w:pPr>
              <w:jc w:val="center"/>
              <w:rPr>
                <w:color w:val="000000"/>
              </w:rPr>
            </w:pPr>
            <w:r>
              <w:rPr>
                <w:color w:val="000000"/>
              </w:rPr>
              <w:t>61%</w:t>
            </w:r>
          </w:p>
        </w:tc>
        <w:tc>
          <w:tcPr>
            <w:tcW w:w="878" w:type="dxa"/>
          </w:tcPr>
          <w:p w14:paraId="09285CC0" w14:textId="77777777" w:rsidR="00465625" w:rsidRDefault="00465625" w:rsidP="00E764FC"/>
          <w:p w14:paraId="6C7AE765" w14:textId="77777777" w:rsidR="00465625" w:rsidRDefault="00465625" w:rsidP="00E764FC">
            <w:r>
              <w:t>81.13%</w:t>
            </w:r>
          </w:p>
        </w:tc>
        <w:tc>
          <w:tcPr>
            <w:tcW w:w="878" w:type="dxa"/>
          </w:tcPr>
          <w:p w14:paraId="420C0FFE" w14:textId="77777777" w:rsidR="00465625" w:rsidRPr="00356FBD" w:rsidRDefault="00465625" w:rsidP="00E764FC">
            <w:pPr>
              <w:jc w:val="center"/>
            </w:pPr>
          </w:p>
          <w:p w14:paraId="63CE5851" w14:textId="77777777" w:rsidR="00465625" w:rsidRPr="00356FBD" w:rsidRDefault="00465625" w:rsidP="00E764FC">
            <w:pPr>
              <w:jc w:val="center"/>
            </w:pPr>
            <w:r w:rsidRPr="00356FBD">
              <w:t>86%</w:t>
            </w:r>
          </w:p>
        </w:tc>
        <w:tc>
          <w:tcPr>
            <w:tcW w:w="878" w:type="dxa"/>
          </w:tcPr>
          <w:p w14:paraId="0232CCC6" w14:textId="77777777" w:rsidR="00465625" w:rsidRDefault="00465625" w:rsidP="00E764FC"/>
          <w:p w14:paraId="7E1EFB7B" w14:textId="567DADBA" w:rsidR="004B2E6B" w:rsidRDefault="004B2E6B" w:rsidP="00E764FC">
            <w:r>
              <w:t>89%</w:t>
            </w:r>
          </w:p>
        </w:tc>
        <w:tc>
          <w:tcPr>
            <w:tcW w:w="878" w:type="dxa"/>
            <w:shd w:val="clear" w:color="auto" w:fill="auto"/>
          </w:tcPr>
          <w:p w14:paraId="3BDB1B69" w14:textId="77777777" w:rsidR="00465625" w:rsidRDefault="00465625" w:rsidP="00E764FC"/>
          <w:p w14:paraId="05A298A5" w14:textId="69BBAD41" w:rsidR="00AC480C" w:rsidRDefault="00AC480C" w:rsidP="00E764FC">
            <w:r>
              <w:t>77%</w:t>
            </w:r>
          </w:p>
        </w:tc>
        <w:tc>
          <w:tcPr>
            <w:tcW w:w="879" w:type="dxa"/>
          </w:tcPr>
          <w:p w14:paraId="49C6A844" w14:textId="77777777" w:rsidR="00465625" w:rsidRDefault="00465625" w:rsidP="00E764FC"/>
        </w:tc>
        <w:tc>
          <w:tcPr>
            <w:tcW w:w="1396" w:type="dxa"/>
            <w:vAlign w:val="center"/>
          </w:tcPr>
          <w:p w14:paraId="653206A0" w14:textId="77777777" w:rsidR="00465625" w:rsidRDefault="00465625" w:rsidP="00E764FC">
            <w:pPr>
              <w:spacing w:before="120" w:after="120"/>
              <w:rPr>
                <w:sz w:val="24"/>
                <w:szCs w:val="24"/>
              </w:rPr>
            </w:pPr>
            <w:r>
              <w:rPr>
                <w:sz w:val="24"/>
                <w:szCs w:val="24"/>
              </w:rPr>
              <w:t>In progress</w:t>
            </w:r>
          </w:p>
        </w:tc>
      </w:tr>
      <w:tr w:rsidR="00465625" w14:paraId="33884F04" w14:textId="77777777" w:rsidTr="00F15421">
        <w:tc>
          <w:tcPr>
            <w:tcW w:w="1135" w:type="dxa"/>
          </w:tcPr>
          <w:p w14:paraId="50CEF665" w14:textId="77777777" w:rsidR="00465625" w:rsidRDefault="00465625" w:rsidP="00E764FC">
            <w:r>
              <w:t xml:space="preserve">Parents </w:t>
            </w:r>
          </w:p>
        </w:tc>
        <w:tc>
          <w:tcPr>
            <w:tcW w:w="880" w:type="dxa"/>
          </w:tcPr>
          <w:p w14:paraId="2ECF6014" w14:textId="77777777" w:rsidR="00465625" w:rsidRDefault="00465625" w:rsidP="00E764FC">
            <w:pPr>
              <w:jc w:val="center"/>
              <w:rPr>
                <w:color w:val="000000"/>
              </w:rPr>
            </w:pPr>
          </w:p>
          <w:p w14:paraId="64A59B82" w14:textId="77777777" w:rsidR="00465625" w:rsidRDefault="00465625" w:rsidP="00E764FC">
            <w:pPr>
              <w:jc w:val="center"/>
              <w:rPr>
                <w:color w:val="000000"/>
              </w:rPr>
            </w:pPr>
            <w:r>
              <w:rPr>
                <w:color w:val="000000"/>
              </w:rPr>
              <w:t>67%</w:t>
            </w:r>
          </w:p>
        </w:tc>
        <w:tc>
          <w:tcPr>
            <w:tcW w:w="878" w:type="dxa"/>
          </w:tcPr>
          <w:p w14:paraId="404BA591" w14:textId="77777777" w:rsidR="00465625" w:rsidRDefault="00465625" w:rsidP="00E764FC"/>
          <w:p w14:paraId="311B6F43" w14:textId="77777777" w:rsidR="00465625" w:rsidRDefault="00465625" w:rsidP="00E764FC">
            <w:r>
              <w:t>77.91%</w:t>
            </w:r>
          </w:p>
        </w:tc>
        <w:tc>
          <w:tcPr>
            <w:tcW w:w="878" w:type="dxa"/>
          </w:tcPr>
          <w:p w14:paraId="0488310A" w14:textId="77777777" w:rsidR="00465625" w:rsidRPr="00356FBD" w:rsidRDefault="00465625" w:rsidP="00E764FC">
            <w:pPr>
              <w:jc w:val="center"/>
            </w:pPr>
          </w:p>
          <w:p w14:paraId="77CDFBFC" w14:textId="77777777" w:rsidR="00465625" w:rsidRPr="00356FBD" w:rsidRDefault="00465625" w:rsidP="00E764FC">
            <w:pPr>
              <w:jc w:val="center"/>
            </w:pPr>
            <w:r w:rsidRPr="00356FBD">
              <w:t>87%</w:t>
            </w:r>
          </w:p>
        </w:tc>
        <w:tc>
          <w:tcPr>
            <w:tcW w:w="878" w:type="dxa"/>
          </w:tcPr>
          <w:p w14:paraId="4B7858A6" w14:textId="77777777" w:rsidR="00465625" w:rsidRDefault="00465625" w:rsidP="00E764FC"/>
          <w:p w14:paraId="3448EAF5" w14:textId="5CFCABD0" w:rsidR="004B2E6B" w:rsidRDefault="009D3CB8" w:rsidP="00E764FC">
            <w:r>
              <w:t>74%</w:t>
            </w:r>
          </w:p>
        </w:tc>
        <w:tc>
          <w:tcPr>
            <w:tcW w:w="878" w:type="dxa"/>
            <w:shd w:val="clear" w:color="auto" w:fill="auto"/>
          </w:tcPr>
          <w:p w14:paraId="3D21FEFD" w14:textId="77777777" w:rsidR="00F15421" w:rsidRDefault="00F15421" w:rsidP="00E764FC"/>
          <w:p w14:paraId="6C6A8EF2" w14:textId="0A24B435" w:rsidR="00465625" w:rsidRDefault="00F15421" w:rsidP="00E764FC">
            <w:r>
              <w:t>72%</w:t>
            </w:r>
          </w:p>
        </w:tc>
        <w:tc>
          <w:tcPr>
            <w:tcW w:w="879" w:type="dxa"/>
          </w:tcPr>
          <w:p w14:paraId="4EFAC0DD" w14:textId="77777777" w:rsidR="00465625" w:rsidRDefault="00465625" w:rsidP="00E764FC"/>
        </w:tc>
        <w:tc>
          <w:tcPr>
            <w:tcW w:w="1396" w:type="dxa"/>
            <w:vAlign w:val="center"/>
          </w:tcPr>
          <w:p w14:paraId="04C5CE4F" w14:textId="27027C23" w:rsidR="00465625" w:rsidRDefault="00F15421" w:rsidP="00E764FC">
            <w:pPr>
              <w:spacing w:before="120" w:after="120"/>
              <w:rPr>
                <w:sz w:val="24"/>
                <w:szCs w:val="24"/>
              </w:rPr>
            </w:pPr>
            <w:r>
              <w:rPr>
                <w:sz w:val="24"/>
                <w:szCs w:val="24"/>
              </w:rPr>
              <w:t>Maintained</w:t>
            </w:r>
          </w:p>
        </w:tc>
      </w:tr>
    </w:tbl>
    <w:p w14:paraId="0829ED44" w14:textId="1F69C9ED" w:rsidR="00465625" w:rsidRPr="00A40C43" w:rsidRDefault="00465625" w:rsidP="00AC480C">
      <w:pPr>
        <w:pStyle w:val="ListParagraph"/>
        <w:pBdr>
          <w:top w:val="nil"/>
          <w:left w:val="nil"/>
          <w:bottom w:val="nil"/>
          <w:right w:val="nil"/>
          <w:between w:val="nil"/>
        </w:pBdr>
        <w:rPr>
          <w:color w:val="FF0000"/>
          <w:highlight w:val="yellow"/>
        </w:rPr>
      </w:pPr>
    </w:p>
    <w:tbl>
      <w:tblPr>
        <w:tblW w:w="7802"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878"/>
        <w:gridCol w:w="878"/>
        <w:gridCol w:w="878"/>
        <w:gridCol w:w="878"/>
        <w:gridCol w:w="879"/>
        <w:gridCol w:w="1396"/>
      </w:tblGrid>
      <w:tr w:rsidR="00465625" w14:paraId="4CB925E5" w14:textId="77777777" w:rsidTr="00E764FC">
        <w:tc>
          <w:tcPr>
            <w:tcW w:w="6406" w:type="dxa"/>
            <w:gridSpan w:val="6"/>
          </w:tcPr>
          <w:p w14:paraId="4B800DD0" w14:textId="77777777" w:rsidR="00465625" w:rsidRDefault="00465625" w:rsidP="00E764FC">
            <w:r>
              <w:t>System Satisfaction Survey question – Turner question:</w:t>
            </w:r>
          </w:p>
          <w:p w14:paraId="0A9EC2AD" w14:textId="77777777" w:rsidR="00465625" w:rsidRDefault="00465625" w:rsidP="00E764FC">
            <w:r>
              <w:t>“Students at Turner School are being equipped with the capabilities and dispositions to learn and live successfully in the 21st Century.”</w:t>
            </w:r>
          </w:p>
        </w:tc>
        <w:tc>
          <w:tcPr>
            <w:tcW w:w="1396" w:type="dxa"/>
            <w:vMerge w:val="restart"/>
          </w:tcPr>
          <w:p w14:paraId="079F1FB9" w14:textId="77777777" w:rsidR="00465625" w:rsidRDefault="00465625" w:rsidP="00E764FC"/>
          <w:p w14:paraId="7E90AA82" w14:textId="77777777" w:rsidR="00465625" w:rsidRDefault="00465625" w:rsidP="00E764FC">
            <w:r>
              <w:t>Target</w:t>
            </w:r>
          </w:p>
          <w:p w14:paraId="0EEA472C" w14:textId="77777777" w:rsidR="00465625" w:rsidRDefault="00465625" w:rsidP="00E764FC">
            <w:r>
              <w:t>Achievement</w:t>
            </w:r>
          </w:p>
        </w:tc>
      </w:tr>
      <w:tr w:rsidR="00465625" w14:paraId="5592A1E5" w14:textId="77777777" w:rsidTr="00E764FC">
        <w:tc>
          <w:tcPr>
            <w:tcW w:w="2015" w:type="dxa"/>
          </w:tcPr>
          <w:p w14:paraId="75EFA3E5" w14:textId="77777777" w:rsidR="00465625" w:rsidRDefault="00465625" w:rsidP="00E764FC"/>
        </w:tc>
        <w:tc>
          <w:tcPr>
            <w:tcW w:w="878" w:type="dxa"/>
          </w:tcPr>
          <w:p w14:paraId="056F8301" w14:textId="77777777" w:rsidR="00465625" w:rsidRDefault="00465625" w:rsidP="00E764FC">
            <w:r>
              <w:t>2017</w:t>
            </w:r>
          </w:p>
        </w:tc>
        <w:tc>
          <w:tcPr>
            <w:tcW w:w="878" w:type="dxa"/>
          </w:tcPr>
          <w:p w14:paraId="220165C0" w14:textId="77777777" w:rsidR="00465625" w:rsidRDefault="00465625" w:rsidP="00E764FC">
            <w:r>
              <w:t>2018</w:t>
            </w:r>
          </w:p>
        </w:tc>
        <w:tc>
          <w:tcPr>
            <w:tcW w:w="878" w:type="dxa"/>
          </w:tcPr>
          <w:p w14:paraId="2AA94CEB" w14:textId="77777777" w:rsidR="00465625" w:rsidRDefault="00465625" w:rsidP="00E764FC">
            <w:r>
              <w:t>2019</w:t>
            </w:r>
          </w:p>
        </w:tc>
        <w:tc>
          <w:tcPr>
            <w:tcW w:w="878" w:type="dxa"/>
          </w:tcPr>
          <w:p w14:paraId="3BF8A8DD" w14:textId="77777777" w:rsidR="00465625" w:rsidRDefault="00465625" w:rsidP="00E764FC">
            <w:r>
              <w:t>2020</w:t>
            </w:r>
          </w:p>
        </w:tc>
        <w:tc>
          <w:tcPr>
            <w:tcW w:w="879" w:type="dxa"/>
          </w:tcPr>
          <w:p w14:paraId="4D7309CA" w14:textId="77777777" w:rsidR="00465625" w:rsidRDefault="00465625" w:rsidP="00E764FC">
            <w:r>
              <w:t>2021</w:t>
            </w:r>
          </w:p>
        </w:tc>
        <w:tc>
          <w:tcPr>
            <w:tcW w:w="1396" w:type="dxa"/>
            <w:vMerge/>
          </w:tcPr>
          <w:p w14:paraId="514B6C9D" w14:textId="77777777" w:rsidR="00465625" w:rsidRDefault="00465625" w:rsidP="00E764FC">
            <w:pPr>
              <w:widowControl w:val="0"/>
              <w:pBdr>
                <w:top w:val="nil"/>
                <w:left w:val="nil"/>
                <w:bottom w:val="nil"/>
                <w:right w:val="nil"/>
                <w:between w:val="nil"/>
              </w:pBdr>
            </w:pPr>
          </w:p>
        </w:tc>
      </w:tr>
      <w:tr w:rsidR="00465625" w14:paraId="281E8E33" w14:textId="77777777" w:rsidTr="00AC480C">
        <w:tc>
          <w:tcPr>
            <w:tcW w:w="2015" w:type="dxa"/>
          </w:tcPr>
          <w:p w14:paraId="7559A661" w14:textId="77777777" w:rsidR="00465625" w:rsidRDefault="00465625" w:rsidP="00E764FC">
            <w:pPr>
              <w:jc w:val="center"/>
              <w:rPr>
                <w:color w:val="000000"/>
              </w:rPr>
            </w:pPr>
            <w:r>
              <w:t xml:space="preserve">Students  </w:t>
            </w:r>
          </w:p>
        </w:tc>
        <w:tc>
          <w:tcPr>
            <w:tcW w:w="878" w:type="dxa"/>
          </w:tcPr>
          <w:p w14:paraId="0B50CF6D" w14:textId="77777777" w:rsidR="00465625" w:rsidRDefault="00465625" w:rsidP="00E764FC"/>
          <w:p w14:paraId="36324990" w14:textId="77777777" w:rsidR="00465625" w:rsidRDefault="00465625" w:rsidP="00E764FC">
            <w:r>
              <w:t>88%</w:t>
            </w:r>
          </w:p>
        </w:tc>
        <w:tc>
          <w:tcPr>
            <w:tcW w:w="878" w:type="dxa"/>
          </w:tcPr>
          <w:p w14:paraId="423CDF4C" w14:textId="77777777" w:rsidR="00465625" w:rsidRPr="00D25F6C" w:rsidRDefault="00465625" w:rsidP="00E764FC">
            <w:pPr>
              <w:jc w:val="center"/>
            </w:pPr>
          </w:p>
          <w:p w14:paraId="344F331D" w14:textId="77777777" w:rsidR="00465625" w:rsidRPr="00D25F6C" w:rsidRDefault="00465625" w:rsidP="00E764FC">
            <w:pPr>
              <w:jc w:val="center"/>
            </w:pPr>
            <w:r w:rsidRPr="00D25F6C">
              <w:t>80%</w:t>
            </w:r>
          </w:p>
        </w:tc>
        <w:tc>
          <w:tcPr>
            <w:tcW w:w="878" w:type="dxa"/>
          </w:tcPr>
          <w:p w14:paraId="25BE267A" w14:textId="77777777" w:rsidR="00465625" w:rsidRDefault="00465625" w:rsidP="00E764FC"/>
          <w:p w14:paraId="5D68A478" w14:textId="584E887C" w:rsidR="009D3CB8" w:rsidRDefault="009D3CB8" w:rsidP="00E764FC">
            <w:r>
              <w:t>88%</w:t>
            </w:r>
          </w:p>
        </w:tc>
        <w:tc>
          <w:tcPr>
            <w:tcW w:w="878" w:type="dxa"/>
            <w:shd w:val="clear" w:color="auto" w:fill="auto"/>
          </w:tcPr>
          <w:p w14:paraId="1481378D" w14:textId="77777777" w:rsidR="00465625" w:rsidRDefault="00465625" w:rsidP="00E764FC"/>
          <w:p w14:paraId="127A6DA2" w14:textId="1B83A177" w:rsidR="00AC480C" w:rsidRDefault="00AC480C" w:rsidP="00E764FC">
            <w:r>
              <w:t>88%</w:t>
            </w:r>
          </w:p>
        </w:tc>
        <w:tc>
          <w:tcPr>
            <w:tcW w:w="879" w:type="dxa"/>
          </w:tcPr>
          <w:p w14:paraId="7DCC91C0" w14:textId="77777777" w:rsidR="00465625" w:rsidRDefault="00465625" w:rsidP="00E764FC"/>
        </w:tc>
        <w:tc>
          <w:tcPr>
            <w:tcW w:w="1396" w:type="dxa"/>
            <w:vAlign w:val="center"/>
          </w:tcPr>
          <w:p w14:paraId="2C0071E8" w14:textId="77777777" w:rsidR="00465625" w:rsidRDefault="00465625" w:rsidP="00E764FC">
            <w:pPr>
              <w:spacing w:before="120" w:after="120"/>
              <w:rPr>
                <w:sz w:val="24"/>
                <w:szCs w:val="24"/>
              </w:rPr>
            </w:pPr>
            <w:r>
              <w:rPr>
                <w:sz w:val="24"/>
                <w:szCs w:val="24"/>
              </w:rPr>
              <w:t>In progress</w:t>
            </w:r>
          </w:p>
        </w:tc>
      </w:tr>
      <w:tr w:rsidR="00465625" w14:paraId="0BCE135D" w14:textId="77777777" w:rsidTr="00AC480C">
        <w:tc>
          <w:tcPr>
            <w:tcW w:w="2015" w:type="dxa"/>
          </w:tcPr>
          <w:p w14:paraId="374207DB" w14:textId="77777777" w:rsidR="00465625" w:rsidRDefault="00465625" w:rsidP="00E764FC">
            <w:pPr>
              <w:jc w:val="center"/>
              <w:rPr>
                <w:color w:val="000000"/>
              </w:rPr>
            </w:pPr>
            <w:r>
              <w:lastRenderedPageBreak/>
              <w:t xml:space="preserve">Staff </w:t>
            </w:r>
          </w:p>
        </w:tc>
        <w:tc>
          <w:tcPr>
            <w:tcW w:w="878" w:type="dxa"/>
          </w:tcPr>
          <w:p w14:paraId="7B34216A" w14:textId="77777777" w:rsidR="00465625" w:rsidRDefault="00465625" w:rsidP="00E764FC"/>
          <w:p w14:paraId="19F2DCF1" w14:textId="77777777" w:rsidR="00465625" w:rsidRDefault="00465625" w:rsidP="00E764FC">
            <w:r>
              <w:t>98%</w:t>
            </w:r>
          </w:p>
        </w:tc>
        <w:tc>
          <w:tcPr>
            <w:tcW w:w="878" w:type="dxa"/>
          </w:tcPr>
          <w:p w14:paraId="1512BFBA" w14:textId="77777777" w:rsidR="00465625" w:rsidRPr="00D25F6C" w:rsidRDefault="00465625" w:rsidP="00E764FC">
            <w:pPr>
              <w:jc w:val="center"/>
            </w:pPr>
          </w:p>
          <w:p w14:paraId="0B520290" w14:textId="77777777" w:rsidR="00465625" w:rsidRPr="00D25F6C" w:rsidRDefault="00465625" w:rsidP="00E764FC">
            <w:pPr>
              <w:jc w:val="center"/>
            </w:pPr>
            <w:r w:rsidRPr="00D25F6C">
              <w:t>98%</w:t>
            </w:r>
          </w:p>
        </w:tc>
        <w:tc>
          <w:tcPr>
            <w:tcW w:w="878" w:type="dxa"/>
          </w:tcPr>
          <w:p w14:paraId="67AE17C1" w14:textId="77777777" w:rsidR="00465625" w:rsidRDefault="00465625" w:rsidP="00E764FC"/>
          <w:p w14:paraId="6439066F" w14:textId="237784B1" w:rsidR="009D3CB8" w:rsidRDefault="009D3CB8" w:rsidP="00E764FC">
            <w:r>
              <w:t>96%</w:t>
            </w:r>
          </w:p>
        </w:tc>
        <w:tc>
          <w:tcPr>
            <w:tcW w:w="878" w:type="dxa"/>
            <w:shd w:val="clear" w:color="auto" w:fill="auto"/>
          </w:tcPr>
          <w:p w14:paraId="67E19D2E" w14:textId="77777777" w:rsidR="00465625" w:rsidRDefault="00465625" w:rsidP="00E764FC"/>
          <w:p w14:paraId="7AB8AC08" w14:textId="7C6D14BC" w:rsidR="00AC480C" w:rsidRDefault="00AC480C" w:rsidP="00E764FC">
            <w:r>
              <w:t>89%</w:t>
            </w:r>
          </w:p>
        </w:tc>
        <w:tc>
          <w:tcPr>
            <w:tcW w:w="879" w:type="dxa"/>
          </w:tcPr>
          <w:p w14:paraId="19ACBBB3" w14:textId="77777777" w:rsidR="00465625" w:rsidRDefault="00465625" w:rsidP="00E764FC"/>
        </w:tc>
        <w:tc>
          <w:tcPr>
            <w:tcW w:w="1396" w:type="dxa"/>
            <w:vAlign w:val="center"/>
          </w:tcPr>
          <w:p w14:paraId="12A98132" w14:textId="77777777" w:rsidR="00465625" w:rsidRDefault="00465625" w:rsidP="00E764FC">
            <w:pPr>
              <w:spacing w:before="120" w:after="120"/>
              <w:rPr>
                <w:sz w:val="24"/>
                <w:szCs w:val="24"/>
              </w:rPr>
            </w:pPr>
            <w:r>
              <w:rPr>
                <w:sz w:val="24"/>
                <w:szCs w:val="24"/>
              </w:rPr>
              <w:t>In progress</w:t>
            </w:r>
          </w:p>
        </w:tc>
      </w:tr>
      <w:tr w:rsidR="00465625" w14:paraId="5A277F83" w14:textId="77777777" w:rsidTr="00F15421">
        <w:tc>
          <w:tcPr>
            <w:tcW w:w="2015" w:type="dxa"/>
          </w:tcPr>
          <w:p w14:paraId="7BC99319" w14:textId="77777777" w:rsidR="00465625" w:rsidRDefault="00465625" w:rsidP="00E764FC">
            <w:pPr>
              <w:jc w:val="center"/>
              <w:rPr>
                <w:color w:val="000000"/>
              </w:rPr>
            </w:pPr>
            <w:r>
              <w:t xml:space="preserve">Parents </w:t>
            </w:r>
          </w:p>
        </w:tc>
        <w:tc>
          <w:tcPr>
            <w:tcW w:w="878" w:type="dxa"/>
          </w:tcPr>
          <w:p w14:paraId="7F1D2EBF" w14:textId="77777777" w:rsidR="00465625" w:rsidRDefault="00465625" w:rsidP="00E764FC"/>
          <w:p w14:paraId="1D976194" w14:textId="77777777" w:rsidR="00465625" w:rsidRDefault="00465625" w:rsidP="00E764FC">
            <w:bookmarkStart w:id="5" w:name="_gjdgxs" w:colFirst="0" w:colLast="0"/>
            <w:bookmarkEnd w:id="5"/>
            <w:r>
              <w:t>93%</w:t>
            </w:r>
          </w:p>
        </w:tc>
        <w:tc>
          <w:tcPr>
            <w:tcW w:w="878" w:type="dxa"/>
          </w:tcPr>
          <w:p w14:paraId="53873EE9" w14:textId="77777777" w:rsidR="00465625" w:rsidRPr="00D25F6C" w:rsidRDefault="00465625" w:rsidP="00E764FC">
            <w:pPr>
              <w:jc w:val="center"/>
            </w:pPr>
          </w:p>
          <w:p w14:paraId="068549D0" w14:textId="77777777" w:rsidR="00465625" w:rsidRPr="00D25F6C" w:rsidRDefault="00465625" w:rsidP="00E764FC">
            <w:pPr>
              <w:jc w:val="center"/>
            </w:pPr>
            <w:r w:rsidRPr="00D25F6C">
              <w:t>86%</w:t>
            </w:r>
          </w:p>
        </w:tc>
        <w:tc>
          <w:tcPr>
            <w:tcW w:w="878" w:type="dxa"/>
          </w:tcPr>
          <w:p w14:paraId="60107016" w14:textId="77777777" w:rsidR="00465625" w:rsidRDefault="00465625" w:rsidP="00E764FC"/>
          <w:p w14:paraId="426D69E2" w14:textId="2692AC48" w:rsidR="009D3CB8" w:rsidRDefault="009D3CB8" w:rsidP="00E764FC">
            <w:r>
              <w:t>89%</w:t>
            </w:r>
          </w:p>
        </w:tc>
        <w:tc>
          <w:tcPr>
            <w:tcW w:w="878" w:type="dxa"/>
            <w:shd w:val="clear" w:color="auto" w:fill="auto"/>
          </w:tcPr>
          <w:p w14:paraId="3090A313" w14:textId="77777777" w:rsidR="00465625" w:rsidRDefault="00465625" w:rsidP="00E764FC"/>
          <w:p w14:paraId="7A83DB37" w14:textId="078E6B6F" w:rsidR="00F15421" w:rsidRDefault="00F15421" w:rsidP="00E764FC">
            <w:r>
              <w:t>82%</w:t>
            </w:r>
          </w:p>
        </w:tc>
        <w:tc>
          <w:tcPr>
            <w:tcW w:w="879" w:type="dxa"/>
          </w:tcPr>
          <w:p w14:paraId="2F7DBE33" w14:textId="77777777" w:rsidR="00465625" w:rsidRDefault="00465625" w:rsidP="00E764FC"/>
        </w:tc>
        <w:tc>
          <w:tcPr>
            <w:tcW w:w="1396" w:type="dxa"/>
            <w:vAlign w:val="center"/>
          </w:tcPr>
          <w:p w14:paraId="05F66FB1" w14:textId="77777777" w:rsidR="00465625" w:rsidRDefault="00465625" w:rsidP="00E764FC">
            <w:pPr>
              <w:spacing w:before="120" w:after="120"/>
              <w:rPr>
                <w:sz w:val="24"/>
                <w:szCs w:val="24"/>
              </w:rPr>
            </w:pPr>
            <w:r>
              <w:rPr>
                <w:sz w:val="24"/>
                <w:szCs w:val="24"/>
              </w:rPr>
              <w:t>In progress</w:t>
            </w:r>
          </w:p>
        </w:tc>
      </w:tr>
    </w:tbl>
    <w:p w14:paraId="04F6AA33" w14:textId="77777777" w:rsidR="00EB70CE" w:rsidRDefault="00EB70CE" w:rsidP="00EB70CE">
      <w:pPr>
        <w:pStyle w:val="BodyText"/>
      </w:pPr>
    </w:p>
    <w:p w14:paraId="05EC0CAB" w14:textId="6B860DCB" w:rsidR="00EB70CE" w:rsidRDefault="00EB70CE" w:rsidP="005C7432">
      <w:pPr>
        <w:pStyle w:val="Heading3"/>
      </w:pPr>
      <w:bookmarkStart w:id="6" w:name="_Hlk26092122"/>
      <w:r w:rsidRPr="00E061B8">
        <w:t>What this evidence tells us</w:t>
      </w:r>
    </w:p>
    <w:p w14:paraId="2620F798" w14:textId="67CEC7C6" w:rsidR="00FC6E3B" w:rsidRDefault="009D3CB8" w:rsidP="00A95299">
      <w:pPr>
        <w:pStyle w:val="ListParagraph"/>
        <w:numPr>
          <w:ilvl w:val="0"/>
          <w:numId w:val="9"/>
        </w:numPr>
      </w:pPr>
      <w:r w:rsidRPr="000F102A">
        <w:t xml:space="preserve">School satisfaction survey results for agreement percentages have </w:t>
      </w:r>
      <w:r w:rsidRPr="00F15421">
        <w:t xml:space="preserve">been sustained (within </w:t>
      </w:r>
      <w:r w:rsidR="000F102A" w:rsidRPr="00F15421">
        <w:t>10</w:t>
      </w:r>
      <w:r w:rsidRPr="00F15421">
        <w:t>%)</w:t>
      </w:r>
      <w:r w:rsidRPr="000F102A">
        <w:t xml:space="preserve"> in 20</w:t>
      </w:r>
      <w:r w:rsidR="000F102A" w:rsidRPr="000F102A">
        <w:t>20</w:t>
      </w:r>
      <w:r w:rsidRPr="000F102A">
        <w:t xml:space="preserve"> in all areas except </w:t>
      </w:r>
      <w:r w:rsidR="000F102A" w:rsidRPr="000F102A">
        <w:t>staff</w:t>
      </w:r>
      <w:r w:rsidRPr="000F102A">
        <w:t xml:space="preserve"> perception that digital technologies are an integral part of teaching and learning at Turner School however, these results still exceed 2017 Strategic Plan targets. </w:t>
      </w:r>
      <w:bookmarkEnd w:id="6"/>
    </w:p>
    <w:p w14:paraId="529C3E95" w14:textId="4D969D65" w:rsidR="00937D6F" w:rsidRDefault="00937D6F" w:rsidP="00A95299">
      <w:pPr>
        <w:pStyle w:val="Heading3"/>
      </w:pPr>
      <w:r>
        <w:t>Our achievements for this priority</w:t>
      </w:r>
    </w:p>
    <w:p w14:paraId="51E11565" w14:textId="38B5A6DA" w:rsidR="007E1768" w:rsidRDefault="004F0FA3" w:rsidP="004F0FA3">
      <w:pPr>
        <w:spacing w:after="200"/>
        <w:rPr>
          <w:b/>
        </w:rPr>
      </w:pPr>
      <w:r>
        <w:rPr>
          <w:b/>
        </w:rPr>
        <w:t>Key Improvement Strategies and Key Performance Indicators from School Plan</w:t>
      </w:r>
    </w:p>
    <w:p w14:paraId="511727CD" w14:textId="581F8CCD" w:rsidR="00B73FAD" w:rsidRPr="00A40C43" w:rsidRDefault="00B73FAD" w:rsidP="00B73FAD">
      <w:pPr>
        <w:pBdr>
          <w:top w:val="nil"/>
          <w:left w:val="nil"/>
          <w:bottom w:val="nil"/>
          <w:right w:val="nil"/>
          <w:between w:val="nil"/>
        </w:pBdr>
        <w:spacing w:after="0" w:line="276" w:lineRule="auto"/>
        <w:rPr>
          <w:b/>
        </w:rPr>
      </w:pPr>
      <w:r w:rsidRPr="00A40C43">
        <w:rPr>
          <w:b/>
        </w:rPr>
        <w:t>Embed practice of students and teachers as collaborators for student learning.</w:t>
      </w:r>
    </w:p>
    <w:p w14:paraId="038EDFB3" w14:textId="18DBFDB9" w:rsidR="005F162A" w:rsidRPr="00A40C43" w:rsidRDefault="005F162A">
      <w:pPr>
        <w:pStyle w:val="ListParagraph"/>
        <w:numPr>
          <w:ilvl w:val="0"/>
          <w:numId w:val="9"/>
        </w:numPr>
        <w:jc w:val="both"/>
        <w:rPr>
          <w:b/>
        </w:rPr>
      </w:pPr>
      <w:r>
        <w:rPr>
          <w:bCs/>
        </w:rPr>
        <w:t>Ongoing critical friend relationships are highly valued with staff, with regular professional learning opportunities for teams and the whole staff with Kath Murdoch</w:t>
      </w:r>
      <w:r w:rsidR="00466F57">
        <w:rPr>
          <w:bCs/>
        </w:rPr>
        <w:t xml:space="preserve"> and</w:t>
      </w:r>
      <w:r w:rsidR="000F102A">
        <w:rPr>
          <w:bCs/>
        </w:rPr>
        <w:t xml:space="preserve"> Dr</w:t>
      </w:r>
      <w:r w:rsidR="00466F57">
        <w:rPr>
          <w:bCs/>
        </w:rPr>
        <w:t xml:space="preserve"> Harry Kanasa</w:t>
      </w:r>
      <w:r>
        <w:rPr>
          <w:bCs/>
        </w:rPr>
        <w:t>, as well as capacity-building for lead teachers and school leaders through the Contemporary Literacies Collaborative</w:t>
      </w:r>
    </w:p>
    <w:p w14:paraId="3398FF1A" w14:textId="6277B5FE" w:rsidR="004910FF" w:rsidRPr="00A40C43" w:rsidRDefault="004910FF">
      <w:pPr>
        <w:pStyle w:val="ListParagraph"/>
        <w:numPr>
          <w:ilvl w:val="0"/>
          <w:numId w:val="9"/>
        </w:numPr>
        <w:jc w:val="both"/>
        <w:rPr>
          <w:b/>
        </w:rPr>
      </w:pPr>
      <w:r>
        <w:rPr>
          <w:bCs/>
        </w:rPr>
        <w:t>All K-6 classes embedded the use of the ‘I can…’ statements in the context of inquiry learning, supporting student engagement in curriculum understanding. This is evidenced by the student’s ability to consistently articulate their learning and reference the learning intention and success criteria links in each workshop</w:t>
      </w:r>
    </w:p>
    <w:p w14:paraId="258DCABC" w14:textId="6D58ED4D" w:rsidR="004910FF" w:rsidRPr="00A40C43" w:rsidRDefault="004910FF">
      <w:pPr>
        <w:pStyle w:val="ListParagraph"/>
        <w:numPr>
          <w:ilvl w:val="0"/>
          <w:numId w:val="9"/>
        </w:numPr>
        <w:jc w:val="both"/>
        <w:rPr>
          <w:b/>
        </w:rPr>
      </w:pPr>
      <w:r>
        <w:rPr>
          <w:bCs/>
        </w:rPr>
        <w:t>Teaching teams co-constructed collaboration rubrics on planning days, later implementing this in their classes with students</w:t>
      </w:r>
      <w:r w:rsidR="00466F57">
        <w:rPr>
          <w:bCs/>
        </w:rPr>
        <w:t xml:space="preserve"> to build understanding and reflect on learning</w:t>
      </w:r>
    </w:p>
    <w:p w14:paraId="362E8234" w14:textId="773DE58D" w:rsidR="004910FF" w:rsidRPr="00A40C43" w:rsidRDefault="004910FF">
      <w:pPr>
        <w:pStyle w:val="ListParagraph"/>
        <w:numPr>
          <w:ilvl w:val="0"/>
          <w:numId w:val="9"/>
        </w:numPr>
        <w:jc w:val="both"/>
        <w:rPr>
          <w:b/>
        </w:rPr>
      </w:pPr>
      <w:r>
        <w:rPr>
          <w:bCs/>
        </w:rPr>
        <w:t>The STEAM Festival’s whole school focus on building collaboration, in response to student and teacher noticings around reduced opportunities to experience and grow in this area due to remote learning</w:t>
      </w:r>
      <w:r w:rsidR="00A7194B">
        <w:rPr>
          <w:bCs/>
        </w:rPr>
        <w:t>. The Festival had a focus on the United Nations International Year of Plant Health with a sustainability focus that engaged many parents and community members with learning partnerships across the school to share this expertise through incursions and video calls.</w:t>
      </w:r>
    </w:p>
    <w:p w14:paraId="2A2C9782" w14:textId="268C2412" w:rsidR="004910FF" w:rsidRDefault="004910FF">
      <w:pPr>
        <w:pStyle w:val="ListParagraph"/>
        <w:numPr>
          <w:ilvl w:val="0"/>
          <w:numId w:val="9"/>
        </w:numPr>
        <w:jc w:val="both"/>
        <w:rPr>
          <w:bCs/>
        </w:rPr>
      </w:pPr>
      <w:r w:rsidRPr="00A40C43">
        <w:rPr>
          <w:bCs/>
        </w:rPr>
        <w:t>School Improvement P</w:t>
      </w:r>
      <w:r w:rsidR="000F102A">
        <w:rPr>
          <w:bCs/>
        </w:rPr>
        <w:t>rofessional Learning Community (PLC)</w:t>
      </w:r>
      <w:r w:rsidRPr="00A40C43">
        <w:rPr>
          <w:bCs/>
        </w:rPr>
        <w:t xml:space="preserve"> groups </w:t>
      </w:r>
      <w:r w:rsidR="00466F57">
        <w:rPr>
          <w:bCs/>
        </w:rPr>
        <w:t xml:space="preserve">seeking student support to collaborate in each focus area through targeted forums. </w:t>
      </w:r>
    </w:p>
    <w:p w14:paraId="185A08FA" w14:textId="6C211B50" w:rsidR="00B73FAD" w:rsidRDefault="00B73FAD" w:rsidP="004F0FA3">
      <w:pPr>
        <w:pBdr>
          <w:top w:val="nil"/>
          <w:left w:val="nil"/>
          <w:bottom w:val="nil"/>
          <w:right w:val="nil"/>
          <w:between w:val="nil"/>
        </w:pBdr>
        <w:spacing w:after="0" w:line="276" w:lineRule="auto"/>
        <w:rPr>
          <w:b/>
          <w:color w:val="FF0000"/>
        </w:rPr>
      </w:pPr>
    </w:p>
    <w:p w14:paraId="1B61A14F" w14:textId="55B22242" w:rsidR="00D86E21" w:rsidRDefault="00D86E21" w:rsidP="00D86E21">
      <w:pPr>
        <w:pBdr>
          <w:top w:val="nil"/>
          <w:left w:val="nil"/>
          <w:bottom w:val="nil"/>
          <w:right w:val="nil"/>
          <w:between w:val="nil"/>
        </w:pBdr>
        <w:spacing w:after="0" w:line="276" w:lineRule="auto"/>
        <w:rPr>
          <w:b/>
        </w:rPr>
      </w:pPr>
      <w:r w:rsidRPr="00A40C43">
        <w:rPr>
          <w:b/>
        </w:rPr>
        <w:t>Continue to build staff expertise in teaching using Contemporary Pedagogies.</w:t>
      </w:r>
    </w:p>
    <w:p w14:paraId="75F7BFC3" w14:textId="7180BFB1" w:rsidR="006B30C8" w:rsidRPr="00A40C43" w:rsidRDefault="00931521" w:rsidP="00A40C43">
      <w:pPr>
        <w:pStyle w:val="ListParagraph"/>
        <w:numPr>
          <w:ilvl w:val="0"/>
          <w:numId w:val="57"/>
        </w:numPr>
        <w:pBdr>
          <w:top w:val="nil"/>
          <w:left w:val="nil"/>
          <w:bottom w:val="nil"/>
          <w:right w:val="nil"/>
          <w:between w:val="nil"/>
        </w:pBdr>
        <w:spacing w:after="0" w:line="276" w:lineRule="auto"/>
        <w:rPr>
          <w:bCs/>
        </w:rPr>
      </w:pPr>
      <w:r w:rsidRPr="00A40C43">
        <w:rPr>
          <w:bCs/>
        </w:rPr>
        <w:t xml:space="preserve">Lead teachers and school leaders actively engaged in Contemporary Literacies Collective, </w:t>
      </w:r>
      <w:r>
        <w:rPr>
          <w:bCs/>
        </w:rPr>
        <w:t xml:space="preserve">with a focus on building connections within a group of 6 schools </w:t>
      </w:r>
      <w:r w:rsidR="006B30C8">
        <w:rPr>
          <w:bCs/>
        </w:rPr>
        <w:t xml:space="preserve">in a research team (in conjunction with Sydney and Griffith Universities) </w:t>
      </w:r>
      <w:r>
        <w:rPr>
          <w:bCs/>
        </w:rPr>
        <w:t xml:space="preserve">to build contemporary teaching and learning </w:t>
      </w:r>
      <w:r w:rsidRPr="006B30C8">
        <w:rPr>
          <w:bCs/>
        </w:rPr>
        <w:t>approaches</w:t>
      </w:r>
      <w:r w:rsidR="00993623" w:rsidRPr="006B30C8">
        <w:rPr>
          <w:bCs/>
        </w:rPr>
        <w:t xml:space="preserve">. </w:t>
      </w:r>
      <w:r w:rsidR="000F7640" w:rsidRPr="006B30C8">
        <w:t>The project is an inquiry into how the capacity of all educators can be built to teach the general capabilities under the Australian Curriculum. At Turner, this is aligned with inquiry Learn</w:t>
      </w:r>
      <w:r w:rsidR="006B30C8" w:rsidRPr="00A40C43">
        <w:t>er Assets &amp; Dispositions.</w:t>
      </w:r>
    </w:p>
    <w:p w14:paraId="2DD91725" w14:textId="4986A57E" w:rsidR="00931521" w:rsidRDefault="00993623" w:rsidP="00931521">
      <w:pPr>
        <w:pStyle w:val="ListParagraph"/>
        <w:numPr>
          <w:ilvl w:val="0"/>
          <w:numId w:val="57"/>
        </w:numPr>
        <w:pBdr>
          <w:top w:val="nil"/>
          <w:left w:val="nil"/>
          <w:bottom w:val="nil"/>
          <w:right w:val="nil"/>
          <w:between w:val="nil"/>
        </w:pBdr>
        <w:spacing w:after="0" w:line="276" w:lineRule="auto"/>
        <w:rPr>
          <w:bCs/>
        </w:rPr>
      </w:pPr>
      <w:r>
        <w:rPr>
          <w:bCs/>
        </w:rPr>
        <w:t xml:space="preserve">School Improvement PLC established with a focus on Contemporary Teaching &amp; Learning. Lead teachers leading the development of the Learner Asset toolkit, with feedback from staff, to support teaching and learning approaches. </w:t>
      </w:r>
    </w:p>
    <w:p w14:paraId="7D7FA34F" w14:textId="65D102C2" w:rsidR="00930717" w:rsidRPr="00A40C43" w:rsidRDefault="00D86E21" w:rsidP="00D86E21">
      <w:pPr>
        <w:pStyle w:val="ListParagraph"/>
        <w:numPr>
          <w:ilvl w:val="0"/>
          <w:numId w:val="9"/>
        </w:numPr>
        <w:jc w:val="both"/>
        <w:rPr>
          <w:b/>
        </w:rPr>
      </w:pPr>
      <w:r>
        <w:rPr>
          <w:bCs/>
        </w:rPr>
        <w:t>Personal projects embedded across 5/6 and explored in 3/4 cohorts</w:t>
      </w:r>
      <w:r w:rsidR="00930717">
        <w:rPr>
          <w:bCs/>
        </w:rPr>
        <w:t>, utilising student &amp; teacher collaboration in designing learning as well as creating alternate structures throughout weekly timetables to enable students to access ‘expert’ teachers across the school (beyond their class teacher) to support their learning</w:t>
      </w:r>
      <w:r w:rsidR="003365D7">
        <w:rPr>
          <w:bCs/>
        </w:rPr>
        <w:t>.</w:t>
      </w:r>
    </w:p>
    <w:p w14:paraId="2C1B0D2E" w14:textId="170B70B7" w:rsidR="00D86E21" w:rsidRPr="004A302F" w:rsidRDefault="00D86E21" w:rsidP="00D86E21">
      <w:pPr>
        <w:pStyle w:val="ListParagraph"/>
        <w:numPr>
          <w:ilvl w:val="0"/>
          <w:numId w:val="9"/>
        </w:numPr>
        <w:jc w:val="both"/>
        <w:rPr>
          <w:b/>
        </w:rPr>
      </w:pPr>
      <w:r>
        <w:rPr>
          <w:bCs/>
        </w:rPr>
        <w:t>Project-based learning introduced to all staff and implemented across all 3-6 classes in semester 2 with a focus on students co-constructing their learning through the use of the ‘I can…’ statements</w:t>
      </w:r>
      <w:r w:rsidR="00931521">
        <w:rPr>
          <w:bCs/>
        </w:rPr>
        <w:t xml:space="preserve">. Project-based / Inquiry learning planning template refined and implemented across all teams, with each team having 4 guiding words </w:t>
      </w:r>
      <w:r w:rsidR="00931521">
        <w:rPr>
          <w:bCs/>
        </w:rPr>
        <w:lastRenderedPageBreak/>
        <w:t xml:space="preserve">to drive their inquiries across the year. </w:t>
      </w:r>
      <w:r w:rsidR="00993623">
        <w:rPr>
          <w:bCs/>
        </w:rPr>
        <w:t>Students and teachers described more</w:t>
      </w:r>
      <w:r w:rsidR="00931521">
        <w:rPr>
          <w:bCs/>
        </w:rPr>
        <w:t xml:space="preserve"> flexibility of inquiry thinking and concepts</w:t>
      </w:r>
      <w:r w:rsidR="00993623">
        <w:rPr>
          <w:bCs/>
        </w:rPr>
        <w:t>, increasing opportunities for spontaneous inquiry experiences as well as deepening and revisiting existing knowledge</w:t>
      </w:r>
      <w:r w:rsidR="003365D7">
        <w:rPr>
          <w:bCs/>
        </w:rPr>
        <w:t>.</w:t>
      </w:r>
    </w:p>
    <w:p w14:paraId="24D55A8E" w14:textId="310EC0B0" w:rsidR="00D86E21" w:rsidRDefault="00D86E21" w:rsidP="00D86E21">
      <w:pPr>
        <w:pStyle w:val="ListParagraph"/>
        <w:numPr>
          <w:ilvl w:val="0"/>
          <w:numId w:val="9"/>
        </w:numPr>
        <w:jc w:val="both"/>
        <w:rPr>
          <w:bCs/>
        </w:rPr>
      </w:pPr>
      <w:r>
        <w:rPr>
          <w:bCs/>
        </w:rPr>
        <w:t>Self-directed learning implemented across all 5/6 classes, with student feedback in term 4 informing implementation across 3-6 classes in 2021 as well as increased collaborative opportunities across 3/4 and 5/6</w:t>
      </w:r>
    </w:p>
    <w:p w14:paraId="1E02E087" w14:textId="2CEFC9D0" w:rsidR="00930717" w:rsidRDefault="00930717" w:rsidP="00D86E21">
      <w:pPr>
        <w:pStyle w:val="ListParagraph"/>
        <w:numPr>
          <w:ilvl w:val="0"/>
          <w:numId w:val="9"/>
        </w:numPr>
        <w:jc w:val="both"/>
        <w:rPr>
          <w:bCs/>
        </w:rPr>
      </w:pPr>
      <w:r>
        <w:rPr>
          <w:bCs/>
        </w:rPr>
        <w:t>Inquiries in Preschool and Kindergarten extended across the year, embedding flexible opportunities to respond to spontaneous inquiries</w:t>
      </w:r>
      <w:r w:rsidR="003365D7">
        <w:rPr>
          <w:bCs/>
        </w:rPr>
        <w:t>.</w:t>
      </w:r>
    </w:p>
    <w:p w14:paraId="006C74C1" w14:textId="3243F750" w:rsidR="00930717" w:rsidRDefault="00930717" w:rsidP="00D86E21">
      <w:pPr>
        <w:pStyle w:val="ListParagraph"/>
        <w:numPr>
          <w:ilvl w:val="0"/>
          <w:numId w:val="9"/>
        </w:numPr>
        <w:jc w:val="both"/>
        <w:rPr>
          <w:bCs/>
        </w:rPr>
      </w:pPr>
      <w:r>
        <w:rPr>
          <w:bCs/>
        </w:rPr>
        <w:t>Inquiry approach strengthened in 1/2 classrooms, with student voice highlighted in learning and increased student ability to reflect on and articulate their learning using the ‘I can…’ statements</w:t>
      </w:r>
    </w:p>
    <w:p w14:paraId="74737773" w14:textId="061E0649" w:rsidR="00993623" w:rsidRDefault="00993623" w:rsidP="00D86E21">
      <w:pPr>
        <w:pStyle w:val="ListParagraph"/>
        <w:numPr>
          <w:ilvl w:val="0"/>
          <w:numId w:val="9"/>
        </w:numPr>
        <w:jc w:val="both"/>
        <w:rPr>
          <w:bCs/>
        </w:rPr>
      </w:pPr>
      <w:r>
        <w:rPr>
          <w:bCs/>
        </w:rPr>
        <w:t xml:space="preserve">Digital and Design Technologies scoped </w:t>
      </w:r>
      <w:r w:rsidR="00AF0853">
        <w:rPr>
          <w:bCs/>
        </w:rPr>
        <w:t>in teams for the 2-year teaching and learning cycle with a view to aligning this across all teams to build consistency</w:t>
      </w:r>
      <w:r w:rsidR="003365D7">
        <w:rPr>
          <w:bCs/>
        </w:rPr>
        <w:t>.</w:t>
      </w:r>
    </w:p>
    <w:p w14:paraId="3E122BD2" w14:textId="48E3CA34" w:rsidR="00931521" w:rsidRPr="006E0992" w:rsidRDefault="00931521" w:rsidP="00A40C43">
      <w:pPr>
        <w:pStyle w:val="ListParagraph"/>
        <w:numPr>
          <w:ilvl w:val="0"/>
          <w:numId w:val="9"/>
        </w:numPr>
        <w:jc w:val="both"/>
        <w:rPr>
          <w:bCs/>
        </w:rPr>
      </w:pPr>
      <w:r>
        <w:rPr>
          <w:bCs/>
        </w:rPr>
        <w:t>Strengthening Cultural Integrity focus in teaching and learning experiences authentically</w:t>
      </w:r>
      <w:r w:rsidR="00993623">
        <w:rPr>
          <w:bCs/>
        </w:rPr>
        <w:t xml:space="preserve"> with support from the Cultural Integrity toolkit</w:t>
      </w:r>
      <w:r w:rsidR="003365D7">
        <w:rPr>
          <w:bCs/>
        </w:rPr>
        <w:t>.</w:t>
      </w:r>
    </w:p>
    <w:p w14:paraId="10B4C9E1" w14:textId="77777777" w:rsidR="00D86E21" w:rsidRDefault="00D86E21" w:rsidP="00D86E21">
      <w:pPr>
        <w:pStyle w:val="NoSpacing"/>
        <w:rPr>
          <w:rFonts w:ascii="Arial" w:hAnsi="Arial" w:cs="Arial"/>
          <w:b/>
          <w:bCs/>
          <w:i/>
          <w:iCs/>
          <w:color w:val="000000"/>
          <w:shd w:val="clear" w:color="auto" w:fill="FFFF00"/>
        </w:rPr>
      </w:pPr>
    </w:p>
    <w:p w14:paraId="04ACF262" w14:textId="4CDDB68D" w:rsidR="00D61051" w:rsidRDefault="00D61051" w:rsidP="00D61051">
      <w:pPr>
        <w:pBdr>
          <w:top w:val="nil"/>
          <w:left w:val="nil"/>
          <w:bottom w:val="nil"/>
          <w:right w:val="nil"/>
          <w:between w:val="nil"/>
        </w:pBdr>
        <w:spacing w:after="0" w:line="276" w:lineRule="auto"/>
        <w:rPr>
          <w:b/>
        </w:rPr>
      </w:pPr>
      <w:r w:rsidRPr="00A40C43">
        <w:rPr>
          <w:b/>
        </w:rPr>
        <w:t>Further increase alignment with school management and learning environments</w:t>
      </w:r>
      <w:r>
        <w:rPr>
          <w:b/>
        </w:rPr>
        <w:t>.</w:t>
      </w:r>
    </w:p>
    <w:p w14:paraId="52BC211D" w14:textId="1E63AC76" w:rsidR="00365A4C" w:rsidRPr="00365A4C" w:rsidRDefault="00365A4C" w:rsidP="00365A4C">
      <w:pPr>
        <w:pStyle w:val="ListParagraph"/>
        <w:numPr>
          <w:ilvl w:val="0"/>
          <w:numId w:val="58"/>
        </w:numPr>
        <w:pBdr>
          <w:top w:val="nil"/>
          <w:left w:val="nil"/>
          <w:bottom w:val="nil"/>
          <w:right w:val="nil"/>
          <w:between w:val="nil"/>
        </w:pBdr>
        <w:spacing w:after="0" w:line="276" w:lineRule="auto"/>
        <w:jc w:val="both"/>
        <w:rPr>
          <w:b/>
        </w:rPr>
      </w:pPr>
      <w:r w:rsidRPr="004A302F">
        <w:t>The Cultural Integrity team, students and P&amp;C, in collaboration with Ngunnawal elder Wally Bell, have designed, achieved financial support through a successful grant application and implemented the first stage of Turner’s new Cultural Integrity garden</w:t>
      </w:r>
      <w:r w:rsidR="003365D7">
        <w:t>.</w:t>
      </w:r>
    </w:p>
    <w:p w14:paraId="2DE2523E" w14:textId="687D632B" w:rsidR="00D61051" w:rsidRPr="00A40C43" w:rsidRDefault="00D61051" w:rsidP="00D61051">
      <w:pPr>
        <w:pStyle w:val="ListParagraph"/>
        <w:numPr>
          <w:ilvl w:val="0"/>
          <w:numId w:val="58"/>
        </w:numPr>
        <w:pBdr>
          <w:top w:val="nil"/>
          <w:left w:val="nil"/>
          <w:bottom w:val="nil"/>
          <w:right w:val="nil"/>
          <w:between w:val="nil"/>
        </w:pBdr>
        <w:spacing w:after="0" w:line="276" w:lineRule="auto"/>
        <w:jc w:val="both"/>
      </w:pPr>
      <w:r w:rsidRPr="00A40C43">
        <w:t xml:space="preserve">Turner has completed installations of air conditioners across </w:t>
      </w:r>
      <w:r w:rsidR="00365A4C" w:rsidRPr="00A40C43">
        <w:t xml:space="preserve">all classroom spaces. </w:t>
      </w:r>
    </w:p>
    <w:p w14:paraId="5E79D410" w14:textId="1765BDAF" w:rsidR="00D61051" w:rsidRDefault="00D61051" w:rsidP="00D61051">
      <w:pPr>
        <w:pStyle w:val="ListParagraph"/>
        <w:numPr>
          <w:ilvl w:val="0"/>
          <w:numId w:val="58"/>
        </w:numPr>
        <w:pBdr>
          <w:top w:val="nil"/>
          <w:left w:val="nil"/>
          <w:bottom w:val="nil"/>
          <w:right w:val="nil"/>
          <w:between w:val="nil"/>
        </w:pBdr>
        <w:spacing w:after="0" w:line="276" w:lineRule="auto"/>
        <w:jc w:val="both"/>
      </w:pPr>
      <w:r w:rsidRPr="00A40C43">
        <w:t xml:space="preserve">The technology committee has </w:t>
      </w:r>
      <w:r w:rsidR="00365A4C" w:rsidRPr="00A40C43">
        <w:t>liaised with the Education Directorate and managed devices to ensure that all students were able to access learning electronically during the remote learning period. Since returning to in-school learning, staff have managed the student devices to target student learning needs</w:t>
      </w:r>
      <w:r w:rsidR="00365A4C">
        <w:t xml:space="preserve">. </w:t>
      </w:r>
    </w:p>
    <w:p w14:paraId="02C944DB" w14:textId="70DBF87E" w:rsidR="00D61051" w:rsidRDefault="00B756EE" w:rsidP="00D61051">
      <w:pPr>
        <w:pStyle w:val="ListParagraph"/>
        <w:numPr>
          <w:ilvl w:val="0"/>
          <w:numId w:val="58"/>
        </w:numPr>
        <w:pBdr>
          <w:top w:val="nil"/>
          <w:left w:val="nil"/>
          <w:bottom w:val="nil"/>
          <w:right w:val="nil"/>
          <w:between w:val="nil"/>
        </w:pBdr>
        <w:spacing w:after="0" w:line="276" w:lineRule="auto"/>
        <w:jc w:val="both"/>
      </w:pPr>
      <w:r w:rsidRPr="00A40C43">
        <w:t>Students and teachers have begun utilising the</w:t>
      </w:r>
      <w:r w:rsidR="00D61051" w:rsidRPr="00A40C43">
        <w:t xml:space="preserve"> podcast and recording studio</w:t>
      </w:r>
      <w:r w:rsidRPr="00A40C43">
        <w:t>, with students accessing the space to record podcasts, original songs and persuasive texts in line with class learning and personal projects</w:t>
      </w:r>
      <w:r>
        <w:t>. A lead ‘tech team’ of 5/6 students has been established and trained to support other students to create content</w:t>
      </w:r>
      <w:r w:rsidR="003365D7">
        <w:t>.</w:t>
      </w:r>
    </w:p>
    <w:p w14:paraId="7F8088FC" w14:textId="77777777" w:rsidR="00E57C6D" w:rsidRDefault="00E57C6D" w:rsidP="00A95299">
      <w:pPr>
        <w:pBdr>
          <w:top w:val="nil"/>
          <w:left w:val="nil"/>
          <w:bottom w:val="nil"/>
          <w:right w:val="nil"/>
          <w:between w:val="nil"/>
        </w:pBdr>
        <w:spacing w:after="0" w:line="276" w:lineRule="auto"/>
        <w:rPr>
          <w:b/>
          <w:color w:val="FF0000"/>
        </w:rPr>
      </w:pPr>
    </w:p>
    <w:p w14:paraId="349E6A9D" w14:textId="5D3AAAA7" w:rsidR="00E57C6D" w:rsidRDefault="00E57C6D" w:rsidP="00E57C6D">
      <w:pPr>
        <w:pBdr>
          <w:top w:val="nil"/>
          <w:left w:val="nil"/>
          <w:bottom w:val="nil"/>
          <w:right w:val="nil"/>
          <w:between w:val="nil"/>
        </w:pBdr>
        <w:spacing w:after="0" w:line="276" w:lineRule="auto"/>
        <w:rPr>
          <w:b/>
        </w:rPr>
      </w:pPr>
      <w:r w:rsidRPr="00A40C43">
        <w:rPr>
          <w:b/>
        </w:rPr>
        <w:t>Develop effective monitoring and evaluation of learning dispositions and skills</w:t>
      </w:r>
      <w:r>
        <w:rPr>
          <w:b/>
        </w:rPr>
        <w:t>.</w:t>
      </w:r>
    </w:p>
    <w:p w14:paraId="5122EB1E" w14:textId="6653838F" w:rsidR="00E57C6D" w:rsidRPr="004A302F" w:rsidRDefault="00E57C6D" w:rsidP="00E57C6D">
      <w:pPr>
        <w:pStyle w:val="ListParagraph"/>
        <w:numPr>
          <w:ilvl w:val="0"/>
          <w:numId w:val="62"/>
        </w:numPr>
        <w:jc w:val="both"/>
        <w:rPr>
          <w:b/>
        </w:rPr>
      </w:pPr>
      <w:r>
        <w:rPr>
          <w:bCs/>
        </w:rPr>
        <w:t>General capabilities focus (Learner Assets) have been embedded into whole school and team curriculum planning documents, with teams collaboratively planning for intentional targeted teaching and learning experiences to provide opportunities to experience and grow in these areas. Ongoing focus to ensure learner assets are core to all teaching and learning experiences consistently across all K-6 classes</w:t>
      </w:r>
      <w:r w:rsidR="00771E4F">
        <w:rPr>
          <w:bCs/>
        </w:rPr>
        <w:t>.</w:t>
      </w:r>
    </w:p>
    <w:p w14:paraId="05FA0DC7" w14:textId="56650037" w:rsidR="000F7640" w:rsidRPr="00A40C43" w:rsidRDefault="000F7640" w:rsidP="000F7640">
      <w:pPr>
        <w:pStyle w:val="ListParagraph"/>
        <w:numPr>
          <w:ilvl w:val="0"/>
          <w:numId w:val="62"/>
        </w:numPr>
        <w:jc w:val="both"/>
        <w:rPr>
          <w:b/>
        </w:rPr>
      </w:pPr>
      <w:r>
        <w:rPr>
          <w:bCs/>
        </w:rPr>
        <w:t xml:space="preserve">Development and trial implementation of </w:t>
      </w:r>
      <w:r w:rsidR="00771E4F">
        <w:rPr>
          <w:bCs/>
        </w:rPr>
        <w:t>L</w:t>
      </w:r>
      <w:r>
        <w:rPr>
          <w:bCs/>
        </w:rPr>
        <w:t xml:space="preserve">earner </w:t>
      </w:r>
      <w:r w:rsidR="00771E4F">
        <w:rPr>
          <w:bCs/>
        </w:rPr>
        <w:t>A</w:t>
      </w:r>
      <w:r>
        <w:rPr>
          <w:bCs/>
        </w:rPr>
        <w:t>sset tracking document aligned with the reporting requirements of the Personal &amp; Social Capabilities (collecting growth in learner assets) and the co-construction of collaboration rubrics in some classes across teams. Use of SOLO Taxonomy to monitor and evaluate growth in learner asset areas, both within the rubrics and student self-reflections</w:t>
      </w:r>
      <w:r w:rsidR="00771E4F">
        <w:rPr>
          <w:bCs/>
        </w:rPr>
        <w:t>.</w:t>
      </w:r>
    </w:p>
    <w:p w14:paraId="0D66B841" w14:textId="4B0FAA6E" w:rsidR="000F7640" w:rsidRPr="00A40C43" w:rsidRDefault="000F7640" w:rsidP="000F7640">
      <w:pPr>
        <w:pStyle w:val="ListParagraph"/>
        <w:numPr>
          <w:ilvl w:val="0"/>
          <w:numId w:val="62"/>
        </w:numPr>
        <w:jc w:val="both"/>
        <w:rPr>
          <w:b/>
        </w:rPr>
      </w:pPr>
      <w:r>
        <w:rPr>
          <w:bCs/>
        </w:rPr>
        <w:t xml:space="preserve">Teachers embedding practice of explicitly teaching </w:t>
      </w:r>
      <w:r w:rsidR="003365D7">
        <w:rPr>
          <w:bCs/>
        </w:rPr>
        <w:t>L</w:t>
      </w:r>
      <w:r>
        <w:rPr>
          <w:bCs/>
        </w:rPr>
        <w:t xml:space="preserve">earner </w:t>
      </w:r>
      <w:r w:rsidR="003365D7">
        <w:rPr>
          <w:bCs/>
        </w:rPr>
        <w:t>A</w:t>
      </w:r>
      <w:r>
        <w:rPr>
          <w:bCs/>
        </w:rPr>
        <w:t>ssets and providing opportunities for students to build these, with teacher focus shifting to capture formative assessment in this area and using this to support conferring for learning with students</w:t>
      </w:r>
      <w:r w:rsidR="00771E4F">
        <w:rPr>
          <w:bCs/>
        </w:rPr>
        <w:t>.</w:t>
      </w:r>
    </w:p>
    <w:p w14:paraId="5694E7B0" w14:textId="74D47BD6" w:rsidR="000F7640" w:rsidRPr="004A302F" w:rsidRDefault="000F7640" w:rsidP="000F7640">
      <w:pPr>
        <w:pStyle w:val="ListParagraph"/>
        <w:numPr>
          <w:ilvl w:val="0"/>
          <w:numId w:val="62"/>
        </w:numPr>
        <w:jc w:val="both"/>
        <w:rPr>
          <w:b/>
        </w:rPr>
      </w:pPr>
      <w:r>
        <w:rPr>
          <w:bCs/>
        </w:rPr>
        <w:t xml:space="preserve">Embedded use of the language of the </w:t>
      </w:r>
      <w:r w:rsidR="00771E4F">
        <w:rPr>
          <w:bCs/>
        </w:rPr>
        <w:t>L</w:t>
      </w:r>
      <w:r>
        <w:rPr>
          <w:bCs/>
        </w:rPr>
        <w:t xml:space="preserve">earner </w:t>
      </w:r>
      <w:r w:rsidR="00771E4F">
        <w:rPr>
          <w:bCs/>
        </w:rPr>
        <w:t>A</w:t>
      </w:r>
      <w:r>
        <w:rPr>
          <w:bCs/>
        </w:rPr>
        <w:t xml:space="preserve">ssets and use of split-screen </w:t>
      </w:r>
      <w:r w:rsidR="00771E4F">
        <w:rPr>
          <w:bCs/>
        </w:rPr>
        <w:t>L</w:t>
      </w:r>
      <w:r>
        <w:rPr>
          <w:bCs/>
        </w:rPr>
        <w:t xml:space="preserve">earning </w:t>
      </w:r>
      <w:r w:rsidR="00771E4F">
        <w:rPr>
          <w:bCs/>
        </w:rPr>
        <w:t>I</w:t>
      </w:r>
      <w:r>
        <w:rPr>
          <w:bCs/>
        </w:rPr>
        <w:t>ntention model. Student goal setting and reflections for learner assets consistently using SOLO Taxonomy as a tool in all K-6 classrooms</w:t>
      </w:r>
      <w:r w:rsidR="006B30C8">
        <w:rPr>
          <w:bCs/>
        </w:rPr>
        <w:t>, with students able to articulate their learner asset goals and next steps for learning.</w:t>
      </w:r>
    </w:p>
    <w:p w14:paraId="64EF2DAF" w14:textId="330A2BBB" w:rsidR="000F7640" w:rsidRPr="004A302F" w:rsidRDefault="000F7640" w:rsidP="000F7640">
      <w:pPr>
        <w:pStyle w:val="ListParagraph"/>
        <w:numPr>
          <w:ilvl w:val="0"/>
          <w:numId w:val="62"/>
        </w:numPr>
        <w:jc w:val="both"/>
        <w:rPr>
          <w:b/>
        </w:rPr>
      </w:pPr>
      <w:r>
        <w:rPr>
          <w:bCs/>
        </w:rPr>
        <w:t>Moderation sessions held in team and staff meetings to build consistency of judgement for formal reporting processes within and across teaching teams</w:t>
      </w:r>
      <w:r w:rsidR="00771E4F">
        <w:rPr>
          <w:bCs/>
        </w:rPr>
        <w:t>.</w:t>
      </w:r>
    </w:p>
    <w:p w14:paraId="632560C7" w14:textId="77777777" w:rsidR="00E57C6D" w:rsidRPr="00A40C43" w:rsidRDefault="00E57C6D" w:rsidP="00A40C43">
      <w:pPr>
        <w:pStyle w:val="ListParagraph"/>
        <w:pBdr>
          <w:top w:val="nil"/>
          <w:left w:val="nil"/>
          <w:bottom w:val="nil"/>
          <w:right w:val="nil"/>
          <w:between w:val="nil"/>
        </w:pBdr>
        <w:spacing w:after="0" w:line="276" w:lineRule="auto"/>
        <w:rPr>
          <w:b/>
        </w:rPr>
      </w:pPr>
    </w:p>
    <w:p w14:paraId="01636A09" w14:textId="45F2B308" w:rsidR="00AF0853" w:rsidRPr="00A40C43" w:rsidRDefault="00AF0853" w:rsidP="00A40C43">
      <w:pPr>
        <w:pBdr>
          <w:top w:val="nil"/>
          <w:left w:val="nil"/>
          <w:bottom w:val="nil"/>
          <w:right w:val="nil"/>
          <w:between w:val="nil"/>
        </w:pBdr>
        <w:spacing w:after="0" w:line="276" w:lineRule="auto"/>
        <w:ind w:left="360"/>
        <w:jc w:val="both"/>
        <w:rPr>
          <w:color w:val="FF0000"/>
        </w:rPr>
      </w:pPr>
    </w:p>
    <w:p w14:paraId="1DC77B59" w14:textId="17D8C900" w:rsidR="001A19EB" w:rsidRDefault="001A19EB" w:rsidP="001A19EB">
      <w:pPr>
        <w:pBdr>
          <w:top w:val="nil"/>
          <w:left w:val="nil"/>
          <w:bottom w:val="nil"/>
          <w:right w:val="nil"/>
          <w:between w:val="nil"/>
        </w:pBdr>
        <w:spacing w:after="0" w:line="276" w:lineRule="auto"/>
        <w:rPr>
          <w:b/>
          <w:color w:val="FF0000"/>
        </w:rPr>
      </w:pPr>
      <w:r w:rsidRPr="00A40C43">
        <w:rPr>
          <w:b/>
        </w:rPr>
        <w:t>Continue the implementation of the Turner professional learning model</w:t>
      </w:r>
      <w:r>
        <w:rPr>
          <w:b/>
        </w:rPr>
        <w:t>.</w:t>
      </w:r>
    </w:p>
    <w:p w14:paraId="3001CA88" w14:textId="3E0027A8" w:rsidR="00D01F82" w:rsidRPr="00A40C43" w:rsidRDefault="001A19EB" w:rsidP="001A19EB">
      <w:pPr>
        <w:pStyle w:val="ListParagraph"/>
        <w:numPr>
          <w:ilvl w:val="0"/>
          <w:numId w:val="66"/>
        </w:numPr>
        <w:pBdr>
          <w:top w:val="nil"/>
          <w:left w:val="nil"/>
          <w:bottom w:val="nil"/>
          <w:right w:val="nil"/>
          <w:between w:val="nil"/>
        </w:pBdr>
        <w:spacing w:after="0" w:line="276" w:lineRule="auto"/>
      </w:pPr>
      <w:r w:rsidRPr="00D01F82">
        <w:lastRenderedPageBreak/>
        <w:t xml:space="preserve">Leadership team </w:t>
      </w:r>
      <w:r w:rsidR="00ED6819" w:rsidRPr="00A40C43">
        <w:t>participated in the Leadership Symposium series</w:t>
      </w:r>
      <w:r w:rsidR="00D01F82" w:rsidRPr="00A40C43">
        <w:t xml:space="preserve"> throughout the year, supported by the ‘</w:t>
      </w:r>
      <w:r w:rsidR="00482FB4">
        <w:t>E</w:t>
      </w:r>
      <w:r w:rsidR="00D01F82" w:rsidRPr="00A40C43">
        <w:t>nabling Pedagogies’ site developed to support school leaders build teacher capacity</w:t>
      </w:r>
      <w:r w:rsidR="00482FB4">
        <w:t xml:space="preserve">. All school leaders engaged with Lyn </w:t>
      </w:r>
      <w:proofErr w:type="spellStart"/>
      <w:r w:rsidR="00482FB4">
        <w:t>Sharratt’s</w:t>
      </w:r>
      <w:proofErr w:type="spellEnd"/>
      <w:r w:rsidR="00482FB4">
        <w:t xml:space="preserve"> work around ‘Clarity’ as a driving feature of school improvement. </w:t>
      </w:r>
    </w:p>
    <w:p w14:paraId="7DD63E76" w14:textId="723C7A13" w:rsidR="00D01F82" w:rsidRPr="00A40C43" w:rsidRDefault="00D01F82" w:rsidP="001A19EB">
      <w:pPr>
        <w:pStyle w:val="ListParagraph"/>
        <w:numPr>
          <w:ilvl w:val="0"/>
          <w:numId w:val="62"/>
        </w:numPr>
        <w:pBdr>
          <w:top w:val="nil"/>
          <w:left w:val="nil"/>
          <w:bottom w:val="nil"/>
          <w:right w:val="nil"/>
          <w:between w:val="nil"/>
        </w:pBdr>
        <w:spacing w:after="0" w:line="276" w:lineRule="auto"/>
        <w:jc w:val="both"/>
      </w:pPr>
      <w:r w:rsidRPr="00A40C43">
        <w:t xml:space="preserve">The structure of the school improvement team this year shifted to smaller PLC groups, with teachers as the leaders and the executive as mentors. </w:t>
      </w:r>
      <w:r w:rsidR="009918B6">
        <w:t xml:space="preserve">The PLCs established 3 main focus areas aligning with school improvement priorities: Curriculum, Contemporary Pedagogies &amp; Cultural Integrity. </w:t>
      </w:r>
      <w:r w:rsidRPr="00A40C43">
        <w:t xml:space="preserve">This saw staff having more opportunities to lead and explore in areas of their passion and expertise, increasing engagement. As a result of this, the school improvement team increased substantially in size (tripling </w:t>
      </w:r>
      <w:r w:rsidR="009918B6" w:rsidRPr="00A40C43">
        <w:t xml:space="preserve">regular staff attendance and engagement). </w:t>
      </w:r>
      <w:r w:rsidR="009918B6">
        <w:t xml:space="preserve">School improvement PLCs lead professional learning across the year in staff meetings, team meetings and team planning days to support building of teacher capacity and reduction of variance. </w:t>
      </w:r>
    </w:p>
    <w:p w14:paraId="4877C5B9" w14:textId="387F5144" w:rsidR="001A19EB" w:rsidRDefault="001A19EB" w:rsidP="001A19EB">
      <w:pPr>
        <w:pStyle w:val="ListParagraph"/>
        <w:numPr>
          <w:ilvl w:val="0"/>
          <w:numId w:val="62"/>
        </w:numPr>
        <w:pBdr>
          <w:top w:val="nil"/>
          <w:left w:val="nil"/>
          <w:bottom w:val="nil"/>
          <w:right w:val="nil"/>
          <w:between w:val="nil"/>
        </w:pBdr>
        <w:spacing w:after="0" w:line="276" w:lineRule="auto"/>
        <w:jc w:val="both"/>
      </w:pPr>
      <w:r w:rsidRPr="00A40C43">
        <w:t xml:space="preserve">All teachers set their own learning goals as part of their professional develop plans </w:t>
      </w:r>
      <w:r w:rsidR="00D01F82" w:rsidRPr="00A40C43">
        <w:t xml:space="preserve">(PDP) </w:t>
      </w:r>
      <w:r w:rsidRPr="00A40C43">
        <w:t>and the Professional Learning Communities</w:t>
      </w:r>
      <w:r w:rsidR="00D01F82" w:rsidRPr="00A40C43">
        <w:t>, in response to their multiple sources of data information and reflections about their own practice and pedagogical knowledge</w:t>
      </w:r>
      <w:r w:rsidR="00E44269">
        <w:t>. All staff shared their learning inquiry journeys early in term 4 at the Action Learning Fair, highlighting impact on student learning using multiple sources of data. The development of Turner’s Pedagogical Framework and archiving of resources will continue to support the capturing of in-school expertise for high-impact teaching strategies.</w:t>
      </w:r>
    </w:p>
    <w:p w14:paraId="53358B12" w14:textId="26E45ADA" w:rsidR="00256CAC" w:rsidRPr="00A40C43" w:rsidRDefault="00256CAC" w:rsidP="00A40C43">
      <w:pPr>
        <w:pStyle w:val="ListParagraph"/>
        <w:numPr>
          <w:ilvl w:val="0"/>
          <w:numId w:val="62"/>
        </w:numPr>
        <w:jc w:val="both"/>
        <w:rPr>
          <w:b/>
        </w:rPr>
      </w:pPr>
      <w:r>
        <w:rPr>
          <w:bCs/>
        </w:rPr>
        <w:t xml:space="preserve">Turner’s Professional Learning Framework was developed and shared with staff, building teacher metacognition of their own learning processes and the structures and processes embedded at Turner to build </w:t>
      </w:r>
      <w:r w:rsidRPr="00256CAC">
        <w:rPr>
          <w:bCs/>
        </w:rPr>
        <w:t xml:space="preserve">their capacity. </w:t>
      </w:r>
    </w:p>
    <w:p w14:paraId="4CC52A45" w14:textId="391A5904" w:rsidR="001A19EB" w:rsidRDefault="001A19EB" w:rsidP="001A19EB">
      <w:pPr>
        <w:pStyle w:val="ListParagraph"/>
        <w:numPr>
          <w:ilvl w:val="0"/>
          <w:numId w:val="62"/>
        </w:numPr>
        <w:pBdr>
          <w:top w:val="nil"/>
          <w:left w:val="nil"/>
          <w:bottom w:val="nil"/>
          <w:right w:val="nil"/>
          <w:between w:val="nil"/>
        </w:pBdr>
        <w:spacing w:after="0" w:line="276" w:lineRule="auto"/>
        <w:jc w:val="both"/>
      </w:pPr>
      <w:r w:rsidRPr="00A40C43">
        <w:t xml:space="preserve">Turner </w:t>
      </w:r>
      <w:r w:rsidR="00256CAC" w:rsidRPr="00A40C43">
        <w:t>continues to prioritise and embed staff as inquirers in their own learning, strengthening</w:t>
      </w:r>
      <w:r w:rsidRPr="00A40C43">
        <w:t xml:space="preserve"> the circle of expertise to include experts in the wider educational community. </w:t>
      </w:r>
      <w:r w:rsidR="00256CAC" w:rsidRPr="00A40C43">
        <w:t>Rigorous,</w:t>
      </w:r>
      <w:r w:rsidRPr="00A40C43">
        <w:t xml:space="preserve"> ongoing relationships </w:t>
      </w:r>
      <w:r w:rsidR="00256CAC" w:rsidRPr="00A40C43">
        <w:t xml:space="preserve">continue </w:t>
      </w:r>
      <w:r w:rsidRPr="00A40C43">
        <w:t>with local and national key influencers in learning such as Kath Murdoch, Chris</w:t>
      </w:r>
      <w:r w:rsidR="00256CAC" w:rsidRPr="00A40C43">
        <w:t>tine</w:t>
      </w:r>
      <w:r w:rsidRPr="00A40C43">
        <w:t xml:space="preserve"> </w:t>
      </w:r>
      <w:proofErr w:type="spellStart"/>
      <w:r w:rsidRPr="00A40C43">
        <w:t>Topfer</w:t>
      </w:r>
      <w:proofErr w:type="spellEnd"/>
      <w:r w:rsidR="00256CAC" w:rsidRPr="00A40C43">
        <w:t>, Harry Kanasa, Peter Hutton (from the Future Schools Alliance)</w:t>
      </w:r>
      <w:r w:rsidRPr="00A40C43">
        <w:t xml:space="preserve"> and Sam Hardwicke. This year </w:t>
      </w:r>
      <w:r w:rsidR="00256CAC" w:rsidRPr="00A40C43">
        <w:t>we have strengthened our</w:t>
      </w:r>
      <w:r w:rsidRPr="00A40C43">
        <w:t xml:space="preserve"> critical friendships </w:t>
      </w:r>
      <w:r w:rsidR="00256CAC" w:rsidRPr="00A40C43">
        <w:t>with</w:t>
      </w:r>
      <w:r w:rsidRPr="00A40C43">
        <w:t xml:space="preserve"> Ben Wilson and David Spillman from </w:t>
      </w:r>
      <w:proofErr w:type="spellStart"/>
      <w:r w:rsidRPr="00A40C43">
        <w:t>Murrimatters</w:t>
      </w:r>
      <w:proofErr w:type="spellEnd"/>
      <w:r w:rsidRPr="00A40C43">
        <w:t xml:space="preserve"> and University of Canberra to </w:t>
      </w:r>
      <w:r w:rsidR="00256CAC" w:rsidRPr="00A40C43">
        <w:t>support</w:t>
      </w:r>
      <w:r w:rsidRPr="00A40C43">
        <w:t xml:space="preserve"> our cultural integrity journey. </w:t>
      </w:r>
    </w:p>
    <w:p w14:paraId="1D2FC568" w14:textId="73458E3C" w:rsidR="00256CAC" w:rsidRDefault="00256CAC" w:rsidP="00256CAC">
      <w:pPr>
        <w:pStyle w:val="ListParagraph"/>
        <w:numPr>
          <w:ilvl w:val="0"/>
          <w:numId w:val="62"/>
        </w:numPr>
        <w:pBdr>
          <w:top w:val="nil"/>
          <w:left w:val="nil"/>
          <w:bottom w:val="nil"/>
          <w:right w:val="nil"/>
          <w:between w:val="nil"/>
        </w:pBdr>
        <w:spacing w:after="0" w:line="276" w:lineRule="auto"/>
        <w:jc w:val="both"/>
      </w:pPr>
      <w:r>
        <w:t xml:space="preserve">Staff participated in </w:t>
      </w:r>
      <w:r w:rsidRPr="004A302F">
        <w:t>5 professional learning sessions electronically to build their understanding and expertise to utilise technology (practically and pedagogically) to meet student learning needs</w:t>
      </w:r>
      <w:r>
        <w:t xml:space="preserve">. </w:t>
      </w:r>
      <w:r w:rsidR="00601102">
        <w:t>On return to the classroom, t</w:t>
      </w:r>
      <w:r>
        <w:t xml:space="preserve">his </w:t>
      </w:r>
      <w:r w:rsidR="00601102">
        <w:t xml:space="preserve">has </w:t>
      </w:r>
      <w:r>
        <w:t>enhanced staff ability to utilise technology as a learning tool to support personalised student needs and to increase collaboration (both with students and staff)</w:t>
      </w:r>
      <w:r w:rsidR="00601102">
        <w:t xml:space="preserve">. </w:t>
      </w:r>
    </w:p>
    <w:p w14:paraId="4E6E7EF2" w14:textId="1892E363" w:rsidR="00601102" w:rsidRDefault="00601102" w:rsidP="00256CAC">
      <w:pPr>
        <w:pStyle w:val="ListParagraph"/>
        <w:numPr>
          <w:ilvl w:val="0"/>
          <w:numId w:val="62"/>
        </w:numPr>
        <w:pBdr>
          <w:top w:val="nil"/>
          <w:left w:val="nil"/>
          <w:bottom w:val="nil"/>
          <w:right w:val="nil"/>
          <w:between w:val="nil"/>
        </w:pBdr>
        <w:spacing w:after="0" w:line="276" w:lineRule="auto"/>
        <w:jc w:val="both"/>
      </w:pPr>
      <w:r>
        <w:t xml:space="preserve">The coaching team refined the Coaching toolkit to support ongoing collaboration and coaching expertise &amp; knowledge. A mentoring toolkit was also established and refined to support greater clarity for staff in this role to support new educators and will form the basis of professional learning early in 2021. </w:t>
      </w:r>
    </w:p>
    <w:p w14:paraId="562A13B2" w14:textId="60DEA9B1" w:rsidR="00601102" w:rsidRPr="004A302F" w:rsidRDefault="00601102" w:rsidP="00256CAC">
      <w:pPr>
        <w:pStyle w:val="ListParagraph"/>
        <w:numPr>
          <w:ilvl w:val="0"/>
          <w:numId w:val="62"/>
        </w:numPr>
        <w:pBdr>
          <w:top w:val="nil"/>
          <w:left w:val="nil"/>
          <w:bottom w:val="nil"/>
          <w:right w:val="nil"/>
          <w:between w:val="nil"/>
        </w:pBdr>
        <w:spacing w:after="0" w:line="276" w:lineRule="auto"/>
        <w:jc w:val="both"/>
      </w:pPr>
      <w:r>
        <w:t>The school improvement members lead consultation sessions with staff to develop shared thinking and feedback about the purpose and design of an online ‘Teacher Portal’ to support clarity and ease of access to key information for pedagogical and curriculum priorities</w:t>
      </w:r>
      <w:r w:rsidR="00E44269">
        <w:t>.</w:t>
      </w:r>
    </w:p>
    <w:p w14:paraId="226D461D" w14:textId="6DD3F228" w:rsidR="001A19EB" w:rsidRDefault="001A19EB" w:rsidP="00A40C43">
      <w:pPr>
        <w:pStyle w:val="ListParagraph"/>
        <w:numPr>
          <w:ilvl w:val="0"/>
          <w:numId w:val="62"/>
        </w:numPr>
        <w:pBdr>
          <w:top w:val="nil"/>
          <w:left w:val="nil"/>
          <w:bottom w:val="nil"/>
          <w:right w:val="nil"/>
          <w:between w:val="nil"/>
        </w:pBdr>
        <w:spacing w:after="0" w:line="276" w:lineRule="auto"/>
        <w:jc w:val="both"/>
      </w:pPr>
      <w:r w:rsidRPr="00A40C43">
        <w:t xml:space="preserve">Turner identified clear and strategic intentions for staff to present at local and national conferences including maintaining involvement at ALEA (Australian Literacy Educators Association) </w:t>
      </w:r>
      <w:r w:rsidR="009918B6" w:rsidRPr="00A40C43">
        <w:t>State &amp; National conferences</w:t>
      </w:r>
      <w:r w:rsidRPr="00A40C43">
        <w:t xml:space="preserve">. </w:t>
      </w:r>
      <w:r w:rsidR="009918B6" w:rsidRPr="00A40C43">
        <w:t>Due to C</w:t>
      </w:r>
      <w:r w:rsidR="00771E4F">
        <w:t>OVID</w:t>
      </w:r>
      <w:r w:rsidR="009918B6" w:rsidRPr="00A40C43">
        <w:t>-19 restrictions, these opportunities for staff to synthesise and share their high-level practice was not possible, however, these opportunities are highlighted as a key focus for 2021.</w:t>
      </w:r>
    </w:p>
    <w:p w14:paraId="76FDDB18" w14:textId="72AE7E32" w:rsidR="00771E4F" w:rsidRPr="00A40C43" w:rsidRDefault="00771E4F" w:rsidP="00A40C43">
      <w:pPr>
        <w:pStyle w:val="ListParagraph"/>
        <w:numPr>
          <w:ilvl w:val="0"/>
          <w:numId w:val="62"/>
        </w:numPr>
        <w:pBdr>
          <w:top w:val="nil"/>
          <w:left w:val="nil"/>
          <w:bottom w:val="nil"/>
          <w:right w:val="nil"/>
          <w:between w:val="nil"/>
        </w:pBdr>
        <w:spacing w:after="0" w:line="276" w:lineRule="auto"/>
        <w:jc w:val="both"/>
      </w:pPr>
      <w:r>
        <w:t>Presenting Turner Schools journey in teaching reading on the success stories page of the Foundation for Learning &amp; Literacy website.</w:t>
      </w:r>
    </w:p>
    <w:p w14:paraId="423BFAFB" w14:textId="77777777" w:rsidR="005342DC" w:rsidRPr="006E0992" w:rsidRDefault="005342DC" w:rsidP="006E0992">
      <w:pPr>
        <w:pBdr>
          <w:top w:val="nil"/>
          <w:left w:val="nil"/>
          <w:bottom w:val="nil"/>
          <w:right w:val="nil"/>
          <w:between w:val="nil"/>
        </w:pBdr>
        <w:spacing w:after="0" w:line="276" w:lineRule="auto"/>
        <w:rPr>
          <w:color w:val="FF0000"/>
        </w:rPr>
      </w:pPr>
    </w:p>
    <w:p w14:paraId="2ACE728B" w14:textId="4B929145" w:rsidR="00937D6F" w:rsidRDefault="00937D6F" w:rsidP="00937D6F">
      <w:pPr>
        <w:pStyle w:val="Heading3"/>
      </w:pPr>
      <w:bookmarkStart w:id="7" w:name="_Hlk26097458"/>
      <w:r w:rsidRPr="00DA09ED">
        <w:t xml:space="preserve">Challenges we </w:t>
      </w:r>
      <w:r>
        <w:t>will address in</w:t>
      </w:r>
      <w:r w:rsidRPr="00DA09ED">
        <w:t xml:space="preserve"> our</w:t>
      </w:r>
      <w:r>
        <w:t xml:space="preserve"> next Action Plan</w:t>
      </w:r>
    </w:p>
    <w:bookmarkEnd w:id="7"/>
    <w:p w14:paraId="50DBDD88" w14:textId="660D6156" w:rsidR="005611F4" w:rsidRPr="005611F4" w:rsidRDefault="005342DC" w:rsidP="005611F4">
      <w:r>
        <w:t>Next steps for meeting Priority 2 in 202</w:t>
      </w:r>
      <w:r w:rsidR="007E1768">
        <w:t>1</w:t>
      </w:r>
      <w:r>
        <w:t xml:space="preserve">: </w:t>
      </w:r>
    </w:p>
    <w:p w14:paraId="26AFDFAB" w14:textId="45D20B45" w:rsidR="00FE0472" w:rsidRPr="00654CBB" w:rsidRDefault="00FE0472" w:rsidP="007A1200">
      <w:pPr>
        <w:pStyle w:val="NoSpacing"/>
        <w:numPr>
          <w:ilvl w:val="0"/>
          <w:numId w:val="6"/>
        </w:numPr>
        <w:jc w:val="both"/>
      </w:pPr>
      <w:r w:rsidRPr="00654CBB">
        <w:rPr>
          <w:b/>
        </w:rPr>
        <w:lastRenderedPageBreak/>
        <w:t>Creative and Critical thinking in the context of 21</w:t>
      </w:r>
      <w:r w:rsidRPr="00654CBB">
        <w:rPr>
          <w:b/>
          <w:vertAlign w:val="superscript"/>
        </w:rPr>
        <w:t>st</w:t>
      </w:r>
      <w:r w:rsidRPr="00654CBB">
        <w:rPr>
          <w:b/>
        </w:rPr>
        <w:t xml:space="preserve"> Century learning:</w:t>
      </w:r>
      <w:r w:rsidRPr="00654CBB">
        <w:t xml:space="preserve"> Align staff and student learning related to assessing growth in using the learning dispositions</w:t>
      </w:r>
      <w:r w:rsidR="00654CBB" w:rsidRPr="00654CBB">
        <w:t>.</w:t>
      </w:r>
    </w:p>
    <w:p w14:paraId="5EA8646A" w14:textId="77777777" w:rsidR="001C66F5" w:rsidRPr="00654CBB" w:rsidRDefault="00FE0472" w:rsidP="007A1200">
      <w:pPr>
        <w:pStyle w:val="NoSpacing"/>
        <w:numPr>
          <w:ilvl w:val="0"/>
          <w:numId w:val="6"/>
        </w:numPr>
        <w:jc w:val="both"/>
        <w:rPr>
          <w:lang w:val="en-AU"/>
        </w:rPr>
      </w:pPr>
      <w:r w:rsidRPr="00654CBB">
        <w:rPr>
          <w:b/>
        </w:rPr>
        <w:t>Communication with wider school community:</w:t>
      </w:r>
      <w:r w:rsidRPr="00654CBB">
        <w:t xml:space="preserve"> </w:t>
      </w:r>
      <w:r w:rsidRPr="00654CBB">
        <w:rPr>
          <w:lang w:val="en-AU"/>
        </w:rPr>
        <w:t xml:space="preserve">Sustain and embed communication around personalising learning approach to stakeholders.  For example: </w:t>
      </w:r>
      <w:r w:rsidRPr="00654CBB">
        <w:t>Newsletters, board reports and P&amp;C reports</w:t>
      </w:r>
      <w:r w:rsidRPr="00654CBB">
        <w:rPr>
          <w:lang w:val="en-AU"/>
        </w:rPr>
        <w:t xml:space="preserve">, </w:t>
      </w:r>
      <w:r w:rsidRPr="00654CBB">
        <w:t>Podcasts</w:t>
      </w:r>
      <w:r w:rsidRPr="00654CBB">
        <w:rPr>
          <w:lang w:val="en-AU"/>
        </w:rPr>
        <w:t xml:space="preserve">, </w:t>
      </w:r>
      <w:r w:rsidRPr="00654CBB">
        <w:t>Student forums</w:t>
      </w:r>
      <w:r w:rsidRPr="00654CBB">
        <w:rPr>
          <w:lang w:val="en-AU"/>
        </w:rPr>
        <w:t xml:space="preserve"> and Contemporary Literacies Collaborative project presentation.</w:t>
      </w:r>
    </w:p>
    <w:p w14:paraId="5252E0A7" w14:textId="508151E4" w:rsidR="00DD791E" w:rsidRDefault="00DD791E" w:rsidP="00FB143F"/>
    <w:p w14:paraId="7CD6B6BF" w14:textId="7C59145F" w:rsidR="00A95299" w:rsidRPr="00A95299" w:rsidRDefault="00A95299" w:rsidP="00A95299">
      <w:pPr>
        <w:pStyle w:val="Heading3"/>
        <w:rPr>
          <w:sz w:val="24"/>
        </w:rPr>
      </w:pPr>
      <w:r w:rsidRPr="00A95299">
        <w:rPr>
          <w:sz w:val="24"/>
        </w:rPr>
        <w:t xml:space="preserve">Reporting on Preschool Improvement </w:t>
      </w:r>
    </w:p>
    <w:p w14:paraId="1B46DED3" w14:textId="77777777" w:rsidR="00B21879" w:rsidRDefault="00B21879" w:rsidP="00B21879">
      <w:pPr>
        <w:spacing w:before="240" w:after="240"/>
      </w:pPr>
      <w:bookmarkStart w:id="8" w:name="_4dinnsbnyjav" w:colFirst="0" w:colLast="0"/>
      <w:bookmarkEnd w:id="8"/>
      <w:r>
        <w:t>All schools with a preschool setting are required to annually review and update their Quality Improvement Plan*. Schools have a choice to either report against their QIP using the Directorate template or to report progress here.</w:t>
      </w:r>
    </w:p>
    <w:p w14:paraId="08DF07CB" w14:textId="77777777" w:rsidR="00B21879" w:rsidRDefault="00B21879" w:rsidP="00B21879">
      <w:pPr>
        <w:spacing w:before="240" w:after="240"/>
        <w:rPr>
          <w:i/>
        </w:rPr>
      </w:pPr>
      <w:r>
        <w:rPr>
          <w:i/>
        </w:rPr>
        <w:t>*A copy of the QIP is available for viewing at the school.</w:t>
      </w:r>
    </w:p>
    <w:p w14:paraId="6F3AA0A1" w14:textId="77777777" w:rsidR="00B21879" w:rsidRDefault="00B21879" w:rsidP="00B21879">
      <w:pPr>
        <w:spacing w:before="240" w:after="120"/>
        <w:rPr>
          <w:b/>
        </w:rPr>
      </w:pPr>
      <w:r>
        <w:rPr>
          <w:b/>
        </w:rPr>
        <w:t>Creating child centred opportunities to increase community engagement:</w:t>
      </w:r>
    </w:p>
    <w:p w14:paraId="37312EEF" w14:textId="77777777" w:rsidR="00B21879" w:rsidRDefault="00B21879" w:rsidP="00B21879">
      <w:pPr>
        <w:spacing w:before="240"/>
        <w:jc w:val="both"/>
        <w:rPr>
          <w:i/>
        </w:rPr>
      </w:pPr>
      <w:r>
        <w:rPr>
          <w:i/>
        </w:rPr>
        <w:t>National Standards: 6 – Collaborative Partnerships</w:t>
      </w:r>
    </w:p>
    <w:p w14:paraId="74E256C5" w14:textId="77777777" w:rsidR="00B21879" w:rsidRDefault="00B21879" w:rsidP="00B21879">
      <w:pPr>
        <w:spacing w:before="240"/>
        <w:jc w:val="both"/>
        <w:rPr>
          <w:i/>
        </w:rPr>
      </w:pPr>
      <w:r>
        <w:rPr>
          <w:i/>
        </w:rPr>
        <w:t>EYLF -Outcome 2: Children are connected with and contribute to their world</w:t>
      </w:r>
    </w:p>
    <w:p w14:paraId="2A27BC81" w14:textId="77777777" w:rsidR="00B21879" w:rsidRDefault="00B21879" w:rsidP="00B21879">
      <w:pPr>
        <w:ind w:left="720"/>
        <w:jc w:val="both"/>
        <w:rPr>
          <w:b/>
        </w:rPr>
      </w:pPr>
      <w:r>
        <w:rPr>
          <w:b/>
        </w:rPr>
        <w:t xml:space="preserve"> </w:t>
      </w:r>
    </w:p>
    <w:p w14:paraId="51775AEF" w14:textId="35AC4657" w:rsidR="00B21879" w:rsidRDefault="00B21879" w:rsidP="00B21879">
      <w:pPr>
        <w:numPr>
          <w:ilvl w:val="0"/>
          <w:numId w:val="68"/>
        </w:numPr>
        <w:spacing w:after="0" w:line="276" w:lineRule="auto"/>
        <w:jc w:val="both"/>
      </w:pPr>
      <w:r>
        <w:t>Students had opportunities throughout the 2020 to build their connection to the community and local environment through a number of child centred opportunities. These have included the STEAM Festival, exploring the local wetlands and having an excursion to the Botanic Gardens.</w:t>
      </w:r>
    </w:p>
    <w:p w14:paraId="6AE853E5" w14:textId="77777777" w:rsidR="00B21879" w:rsidRDefault="00B21879" w:rsidP="00B21879">
      <w:pPr>
        <w:numPr>
          <w:ilvl w:val="0"/>
          <w:numId w:val="68"/>
        </w:numPr>
        <w:spacing w:after="0" w:line="276" w:lineRule="auto"/>
        <w:jc w:val="both"/>
      </w:pPr>
      <w:r>
        <w:t>Staff capacity in incorporating Aboriginal and Torres Strait Islander perspective was built for the whole school through professional learning.</w:t>
      </w:r>
    </w:p>
    <w:p w14:paraId="6DE7668F" w14:textId="77777777" w:rsidR="00B21879" w:rsidRDefault="00B21879" w:rsidP="00B21879">
      <w:pPr>
        <w:numPr>
          <w:ilvl w:val="0"/>
          <w:numId w:val="68"/>
        </w:numPr>
        <w:spacing w:after="0" w:line="276" w:lineRule="auto"/>
        <w:jc w:val="both"/>
      </w:pPr>
      <w:r>
        <w:t>Children have had opportunities to explore their immediate surroundings and how to connect with their obligation to people and place through:</w:t>
      </w:r>
    </w:p>
    <w:p w14:paraId="61566B37" w14:textId="77777777" w:rsidR="00B21879" w:rsidRDefault="00B21879" w:rsidP="00B21879">
      <w:pPr>
        <w:numPr>
          <w:ilvl w:val="1"/>
          <w:numId w:val="68"/>
        </w:numPr>
        <w:spacing w:after="240" w:line="276" w:lineRule="auto"/>
        <w:jc w:val="both"/>
      </w:pPr>
      <w:r>
        <w:t xml:space="preserve">Wetlands excursions which were used to explore Aboriginal and Torres Strait Islander perspectives about caring for the land. The planned program has incorporated many opportunities for students to connect to cultures Aboriginal and Torres Strait Islander culture.  </w:t>
      </w:r>
    </w:p>
    <w:p w14:paraId="4B5C1324" w14:textId="77777777" w:rsidR="00B21879" w:rsidRDefault="00B21879" w:rsidP="00B21879">
      <w:pPr>
        <w:spacing w:before="240"/>
        <w:rPr>
          <w:b/>
        </w:rPr>
      </w:pPr>
      <w:r>
        <w:rPr>
          <w:b/>
        </w:rPr>
        <w:t>Building agency of child through giving effective feedback:</w:t>
      </w:r>
    </w:p>
    <w:p w14:paraId="26573714" w14:textId="77777777" w:rsidR="00B21879" w:rsidRDefault="00B21879" w:rsidP="00B21879">
      <w:pPr>
        <w:spacing w:before="240"/>
        <w:jc w:val="both"/>
        <w:rPr>
          <w:i/>
        </w:rPr>
      </w:pPr>
      <w:r>
        <w:rPr>
          <w:i/>
        </w:rPr>
        <w:t>National Standards: Standard 1: Educational Program</w:t>
      </w:r>
    </w:p>
    <w:p w14:paraId="7AE8BC6D" w14:textId="77777777" w:rsidR="00B21879" w:rsidRDefault="00B21879" w:rsidP="00B21879">
      <w:pPr>
        <w:spacing w:before="240"/>
        <w:jc w:val="both"/>
        <w:rPr>
          <w:i/>
        </w:rPr>
      </w:pPr>
      <w:r>
        <w:rPr>
          <w:i/>
        </w:rPr>
        <w:t>Outcome 4: Children are confident and involved learners</w:t>
      </w:r>
    </w:p>
    <w:p w14:paraId="63754FC6" w14:textId="224EF179" w:rsidR="00B21879" w:rsidRDefault="00B21879" w:rsidP="00232292">
      <w:pPr>
        <w:pStyle w:val="ListParagraph"/>
        <w:numPr>
          <w:ilvl w:val="0"/>
          <w:numId w:val="70"/>
        </w:numPr>
        <w:spacing w:before="240"/>
        <w:jc w:val="both"/>
      </w:pPr>
      <w:r>
        <w:t>School staff have engaged across the year in profession learning focused on ‘The art of conversations and conferring’ with an additional focus on the importance of conferring with students while teaching remotely during the ACT COVID 19 lockdown.  This focused on building teacher capacity to build students self-awareness as a learner.  The preschool teachers explored ways to provide feedback within the preschool day. It is now embedded in practice that children receive timely feedback at the time they are learning to encourage them to take their learning further and push themselves to the edge of their learning.</w:t>
      </w:r>
    </w:p>
    <w:p w14:paraId="268237CC" w14:textId="230AF3FF" w:rsidR="00B21879" w:rsidRDefault="00B21879" w:rsidP="00232292">
      <w:pPr>
        <w:numPr>
          <w:ilvl w:val="0"/>
          <w:numId w:val="70"/>
        </w:numPr>
        <w:spacing w:after="240" w:line="276" w:lineRule="auto"/>
        <w:jc w:val="both"/>
      </w:pPr>
      <w:r>
        <w:t>In order to build confident and involved learners the preschool program provided ongoing opportunities for young children to build 21</w:t>
      </w:r>
      <w:r>
        <w:rPr>
          <w:vertAlign w:val="superscript"/>
        </w:rPr>
        <w:t>st</w:t>
      </w:r>
      <w:r>
        <w:t xml:space="preserve"> century learning skills (Learner Assets).  In 2020, intentional teaching was planned to build students' understanding of the Learner Assets; being a Self-manager, Collaborator, Thinker, Researcher and Communicator.  In particular, the language of self-manager and communicator has been used on a daily basis and the concepts embedded into the program. A growing and developmentally appropriate </w:t>
      </w:r>
      <w:r>
        <w:lastRenderedPageBreak/>
        <w:t xml:space="preserve">understanding of being a learner is evident in the </w:t>
      </w:r>
      <w:proofErr w:type="spellStart"/>
      <w:r>
        <w:t>childrens</w:t>
      </w:r>
      <w:proofErr w:type="spellEnd"/>
      <w:r>
        <w:t>’ ability to verbalise the skills of many of the Learner Assets.</w:t>
      </w:r>
    </w:p>
    <w:p w14:paraId="6CA350EB" w14:textId="77777777" w:rsidR="00B21879" w:rsidRDefault="00B21879" w:rsidP="00B21879">
      <w:pPr>
        <w:spacing w:before="240" w:after="240"/>
        <w:rPr>
          <w:b/>
        </w:rPr>
      </w:pPr>
      <w:r>
        <w:rPr>
          <w:b/>
        </w:rPr>
        <w:t>Building understanding of children around living a healthy lifestyle:</w:t>
      </w:r>
    </w:p>
    <w:p w14:paraId="50642FF8" w14:textId="77777777" w:rsidR="00B21879" w:rsidRDefault="00B21879" w:rsidP="00B21879">
      <w:pPr>
        <w:spacing w:before="240"/>
        <w:jc w:val="both"/>
        <w:rPr>
          <w:i/>
        </w:rPr>
      </w:pPr>
      <w:r>
        <w:rPr>
          <w:i/>
        </w:rPr>
        <w:t>National Standards: Standard 2- Health and Safety</w:t>
      </w:r>
    </w:p>
    <w:p w14:paraId="2E912CD0" w14:textId="77777777" w:rsidR="00B21879" w:rsidRDefault="00B21879" w:rsidP="00B21879">
      <w:pPr>
        <w:spacing w:before="240"/>
        <w:jc w:val="both"/>
        <w:rPr>
          <w:i/>
        </w:rPr>
      </w:pPr>
      <w:r>
        <w:rPr>
          <w:i/>
        </w:rPr>
        <w:t>EYLF Outcome 3: Children have a strong sense of wellbeing</w:t>
      </w:r>
    </w:p>
    <w:p w14:paraId="1270FABC" w14:textId="77777777" w:rsidR="00B21879" w:rsidRDefault="00B21879" w:rsidP="00B21879">
      <w:pPr>
        <w:spacing w:before="240"/>
        <w:jc w:val="both"/>
        <w:rPr>
          <w:i/>
        </w:rPr>
      </w:pPr>
    </w:p>
    <w:p w14:paraId="134FC99A" w14:textId="1069065E" w:rsidR="00B21879" w:rsidRDefault="00B21879" w:rsidP="00B21879">
      <w:pPr>
        <w:numPr>
          <w:ilvl w:val="0"/>
          <w:numId w:val="71"/>
        </w:numPr>
        <w:spacing w:after="0" w:line="276" w:lineRule="auto"/>
      </w:pPr>
      <w:r>
        <w:t>A continuing focus in the preschool program was to support students to take increasing responsibility for their own health and physical wellbeing.  The preschool program planned opportunities for students to build both their fine motor and gross motor skills.</w:t>
      </w:r>
    </w:p>
    <w:p w14:paraId="76F5E179" w14:textId="2A04551D" w:rsidR="00B21879" w:rsidRDefault="00B21879" w:rsidP="00B21879">
      <w:pPr>
        <w:numPr>
          <w:ilvl w:val="0"/>
          <w:numId w:val="71"/>
        </w:numPr>
        <w:spacing w:after="0" w:line="276" w:lineRule="auto"/>
      </w:pPr>
      <w:r>
        <w:t>Turner School supported families to build students healthy eating habits including through providing information about healthy lunch boxes and supporting student dietary requirements in the preschool cooking program.  During preschool eating times teachers engaged students in discussion about healthy choice.</w:t>
      </w:r>
    </w:p>
    <w:p w14:paraId="51D7D891" w14:textId="5B30C883" w:rsidR="00B21879" w:rsidRDefault="00B21879" w:rsidP="00B21879">
      <w:pPr>
        <w:numPr>
          <w:ilvl w:val="0"/>
          <w:numId w:val="71"/>
        </w:numPr>
        <w:spacing w:after="240" w:line="276" w:lineRule="auto"/>
      </w:pPr>
      <w:r>
        <w:t>Students have learnt about composting and sorting rubbish into recyclable/</w:t>
      </w:r>
      <w:r w:rsidR="00771E4F">
        <w:t>non-recyclable</w:t>
      </w:r>
      <w:r>
        <w:t xml:space="preserve"> materials.</w:t>
      </w:r>
    </w:p>
    <w:p w14:paraId="609C0505" w14:textId="77777777" w:rsidR="00B21879" w:rsidRDefault="00B21879" w:rsidP="00B21879">
      <w:pPr>
        <w:spacing w:before="240"/>
        <w:rPr>
          <w:b/>
        </w:rPr>
      </w:pPr>
      <w:r>
        <w:rPr>
          <w:b/>
        </w:rPr>
        <w:t>Embedding the implementation of the Statement of Intent to guide planning for children’s development within in the preschool program:</w:t>
      </w:r>
    </w:p>
    <w:p w14:paraId="5C79828E" w14:textId="77777777" w:rsidR="00B21879" w:rsidRDefault="00B21879" w:rsidP="00B21879">
      <w:pPr>
        <w:spacing w:before="240"/>
        <w:jc w:val="both"/>
        <w:rPr>
          <w:i/>
        </w:rPr>
      </w:pPr>
      <w:r>
        <w:rPr>
          <w:i/>
        </w:rPr>
        <w:t>National Standards: 3</w:t>
      </w:r>
      <w:r>
        <w:rPr>
          <w:b/>
          <w:i/>
        </w:rPr>
        <w:t xml:space="preserve"> </w:t>
      </w:r>
      <w:r>
        <w:rPr>
          <w:i/>
        </w:rPr>
        <w:t>Physical Environment</w:t>
      </w:r>
    </w:p>
    <w:p w14:paraId="59FD45E6" w14:textId="7198C47E" w:rsidR="00B21879" w:rsidRDefault="00B21879" w:rsidP="00B21879">
      <w:pPr>
        <w:spacing w:before="240"/>
        <w:jc w:val="both"/>
        <w:rPr>
          <w:i/>
        </w:rPr>
      </w:pPr>
      <w:r>
        <w:rPr>
          <w:i/>
        </w:rPr>
        <w:t>EYLF 4: Children are confident and involved learners.</w:t>
      </w:r>
    </w:p>
    <w:p w14:paraId="646F8190" w14:textId="2CA987F0" w:rsidR="00B21879" w:rsidRDefault="00B21879" w:rsidP="00B21879">
      <w:pPr>
        <w:numPr>
          <w:ilvl w:val="0"/>
          <w:numId w:val="67"/>
        </w:numPr>
        <w:spacing w:after="0" w:line="276" w:lineRule="auto"/>
      </w:pPr>
      <w:r>
        <w:t>All preschool teachers collaboratively plan in the preschool program using Statements of Intent.</w:t>
      </w:r>
    </w:p>
    <w:p w14:paraId="01B471B2" w14:textId="0AE9357E" w:rsidR="00B21879" w:rsidRDefault="00B21879" w:rsidP="006E0992">
      <w:pPr>
        <w:numPr>
          <w:ilvl w:val="0"/>
          <w:numId w:val="67"/>
        </w:numPr>
        <w:spacing w:after="240" w:line="276" w:lineRule="auto"/>
      </w:pPr>
      <w:r>
        <w:t>The Preschool teaching team engaged in Action learning focusing on building pre-literacy skills and numeracy understandings through and engaging with purposely planned opportunities within the indoor and  outdoor environment.  Through this focus preschool teachers explored ways of building language and mathematical provocations in the planned program.</w:t>
      </w:r>
    </w:p>
    <w:p w14:paraId="027A63ED" w14:textId="77777777" w:rsidR="00B21879" w:rsidRDefault="00B21879" w:rsidP="00B21879">
      <w:pPr>
        <w:spacing w:before="240"/>
        <w:rPr>
          <w:b/>
        </w:rPr>
      </w:pPr>
      <w:r>
        <w:rPr>
          <w:b/>
        </w:rPr>
        <w:t>Supporting and increasing outdoor engagement opportunities for children through the update and resourcing of new outdoor equipment:</w:t>
      </w:r>
    </w:p>
    <w:p w14:paraId="2C583FA9" w14:textId="77777777" w:rsidR="00B21879" w:rsidRDefault="00B21879" w:rsidP="00B21879">
      <w:pPr>
        <w:spacing w:before="240"/>
        <w:rPr>
          <w:i/>
        </w:rPr>
      </w:pPr>
      <w:r>
        <w:rPr>
          <w:i/>
        </w:rPr>
        <w:t>National Standards: 3</w:t>
      </w:r>
      <w:r>
        <w:rPr>
          <w:b/>
          <w:i/>
        </w:rPr>
        <w:t xml:space="preserve"> </w:t>
      </w:r>
      <w:r>
        <w:rPr>
          <w:i/>
        </w:rPr>
        <w:t>Physical Environment</w:t>
      </w:r>
    </w:p>
    <w:p w14:paraId="1A493EA8" w14:textId="658298C5" w:rsidR="00B21879" w:rsidRPr="006E0992" w:rsidRDefault="00B21879" w:rsidP="00B21879">
      <w:pPr>
        <w:spacing w:before="240"/>
        <w:rPr>
          <w:i/>
        </w:rPr>
      </w:pPr>
      <w:r>
        <w:rPr>
          <w:i/>
        </w:rPr>
        <w:t>ELYF Outcome 2: Children are connected with and contribute to their world</w:t>
      </w:r>
    </w:p>
    <w:p w14:paraId="2D1BC1D7" w14:textId="10249C64" w:rsidR="00CB471E" w:rsidRPr="006E0992" w:rsidRDefault="00B21879" w:rsidP="002100C9">
      <w:pPr>
        <w:numPr>
          <w:ilvl w:val="0"/>
          <w:numId w:val="69"/>
        </w:numPr>
        <w:spacing w:after="240" w:line="276" w:lineRule="auto"/>
        <w:jc w:val="both"/>
        <w:rPr>
          <w:rFonts w:eastAsia="Times New Roman" w:cs="Times New Roman"/>
          <w:lang w:val="en-US"/>
        </w:rPr>
      </w:pPr>
      <w:r>
        <w:t xml:space="preserve">The Preschool team collaborated with the school board with a focus on improving the physical environment of the preschool to increase engagement opportunities for children in the outdoor environment. The preschool is actively working towards changes in this environment and are planning upgrades that will  grow the learning opportunities for all students. This will link with the school P&amp;C Cultural Integrity </w:t>
      </w:r>
      <w:r w:rsidR="006E0992">
        <w:t>garden project</w:t>
      </w:r>
      <w:r>
        <w:t xml:space="preserve"> in 2021. The preschool team and kindergarten small class teacher planned collaboratively to resource dramatic play experiences in the outdoor learning space.  Examples, such as a bike rental system, had a high level of student engagement and contributed to building students' oral language, early numeracy skill and cooperative play skills. </w:t>
      </w:r>
    </w:p>
    <w:sectPr w:rsidR="00CB471E" w:rsidRPr="006E0992" w:rsidSect="00B444E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E06A5" w14:textId="77777777" w:rsidR="002100C9" w:rsidRDefault="002100C9" w:rsidP="00CA0BAD">
      <w:pPr>
        <w:spacing w:after="0" w:line="240" w:lineRule="auto"/>
      </w:pPr>
      <w:r>
        <w:separator/>
      </w:r>
    </w:p>
  </w:endnote>
  <w:endnote w:type="continuationSeparator" w:id="0">
    <w:p w14:paraId="1EDCD5C2" w14:textId="77777777" w:rsidR="002100C9" w:rsidRDefault="002100C9"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3DF002F5" w:rsidR="002100C9" w:rsidRPr="00BF488D" w:rsidRDefault="002100C9"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Sunday, 21 March 2021</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2100C9" w:rsidRPr="008679D5" w:rsidRDefault="002100C9"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0"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0"/>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D18F6" w14:textId="77777777" w:rsidR="002100C9" w:rsidRDefault="002100C9" w:rsidP="00CA0BAD">
      <w:pPr>
        <w:spacing w:after="0" w:line="240" w:lineRule="auto"/>
      </w:pPr>
      <w:r>
        <w:separator/>
      </w:r>
    </w:p>
  </w:footnote>
  <w:footnote w:type="continuationSeparator" w:id="0">
    <w:p w14:paraId="0D33447D" w14:textId="77777777" w:rsidR="002100C9" w:rsidRDefault="002100C9"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128F" w14:textId="77777777" w:rsidR="002100C9" w:rsidRDefault="002100C9"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34A" w14:textId="77777777" w:rsidR="002100C9" w:rsidRDefault="002100C9"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4696"/>
    <w:multiLevelType w:val="multilevel"/>
    <w:tmpl w:val="6B44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5527C"/>
    <w:multiLevelType w:val="multilevel"/>
    <w:tmpl w:val="724E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629BA"/>
    <w:multiLevelType w:val="multilevel"/>
    <w:tmpl w:val="FC78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34272"/>
    <w:multiLevelType w:val="hybridMultilevel"/>
    <w:tmpl w:val="B16E7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10C35"/>
    <w:multiLevelType w:val="multilevel"/>
    <w:tmpl w:val="208C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23578"/>
    <w:multiLevelType w:val="multilevel"/>
    <w:tmpl w:val="DF66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74FD7"/>
    <w:multiLevelType w:val="multilevel"/>
    <w:tmpl w:val="48EC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C245E"/>
    <w:multiLevelType w:val="multilevel"/>
    <w:tmpl w:val="D5A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94565"/>
    <w:multiLevelType w:val="multilevel"/>
    <w:tmpl w:val="D61E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27A6E"/>
    <w:multiLevelType w:val="multilevel"/>
    <w:tmpl w:val="251C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1A3F82"/>
    <w:multiLevelType w:val="multilevel"/>
    <w:tmpl w:val="4D22A2E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164D3F82"/>
    <w:multiLevelType w:val="multilevel"/>
    <w:tmpl w:val="3E12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E92F09"/>
    <w:multiLevelType w:val="multilevel"/>
    <w:tmpl w:val="54AC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02E76"/>
    <w:multiLevelType w:val="multilevel"/>
    <w:tmpl w:val="27429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CD13277"/>
    <w:multiLevelType w:val="multilevel"/>
    <w:tmpl w:val="8DB8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86984"/>
    <w:multiLevelType w:val="hybridMultilevel"/>
    <w:tmpl w:val="6FEE5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2F22F1"/>
    <w:multiLevelType w:val="hybridMultilevel"/>
    <w:tmpl w:val="43268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ED113C"/>
    <w:multiLevelType w:val="multilevel"/>
    <w:tmpl w:val="BEB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4262EC"/>
    <w:multiLevelType w:val="multilevel"/>
    <w:tmpl w:val="A2BC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99261D"/>
    <w:multiLevelType w:val="hybridMultilevel"/>
    <w:tmpl w:val="E4924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BD0D16"/>
    <w:multiLevelType w:val="multilevel"/>
    <w:tmpl w:val="801C4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A323BD"/>
    <w:multiLevelType w:val="multilevel"/>
    <w:tmpl w:val="8D0C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E866E0"/>
    <w:multiLevelType w:val="hybridMultilevel"/>
    <w:tmpl w:val="B5983E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D33DB0"/>
    <w:multiLevelType w:val="multilevel"/>
    <w:tmpl w:val="B4CC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1DB633E"/>
    <w:multiLevelType w:val="multilevel"/>
    <w:tmpl w:val="2CDE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77EF8"/>
    <w:multiLevelType w:val="multilevel"/>
    <w:tmpl w:val="A99A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1F4F9C"/>
    <w:multiLevelType w:val="multilevel"/>
    <w:tmpl w:val="A422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DF7271"/>
    <w:multiLevelType w:val="multilevel"/>
    <w:tmpl w:val="353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0B1442"/>
    <w:multiLevelType w:val="multilevel"/>
    <w:tmpl w:val="B794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B936CD"/>
    <w:multiLevelType w:val="multilevel"/>
    <w:tmpl w:val="32C4E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DC03DEB"/>
    <w:multiLevelType w:val="multilevel"/>
    <w:tmpl w:val="4D22A2E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3E1A3814"/>
    <w:multiLevelType w:val="hybridMultilevel"/>
    <w:tmpl w:val="9A1241AE"/>
    <w:lvl w:ilvl="0" w:tplc="3758B85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EEC3607"/>
    <w:multiLevelType w:val="multilevel"/>
    <w:tmpl w:val="AF48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325CAD"/>
    <w:multiLevelType w:val="multilevel"/>
    <w:tmpl w:val="2E92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77436D"/>
    <w:multiLevelType w:val="hybridMultilevel"/>
    <w:tmpl w:val="CB6EECE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448C789D"/>
    <w:multiLevelType w:val="hybridMultilevel"/>
    <w:tmpl w:val="824898B4"/>
    <w:lvl w:ilvl="0" w:tplc="D11A4F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53C3FB8"/>
    <w:multiLevelType w:val="multilevel"/>
    <w:tmpl w:val="49A6F1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46492EA8"/>
    <w:multiLevelType w:val="multilevel"/>
    <w:tmpl w:val="7BBE9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CD5E97"/>
    <w:multiLevelType w:val="multilevel"/>
    <w:tmpl w:val="2B74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9E553B"/>
    <w:multiLevelType w:val="multilevel"/>
    <w:tmpl w:val="EC64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BE1C06"/>
    <w:multiLevelType w:val="multilevel"/>
    <w:tmpl w:val="9186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263174"/>
    <w:multiLevelType w:val="multilevel"/>
    <w:tmpl w:val="C2EE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5259C2"/>
    <w:multiLevelType w:val="multilevel"/>
    <w:tmpl w:val="3DDED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C3B3E4E"/>
    <w:multiLevelType w:val="multilevel"/>
    <w:tmpl w:val="DFAC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3C7BCD"/>
    <w:multiLevelType w:val="hybridMultilevel"/>
    <w:tmpl w:val="15BAD804"/>
    <w:lvl w:ilvl="0" w:tplc="9A14699E">
      <w:start w:val="2018"/>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41A3CD6"/>
    <w:multiLevelType w:val="hybridMultilevel"/>
    <w:tmpl w:val="4FC2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8352E46"/>
    <w:multiLevelType w:val="hybridMultilevel"/>
    <w:tmpl w:val="EA20662C"/>
    <w:lvl w:ilvl="0" w:tplc="9A14699E">
      <w:start w:val="2018"/>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99F74B7"/>
    <w:multiLevelType w:val="hybridMultilevel"/>
    <w:tmpl w:val="E50C8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CC2478E"/>
    <w:multiLevelType w:val="hybridMultilevel"/>
    <w:tmpl w:val="CED2F65C"/>
    <w:lvl w:ilvl="0" w:tplc="9A14699E">
      <w:start w:val="2018"/>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CE75548"/>
    <w:multiLevelType w:val="multilevel"/>
    <w:tmpl w:val="D6FE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8B5F06"/>
    <w:multiLevelType w:val="multilevel"/>
    <w:tmpl w:val="513E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EB22AC7"/>
    <w:multiLevelType w:val="multilevel"/>
    <w:tmpl w:val="7BBE9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2413673"/>
    <w:multiLevelType w:val="multilevel"/>
    <w:tmpl w:val="1958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08658C"/>
    <w:multiLevelType w:val="hybridMultilevel"/>
    <w:tmpl w:val="12FC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5943BC7"/>
    <w:multiLevelType w:val="multilevel"/>
    <w:tmpl w:val="E0DCD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61801CF"/>
    <w:multiLevelType w:val="hybridMultilevel"/>
    <w:tmpl w:val="24D2D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9732172"/>
    <w:multiLevelType w:val="hybridMultilevel"/>
    <w:tmpl w:val="E74C06C8"/>
    <w:lvl w:ilvl="0" w:tplc="D7E4CDA6">
      <w:numFmt w:val="bullet"/>
      <w:lvlText w:val=""/>
      <w:lvlJc w:val="left"/>
      <w:pPr>
        <w:ind w:left="501"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BB377E4"/>
    <w:multiLevelType w:val="multilevel"/>
    <w:tmpl w:val="5362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1B7AC8"/>
    <w:multiLevelType w:val="hybridMultilevel"/>
    <w:tmpl w:val="28F21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FA851BC"/>
    <w:multiLevelType w:val="hybridMultilevel"/>
    <w:tmpl w:val="DDC2F78C"/>
    <w:lvl w:ilvl="0" w:tplc="9A14699E">
      <w:start w:val="2018"/>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1B45C6A"/>
    <w:multiLevelType w:val="multilevel"/>
    <w:tmpl w:val="2134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1BC0FFF"/>
    <w:multiLevelType w:val="multilevel"/>
    <w:tmpl w:val="B93A9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26716FA"/>
    <w:multiLevelType w:val="multilevel"/>
    <w:tmpl w:val="57E2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3892952"/>
    <w:multiLevelType w:val="multilevel"/>
    <w:tmpl w:val="CA28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3D87DF0"/>
    <w:multiLevelType w:val="hybridMultilevel"/>
    <w:tmpl w:val="7054D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44D0D52"/>
    <w:multiLevelType w:val="multilevel"/>
    <w:tmpl w:val="6C02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4997054"/>
    <w:multiLevelType w:val="multilevel"/>
    <w:tmpl w:val="074C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8E0750D"/>
    <w:multiLevelType w:val="multilevel"/>
    <w:tmpl w:val="83AA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8E12336"/>
    <w:multiLevelType w:val="hybridMultilevel"/>
    <w:tmpl w:val="AB5C5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C326078"/>
    <w:multiLevelType w:val="hybridMultilevel"/>
    <w:tmpl w:val="62A4B816"/>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4"/>
  </w:num>
  <w:num w:numId="2">
    <w:abstractNumId w:val="22"/>
  </w:num>
  <w:num w:numId="3">
    <w:abstractNumId w:val="36"/>
  </w:num>
  <w:num w:numId="4">
    <w:abstractNumId w:val="52"/>
  </w:num>
  <w:num w:numId="5">
    <w:abstractNumId w:val="20"/>
  </w:num>
  <w:num w:numId="6">
    <w:abstractNumId w:val="49"/>
  </w:num>
  <w:num w:numId="7">
    <w:abstractNumId w:val="32"/>
  </w:num>
  <w:num w:numId="8">
    <w:abstractNumId w:val="23"/>
  </w:num>
  <w:num w:numId="9">
    <w:abstractNumId w:val="69"/>
  </w:num>
  <w:num w:numId="10">
    <w:abstractNumId w:val="47"/>
  </w:num>
  <w:num w:numId="11">
    <w:abstractNumId w:val="57"/>
  </w:num>
  <w:num w:numId="12">
    <w:abstractNumId w:val="45"/>
  </w:num>
  <w:num w:numId="13">
    <w:abstractNumId w:val="60"/>
  </w:num>
  <w:num w:numId="14">
    <w:abstractNumId w:val="38"/>
  </w:num>
  <w:num w:numId="15">
    <w:abstractNumId w:val="1"/>
  </w:num>
  <w:num w:numId="16">
    <w:abstractNumId w:val="66"/>
  </w:num>
  <w:num w:numId="17">
    <w:abstractNumId w:val="51"/>
  </w:num>
  <w:num w:numId="18">
    <w:abstractNumId w:val="29"/>
  </w:num>
  <w:num w:numId="19">
    <w:abstractNumId w:val="68"/>
  </w:num>
  <w:num w:numId="20">
    <w:abstractNumId w:val="63"/>
  </w:num>
  <w:num w:numId="21">
    <w:abstractNumId w:val="2"/>
  </w:num>
  <w:num w:numId="22">
    <w:abstractNumId w:val="33"/>
  </w:num>
  <w:num w:numId="23">
    <w:abstractNumId w:val="4"/>
  </w:num>
  <w:num w:numId="24">
    <w:abstractNumId w:val="7"/>
  </w:num>
  <w:num w:numId="25">
    <w:abstractNumId w:val="53"/>
  </w:num>
  <w:num w:numId="26">
    <w:abstractNumId w:val="14"/>
  </w:num>
  <w:num w:numId="27">
    <w:abstractNumId w:val="12"/>
  </w:num>
  <w:num w:numId="28">
    <w:abstractNumId w:val="67"/>
  </w:num>
  <w:num w:numId="29">
    <w:abstractNumId w:val="34"/>
  </w:num>
  <w:num w:numId="30">
    <w:abstractNumId w:val="50"/>
  </w:num>
  <w:num w:numId="31">
    <w:abstractNumId w:val="27"/>
  </w:num>
  <w:num w:numId="32">
    <w:abstractNumId w:val="9"/>
  </w:num>
  <w:num w:numId="33">
    <w:abstractNumId w:val="61"/>
  </w:num>
  <w:num w:numId="34">
    <w:abstractNumId w:val="44"/>
  </w:num>
  <w:num w:numId="35">
    <w:abstractNumId w:val="25"/>
  </w:num>
  <w:num w:numId="36">
    <w:abstractNumId w:val="26"/>
  </w:num>
  <w:num w:numId="37">
    <w:abstractNumId w:val="40"/>
  </w:num>
  <w:num w:numId="38">
    <w:abstractNumId w:val="0"/>
  </w:num>
  <w:num w:numId="39">
    <w:abstractNumId w:val="28"/>
  </w:num>
  <w:num w:numId="40">
    <w:abstractNumId w:val="39"/>
  </w:num>
  <w:num w:numId="41">
    <w:abstractNumId w:val="6"/>
  </w:num>
  <w:num w:numId="42">
    <w:abstractNumId w:val="58"/>
  </w:num>
  <w:num w:numId="43">
    <w:abstractNumId w:val="37"/>
  </w:num>
  <w:num w:numId="44">
    <w:abstractNumId w:val="5"/>
  </w:num>
  <w:num w:numId="45">
    <w:abstractNumId w:val="42"/>
  </w:num>
  <w:num w:numId="46">
    <w:abstractNumId w:val="8"/>
  </w:num>
  <w:num w:numId="47">
    <w:abstractNumId w:val="11"/>
  </w:num>
  <w:num w:numId="48">
    <w:abstractNumId w:val="21"/>
  </w:num>
  <w:num w:numId="49">
    <w:abstractNumId w:val="41"/>
  </w:num>
  <w:num w:numId="50">
    <w:abstractNumId w:val="18"/>
  </w:num>
  <w:num w:numId="51">
    <w:abstractNumId w:val="17"/>
  </w:num>
  <w:num w:numId="52">
    <w:abstractNumId w:val="64"/>
  </w:num>
  <w:num w:numId="53">
    <w:abstractNumId w:val="56"/>
  </w:num>
  <w:num w:numId="54">
    <w:abstractNumId w:val="48"/>
  </w:num>
  <w:num w:numId="55">
    <w:abstractNumId w:val="59"/>
  </w:num>
  <w:num w:numId="56">
    <w:abstractNumId w:val="16"/>
  </w:num>
  <w:num w:numId="57">
    <w:abstractNumId w:val="19"/>
  </w:num>
  <w:num w:numId="58">
    <w:abstractNumId w:val="46"/>
  </w:num>
  <w:num w:numId="59">
    <w:abstractNumId w:val="54"/>
  </w:num>
  <w:num w:numId="60">
    <w:abstractNumId w:val="31"/>
  </w:num>
  <w:num w:numId="61">
    <w:abstractNumId w:val="10"/>
  </w:num>
  <w:num w:numId="62">
    <w:abstractNumId w:val="65"/>
  </w:num>
  <w:num w:numId="63">
    <w:abstractNumId w:val="70"/>
  </w:num>
  <w:num w:numId="64">
    <w:abstractNumId w:val="35"/>
  </w:num>
  <w:num w:numId="65">
    <w:abstractNumId w:val="15"/>
  </w:num>
  <w:num w:numId="66">
    <w:abstractNumId w:val="3"/>
  </w:num>
  <w:num w:numId="67">
    <w:abstractNumId w:val="55"/>
  </w:num>
  <w:num w:numId="68">
    <w:abstractNumId w:val="43"/>
  </w:num>
  <w:num w:numId="69">
    <w:abstractNumId w:val="30"/>
  </w:num>
  <w:num w:numId="70">
    <w:abstractNumId w:val="62"/>
  </w:num>
  <w:num w:numId="71">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25A51"/>
    <w:rsid w:val="00030D87"/>
    <w:rsid w:val="00057DAD"/>
    <w:rsid w:val="00074E45"/>
    <w:rsid w:val="00085672"/>
    <w:rsid w:val="00095A2B"/>
    <w:rsid w:val="000B072F"/>
    <w:rsid w:val="000B163A"/>
    <w:rsid w:val="000B4652"/>
    <w:rsid w:val="000C7DDB"/>
    <w:rsid w:val="000D6F53"/>
    <w:rsid w:val="000E6889"/>
    <w:rsid w:val="000F102A"/>
    <w:rsid w:val="000F7640"/>
    <w:rsid w:val="000F7E7C"/>
    <w:rsid w:val="001017FD"/>
    <w:rsid w:val="00107AE2"/>
    <w:rsid w:val="00115AA9"/>
    <w:rsid w:val="00122AE6"/>
    <w:rsid w:val="00132518"/>
    <w:rsid w:val="00132917"/>
    <w:rsid w:val="00161E50"/>
    <w:rsid w:val="00163579"/>
    <w:rsid w:val="00183DE5"/>
    <w:rsid w:val="001A19EB"/>
    <w:rsid w:val="001B26EA"/>
    <w:rsid w:val="001B2E33"/>
    <w:rsid w:val="001C66F5"/>
    <w:rsid w:val="001C7EA4"/>
    <w:rsid w:val="001F6B89"/>
    <w:rsid w:val="002100C9"/>
    <w:rsid w:val="002145F7"/>
    <w:rsid w:val="002178C1"/>
    <w:rsid w:val="00226D0D"/>
    <w:rsid w:val="00232292"/>
    <w:rsid w:val="0024781C"/>
    <w:rsid w:val="00256CAC"/>
    <w:rsid w:val="00266E77"/>
    <w:rsid w:val="00271528"/>
    <w:rsid w:val="00294D16"/>
    <w:rsid w:val="002C7080"/>
    <w:rsid w:val="002F2C6F"/>
    <w:rsid w:val="002F4184"/>
    <w:rsid w:val="00300F72"/>
    <w:rsid w:val="003267B9"/>
    <w:rsid w:val="00334BBF"/>
    <w:rsid w:val="003365D7"/>
    <w:rsid w:val="00342B3F"/>
    <w:rsid w:val="0035066F"/>
    <w:rsid w:val="00365890"/>
    <w:rsid w:val="00365A1C"/>
    <w:rsid w:val="00365A4C"/>
    <w:rsid w:val="00373DC0"/>
    <w:rsid w:val="00377F0F"/>
    <w:rsid w:val="00390A9F"/>
    <w:rsid w:val="003B19C4"/>
    <w:rsid w:val="003B5E3D"/>
    <w:rsid w:val="003C2864"/>
    <w:rsid w:val="003C69DC"/>
    <w:rsid w:val="003D4A97"/>
    <w:rsid w:val="003E1EFB"/>
    <w:rsid w:val="00435AB7"/>
    <w:rsid w:val="00435C6B"/>
    <w:rsid w:val="00436626"/>
    <w:rsid w:val="00442354"/>
    <w:rsid w:val="00446476"/>
    <w:rsid w:val="00461D07"/>
    <w:rsid w:val="0046405D"/>
    <w:rsid w:val="00465625"/>
    <w:rsid w:val="00466F57"/>
    <w:rsid w:val="00481BD2"/>
    <w:rsid w:val="00482FB4"/>
    <w:rsid w:val="004910FF"/>
    <w:rsid w:val="00492440"/>
    <w:rsid w:val="004A2265"/>
    <w:rsid w:val="004A486E"/>
    <w:rsid w:val="004A7BC1"/>
    <w:rsid w:val="004B2E6B"/>
    <w:rsid w:val="004C32E2"/>
    <w:rsid w:val="004D00F4"/>
    <w:rsid w:val="004D13AE"/>
    <w:rsid w:val="004D5E45"/>
    <w:rsid w:val="004F0FA3"/>
    <w:rsid w:val="005061E5"/>
    <w:rsid w:val="00510B09"/>
    <w:rsid w:val="00511A01"/>
    <w:rsid w:val="00520A86"/>
    <w:rsid w:val="00525F95"/>
    <w:rsid w:val="005342DC"/>
    <w:rsid w:val="00557F65"/>
    <w:rsid w:val="005611F4"/>
    <w:rsid w:val="0057672E"/>
    <w:rsid w:val="0058339C"/>
    <w:rsid w:val="0059350F"/>
    <w:rsid w:val="005979DA"/>
    <w:rsid w:val="005A4749"/>
    <w:rsid w:val="005B4AD6"/>
    <w:rsid w:val="005B7C5F"/>
    <w:rsid w:val="005C7432"/>
    <w:rsid w:val="005E20EE"/>
    <w:rsid w:val="005E76E4"/>
    <w:rsid w:val="005F162A"/>
    <w:rsid w:val="005F37E7"/>
    <w:rsid w:val="005F3B55"/>
    <w:rsid w:val="005F51FD"/>
    <w:rsid w:val="00601102"/>
    <w:rsid w:val="00601A45"/>
    <w:rsid w:val="00610A38"/>
    <w:rsid w:val="00631663"/>
    <w:rsid w:val="0063707F"/>
    <w:rsid w:val="00650F80"/>
    <w:rsid w:val="00654CBB"/>
    <w:rsid w:val="00656DE8"/>
    <w:rsid w:val="00662647"/>
    <w:rsid w:val="0066643F"/>
    <w:rsid w:val="00672035"/>
    <w:rsid w:val="00674E1D"/>
    <w:rsid w:val="006830C3"/>
    <w:rsid w:val="006A31D6"/>
    <w:rsid w:val="006A5062"/>
    <w:rsid w:val="006A50F0"/>
    <w:rsid w:val="006B30C8"/>
    <w:rsid w:val="006D2375"/>
    <w:rsid w:val="006D2755"/>
    <w:rsid w:val="006D2F6B"/>
    <w:rsid w:val="006E0992"/>
    <w:rsid w:val="006F243F"/>
    <w:rsid w:val="00702C62"/>
    <w:rsid w:val="00705A0D"/>
    <w:rsid w:val="00725929"/>
    <w:rsid w:val="007347A7"/>
    <w:rsid w:val="007375B4"/>
    <w:rsid w:val="00752390"/>
    <w:rsid w:val="00771E4F"/>
    <w:rsid w:val="00790A36"/>
    <w:rsid w:val="007A1200"/>
    <w:rsid w:val="007A147B"/>
    <w:rsid w:val="007B0189"/>
    <w:rsid w:val="007B5F3C"/>
    <w:rsid w:val="007C0167"/>
    <w:rsid w:val="007D407C"/>
    <w:rsid w:val="007E1768"/>
    <w:rsid w:val="007E7BD2"/>
    <w:rsid w:val="007F02AB"/>
    <w:rsid w:val="007F3843"/>
    <w:rsid w:val="00813E0F"/>
    <w:rsid w:val="00827C78"/>
    <w:rsid w:val="008300DD"/>
    <w:rsid w:val="00836214"/>
    <w:rsid w:val="00837137"/>
    <w:rsid w:val="008457C3"/>
    <w:rsid w:val="00846E51"/>
    <w:rsid w:val="008679D5"/>
    <w:rsid w:val="00895F0F"/>
    <w:rsid w:val="00896B58"/>
    <w:rsid w:val="008A01DA"/>
    <w:rsid w:val="008F05AB"/>
    <w:rsid w:val="00915ADE"/>
    <w:rsid w:val="009279DF"/>
    <w:rsid w:val="0093040B"/>
    <w:rsid w:val="00930717"/>
    <w:rsid w:val="00931521"/>
    <w:rsid w:val="0093250E"/>
    <w:rsid w:val="00932E67"/>
    <w:rsid w:val="0093571B"/>
    <w:rsid w:val="00937D6F"/>
    <w:rsid w:val="0099069E"/>
    <w:rsid w:val="009918B6"/>
    <w:rsid w:val="00993623"/>
    <w:rsid w:val="00997CD0"/>
    <w:rsid w:val="009B454E"/>
    <w:rsid w:val="009B7107"/>
    <w:rsid w:val="009D023F"/>
    <w:rsid w:val="009D3CB8"/>
    <w:rsid w:val="009D7256"/>
    <w:rsid w:val="009E2D26"/>
    <w:rsid w:val="009F0012"/>
    <w:rsid w:val="00A112C4"/>
    <w:rsid w:val="00A1525D"/>
    <w:rsid w:val="00A35372"/>
    <w:rsid w:val="00A40C43"/>
    <w:rsid w:val="00A457ED"/>
    <w:rsid w:val="00A47E7B"/>
    <w:rsid w:val="00A63ECB"/>
    <w:rsid w:val="00A706D4"/>
    <w:rsid w:val="00A7194B"/>
    <w:rsid w:val="00A74AD9"/>
    <w:rsid w:val="00A95299"/>
    <w:rsid w:val="00A967A3"/>
    <w:rsid w:val="00AB2E9A"/>
    <w:rsid w:val="00AB3505"/>
    <w:rsid w:val="00AC480C"/>
    <w:rsid w:val="00AD17F1"/>
    <w:rsid w:val="00AD7D38"/>
    <w:rsid w:val="00AE1CAD"/>
    <w:rsid w:val="00AE2FBD"/>
    <w:rsid w:val="00AE3C70"/>
    <w:rsid w:val="00AE3E4D"/>
    <w:rsid w:val="00AF0853"/>
    <w:rsid w:val="00B06296"/>
    <w:rsid w:val="00B10319"/>
    <w:rsid w:val="00B21879"/>
    <w:rsid w:val="00B35B98"/>
    <w:rsid w:val="00B36AF4"/>
    <w:rsid w:val="00B41802"/>
    <w:rsid w:val="00B444E0"/>
    <w:rsid w:val="00B53B59"/>
    <w:rsid w:val="00B70A72"/>
    <w:rsid w:val="00B71583"/>
    <w:rsid w:val="00B734D8"/>
    <w:rsid w:val="00B73FAD"/>
    <w:rsid w:val="00B756EE"/>
    <w:rsid w:val="00C04943"/>
    <w:rsid w:val="00C0648C"/>
    <w:rsid w:val="00C06492"/>
    <w:rsid w:val="00C15C1C"/>
    <w:rsid w:val="00C17264"/>
    <w:rsid w:val="00C36780"/>
    <w:rsid w:val="00C36B48"/>
    <w:rsid w:val="00C6023B"/>
    <w:rsid w:val="00C63CC4"/>
    <w:rsid w:val="00C77B0A"/>
    <w:rsid w:val="00C91C8E"/>
    <w:rsid w:val="00CA0BAD"/>
    <w:rsid w:val="00CA26FB"/>
    <w:rsid w:val="00CB43DC"/>
    <w:rsid w:val="00CB471E"/>
    <w:rsid w:val="00CF3F40"/>
    <w:rsid w:val="00D01F82"/>
    <w:rsid w:val="00D03B0C"/>
    <w:rsid w:val="00D21886"/>
    <w:rsid w:val="00D377E7"/>
    <w:rsid w:val="00D526E2"/>
    <w:rsid w:val="00D53002"/>
    <w:rsid w:val="00D56F59"/>
    <w:rsid w:val="00D61051"/>
    <w:rsid w:val="00D66148"/>
    <w:rsid w:val="00D731BD"/>
    <w:rsid w:val="00D86E21"/>
    <w:rsid w:val="00D906F8"/>
    <w:rsid w:val="00D93457"/>
    <w:rsid w:val="00DA09ED"/>
    <w:rsid w:val="00DA297D"/>
    <w:rsid w:val="00DA4480"/>
    <w:rsid w:val="00DB037A"/>
    <w:rsid w:val="00DC6BB2"/>
    <w:rsid w:val="00DD791E"/>
    <w:rsid w:val="00DE43E6"/>
    <w:rsid w:val="00DE75EB"/>
    <w:rsid w:val="00DF0245"/>
    <w:rsid w:val="00DF695B"/>
    <w:rsid w:val="00E061B8"/>
    <w:rsid w:val="00E12DF9"/>
    <w:rsid w:val="00E14A54"/>
    <w:rsid w:val="00E24786"/>
    <w:rsid w:val="00E4129C"/>
    <w:rsid w:val="00E434FA"/>
    <w:rsid w:val="00E44269"/>
    <w:rsid w:val="00E5016B"/>
    <w:rsid w:val="00E57C6D"/>
    <w:rsid w:val="00E72B52"/>
    <w:rsid w:val="00E764FC"/>
    <w:rsid w:val="00E772D0"/>
    <w:rsid w:val="00E96B65"/>
    <w:rsid w:val="00EA1B8A"/>
    <w:rsid w:val="00EB1DE5"/>
    <w:rsid w:val="00EB70CE"/>
    <w:rsid w:val="00EB7DC6"/>
    <w:rsid w:val="00EC5E2C"/>
    <w:rsid w:val="00ED438F"/>
    <w:rsid w:val="00ED6819"/>
    <w:rsid w:val="00EE37AF"/>
    <w:rsid w:val="00EF2574"/>
    <w:rsid w:val="00F04A5F"/>
    <w:rsid w:val="00F05C79"/>
    <w:rsid w:val="00F150FC"/>
    <w:rsid w:val="00F15421"/>
    <w:rsid w:val="00F40059"/>
    <w:rsid w:val="00F506D2"/>
    <w:rsid w:val="00F536D7"/>
    <w:rsid w:val="00F60FE1"/>
    <w:rsid w:val="00F80C49"/>
    <w:rsid w:val="00F80FA9"/>
    <w:rsid w:val="00F87A19"/>
    <w:rsid w:val="00FA6811"/>
    <w:rsid w:val="00FA6A61"/>
    <w:rsid w:val="00FB143F"/>
    <w:rsid w:val="00FB31F0"/>
    <w:rsid w:val="00FC6E3B"/>
    <w:rsid w:val="00FE03DC"/>
    <w:rsid w:val="00FE0472"/>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B2CFFDA"/>
  <w15:docId w15:val="{D48D6D16-7C24-4A09-AFEA-4BA22484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768"/>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1"/>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styleId="NoSpacing">
    <w:name w:val="No Spacing"/>
    <w:uiPriority w:val="1"/>
    <w:qFormat/>
    <w:rsid w:val="004A2265"/>
    <w:pPr>
      <w:spacing w:after="0" w:line="240" w:lineRule="auto"/>
    </w:pPr>
    <w:rPr>
      <w:rFonts w:ascii="Calibri" w:eastAsia="Calibri" w:hAnsi="Calibri" w:cs="Calibri"/>
      <w:lang w:val="en-US" w:eastAsia="en-AU"/>
    </w:rPr>
  </w:style>
  <w:style w:type="paragraph" w:customStyle="1" w:styleId="NumberedList">
    <w:name w:val="Numbered List"/>
    <w:basedOn w:val="Normal"/>
    <w:qFormat/>
    <w:rsid w:val="00465625"/>
    <w:pPr>
      <w:numPr>
        <w:numId w:val="7"/>
      </w:numPr>
      <w:ind w:left="357" w:hanging="357"/>
    </w:pPr>
  </w:style>
  <w:style w:type="paragraph" w:styleId="NormalWeb">
    <w:name w:val="Normal (Web)"/>
    <w:basedOn w:val="Normal"/>
    <w:uiPriority w:val="99"/>
    <w:unhideWhenUsed/>
    <w:rsid w:val="00E764F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tPointLVL1">
    <w:name w:val="Dot Point LVL1"/>
    <w:basedOn w:val="Normal"/>
    <w:qFormat/>
    <w:rsid w:val="00FE0472"/>
    <w:pPr>
      <w:ind w:left="720" w:hanging="360"/>
      <w:contextualSpacing/>
    </w:pPr>
  </w:style>
  <w:style w:type="paragraph" w:customStyle="1" w:styleId="DotPointLVL2">
    <w:name w:val="Dot Point LVL2"/>
    <w:basedOn w:val="Normal"/>
    <w:qFormat/>
    <w:rsid w:val="00FE0472"/>
    <w:pPr>
      <w:ind w:left="714" w:hanging="357"/>
      <w:contextualSpacing/>
    </w:pPr>
    <w:rPr>
      <w:rFonts w:ascii="Calibri" w:eastAsia="Calibri" w:hAnsi="Calibri" w:cs="Calibri"/>
      <w:i/>
      <w:lang w:eastAsia="en-AU" w:bidi="en-AU"/>
    </w:rPr>
  </w:style>
  <w:style w:type="paragraph" w:customStyle="1" w:styleId="TableBodyLeft">
    <w:name w:val="TableBodyLeft"/>
    <w:rsid w:val="001C66F5"/>
    <w:rPr>
      <w:rFonts w:eastAsia="Times New Roman" w:cs="Times New Roman"/>
      <w:lang w:val="en-US"/>
    </w:rPr>
  </w:style>
  <w:style w:type="paragraph" w:styleId="Revision">
    <w:name w:val="Revision"/>
    <w:hidden/>
    <w:uiPriority w:val="99"/>
    <w:semiHidden/>
    <w:rsid w:val="00A63ECB"/>
    <w:pPr>
      <w:spacing w:after="0" w:line="240" w:lineRule="auto"/>
    </w:pPr>
  </w:style>
  <w:style w:type="character" w:customStyle="1" w:styleId="apple-tab-span">
    <w:name w:val="apple-tab-span"/>
    <w:basedOn w:val="DefaultParagraphFont"/>
    <w:rsid w:val="00F60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3606">
      <w:bodyDiv w:val="1"/>
      <w:marLeft w:val="0"/>
      <w:marRight w:val="0"/>
      <w:marTop w:val="0"/>
      <w:marBottom w:val="0"/>
      <w:divBdr>
        <w:top w:val="none" w:sz="0" w:space="0" w:color="auto"/>
        <w:left w:val="none" w:sz="0" w:space="0" w:color="auto"/>
        <w:bottom w:val="none" w:sz="0" w:space="0" w:color="auto"/>
        <w:right w:val="none" w:sz="0" w:space="0" w:color="auto"/>
      </w:divBdr>
    </w:div>
    <w:div w:id="44184135">
      <w:bodyDiv w:val="1"/>
      <w:marLeft w:val="0"/>
      <w:marRight w:val="0"/>
      <w:marTop w:val="0"/>
      <w:marBottom w:val="0"/>
      <w:divBdr>
        <w:top w:val="none" w:sz="0" w:space="0" w:color="auto"/>
        <w:left w:val="none" w:sz="0" w:space="0" w:color="auto"/>
        <w:bottom w:val="none" w:sz="0" w:space="0" w:color="auto"/>
        <w:right w:val="none" w:sz="0" w:space="0" w:color="auto"/>
      </w:divBdr>
    </w:div>
    <w:div w:id="89198901">
      <w:bodyDiv w:val="1"/>
      <w:marLeft w:val="0"/>
      <w:marRight w:val="0"/>
      <w:marTop w:val="0"/>
      <w:marBottom w:val="0"/>
      <w:divBdr>
        <w:top w:val="none" w:sz="0" w:space="0" w:color="auto"/>
        <w:left w:val="none" w:sz="0" w:space="0" w:color="auto"/>
        <w:bottom w:val="none" w:sz="0" w:space="0" w:color="auto"/>
        <w:right w:val="none" w:sz="0" w:space="0" w:color="auto"/>
      </w:divBdr>
    </w:div>
    <w:div w:id="154540643">
      <w:bodyDiv w:val="1"/>
      <w:marLeft w:val="0"/>
      <w:marRight w:val="0"/>
      <w:marTop w:val="0"/>
      <w:marBottom w:val="0"/>
      <w:divBdr>
        <w:top w:val="none" w:sz="0" w:space="0" w:color="auto"/>
        <w:left w:val="none" w:sz="0" w:space="0" w:color="auto"/>
        <w:bottom w:val="none" w:sz="0" w:space="0" w:color="auto"/>
        <w:right w:val="none" w:sz="0" w:space="0" w:color="auto"/>
      </w:divBdr>
    </w:div>
    <w:div w:id="175077685">
      <w:bodyDiv w:val="1"/>
      <w:marLeft w:val="0"/>
      <w:marRight w:val="0"/>
      <w:marTop w:val="0"/>
      <w:marBottom w:val="0"/>
      <w:divBdr>
        <w:top w:val="none" w:sz="0" w:space="0" w:color="auto"/>
        <w:left w:val="none" w:sz="0" w:space="0" w:color="auto"/>
        <w:bottom w:val="none" w:sz="0" w:space="0" w:color="auto"/>
        <w:right w:val="none" w:sz="0" w:space="0" w:color="auto"/>
      </w:divBdr>
    </w:div>
    <w:div w:id="252978317">
      <w:bodyDiv w:val="1"/>
      <w:marLeft w:val="0"/>
      <w:marRight w:val="0"/>
      <w:marTop w:val="0"/>
      <w:marBottom w:val="0"/>
      <w:divBdr>
        <w:top w:val="none" w:sz="0" w:space="0" w:color="auto"/>
        <w:left w:val="none" w:sz="0" w:space="0" w:color="auto"/>
        <w:bottom w:val="none" w:sz="0" w:space="0" w:color="auto"/>
        <w:right w:val="none" w:sz="0" w:space="0" w:color="auto"/>
      </w:divBdr>
    </w:div>
    <w:div w:id="255292076">
      <w:bodyDiv w:val="1"/>
      <w:marLeft w:val="0"/>
      <w:marRight w:val="0"/>
      <w:marTop w:val="0"/>
      <w:marBottom w:val="0"/>
      <w:divBdr>
        <w:top w:val="none" w:sz="0" w:space="0" w:color="auto"/>
        <w:left w:val="none" w:sz="0" w:space="0" w:color="auto"/>
        <w:bottom w:val="none" w:sz="0" w:space="0" w:color="auto"/>
        <w:right w:val="none" w:sz="0" w:space="0" w:color="auto"/>
      </w:divBdr>
    </w:div>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375082953">
      <w:bodyDiv w:val="1"/>
      <w:marLeft w:val="0"/>
      <w:marRight w:val="0"/>
      <w:marTop w:val="0"/>
      <w:marBottom w:val="0"/>
      <w:divBdr>
        <w:top w:val="none" w:sz="0" w:space="0" w:color="auto"/>
        <w:left w:val="none" w:sz="0" w:space="0" w:color="auto"/>
        <w:bottom w:val="none" w:sz="0" w:space="0" w:color="auto"/>
        <w:right w:val="none" w:sz="0" w:space="0" w:color="auto"/>
      </w:divBdr>
    </w:div>
    <w:div w:id="416488308">
      <w:bodyDiv w:val="1"/>
      <w:marLeft w:val="0"/>
      <w:marRight w:val="0"/>
      <w:marTop w:val="0"/>
      <w:marBottom w:val="0"/>
      <w:divBdr>
        <w:top w:val="none" w:sz="0" w:space="0" w:color="auto"/>
        <w:left w:val="none" w:sz="0" w:space="0" w:color="auto"/>
        <w:bottom w:val="none" w:sz="0" w:space="0" w:color="auto"/>
        <w:right w:val="none" w:sz="0" w:space="0" w:color="auto"/>
      </w:divBdr>
    </w:div>
    <w:div w:id="459618058">
      <w:bodyDiv w:val="1"/>
      <w:marLeft w:val="0"/>
      <w:marRight w:val="0"/>
      <w:marTop w:val="0"/>
      <w:marBottom w:val="0"/>
      <w:divBdr>
        <w:top w:val="none" w:sz="0" w:space="0" w:color="auto"/>
        <w:left w:val="none" w:sz="0" w:space="0" w:color="auto"/>
        <w:bottom w:val="none" w:sz="0" w:space="0" w:color="auto"/>
        <w:right w:val="none" w:sz="0" w:space="0" w:color="auto"/>
      </w:divBdr>
    </w:div>
    <w:div w:id="464347445">
      <w:bodyDiv w:val="1"/>
      <w:marLeft w:val="0"/>
      <w:marRight w:val="0"/>
      <w:marTop w:val="0"/>
      <w:marBottom w:val="0"/>
      <w:divBdr>
        <w:top w:val="none" w:sz="0" w:space="0" w:color="auto"/>
        <w:left w:val="none" w:sz="0" w:space="0" w:color="auto"/>
        <w:bottom w:val="none" w:sz="0" w:space="0" w:color="auto"/>
        <w:right w:val="none" w:sz="0" w:space="0" w:color="auto"/>
      </w:divBdr>
    </w:div>
    <w:div w:id="490752518">
      <w:bodyDiv w:val="1"/>
      <w:marLeft w:val="0"/>
      <w:marRight w:val="0"/>
      <w:marTop w:val="0"/>
      <w:marBottom w:val="0"/>
      <w:divBdr>
        <w:top w:val="none" w:sz="0" w:space="0" w:color="auto"/>
        <w:left w:val="none" w:sz="0" w:space="0" w:color="auto"/>
        <w:bottom w:val="none" w:sz="0" w:space="0" w:color="auto"/>
        <w:right w:val="none" w:sz="0" w:space="0" w:color="auto"/>
      </w:divBdr>
    </w:div>
    <w:div w:id="501506035">
      <w:bodyDiv w:val="1"/>
      <w:marLeft w:val="0"/>
      <w:marRight w:val="0"/>
      <w:marTop w:val="0"/>
      <w:marBottom w:val="0"/>
      <w:divBdr>
        <w:top w:val="none" w:sz="0" w:space="0" w:color="auto"/>
        <w:left w:val="none" w:sz="0" w:space="0" w:color="auto"/>
        <w:bottom w:val="none" w:sz="0" w:space="0" w:color="auto"/>
        <w:right w:val="none" w:sz="0" w:space="0" w:color="auto"/>
      </w:divBdr>
    </w:div>
    <w:div w:id="536433652">
      <w:bodyDiv w:val="1"/>
      <w:marLeft w:val="0"/>
      <w:marRight w:val="0"/>
      <w:marTop w:val="0"/>
      <w:marBottom w:val="0"/>
      <w:divBdr>
        <w:top w:val="none" w:sz="0" w:space="0" w:color="auto"/>
        <w:left w:val="none" w:sz="0" w:space="0" w:color="auto"/>
        <w:bottom w:val="none" w:sz="0" w:space="0" w:color="auto"/>
        <w:right w:val="none" w:sz="0" w:space="0" w:color="auto"/>
      </w:divBdr>
    </w:div>
    <w:div w:id="853493245">
      <w:bodyDiv w:val="1"/>
      <w:marLeft w:val="0"/>
      <w:marRight w:val="0"/>
      <w:marTop w:val="0"/>
      <w:marBottom w:val="0"/>
      <w:divBdr>
        <w:top w:val="none" w:sz="0" w:space="0" w:color="auto"/>
        <w:left w:val="none" w:sz="0" w:space="0" w:color="auto"/>
        <w:bottom w:val="none" w:sz="0" w:space="0" w:color="auto"/>
        <w:right w:val="none" w:sz="0" w:space="0" w:color="auto"/>
      </w:divBdr>
    </w:div>
    <w:div w:id="903217520">
      <w:bodyDiv w:val="1"/>
      <w:marLeft w:val="0"/>
      <w:marRight w:val="0"/>
      <w:marTop w:val="0"/>
      <w:marBottom w:val="0"/>
      <w:divBdr>
        <w:top w:val="none" w:sz="0" w:space="0" w:color="auto"/>
        <w:left w:val="none" w:sz="0" w:space="0" w:color="auto"/>
        <w:bottom w:val="none" w:sz="0" w:space="0" w:color="auto"/>
        <w:right w:val="none" w:sz="0" w:space="0" w:color="auto"/>
      </w:divBdr>
    </w:div>
    <w:div w:id="1043137770">
      <w:bodyDiv w:val="1"/>
      <w:marLeft w:val="0"/>
      <w:marRight w:val="0"/>
      <w:marTop w:val="0"/>
      <w:marBottom w:val="0"/>
      <w:divBdr>
        <w:top w:val="none" w:sz="0" w:space="0" w:color="auto"/>
        <w:left w:val="none" w:sz="0" w:space="0" w:color="auto"/>
        <w:bottom w:val="none" w:sz="0" w:space="0" w:color="auto"/>
        <w:right w:val="none" w:sz="0" w:space="0" w:color="auto"/>
      </w:divBdr>
    </w:div>
    <w:div w:id="1073774492">
      <w:bodyDiv w:val="1"/>
      <w:marLeft w:val="0"/>
      <w:marRight w:val="0"/>
      <w:marTop w:val="0"/>
      <w:marBottom w:val="0"/>
      <w:divBdr>
        <w:top w:val="none" w:sz="0" w:space="0" w:color="auto"/>
        <w:left w:val="none" w:sz="0" w:space="0" w:color="auto"/>
        <w:bottom w:val="none" w:sz="0" w:space="0" w:color="auto"/>
        <w:right w:val="none" w:sz="0" w:space="0" w:color="auto"/>
      </w:divBdr>
    </w:div>
    <w:div w:id="1212375934">
      <w:bodyDiv w:val="1"/>
      <w:marLeft w:val="0"/>
      <w:marRight w:val="0"/>
      <w:marTop w:val="0"/>
      <w:marBottom w:val="0"/>
      <w:divBdr>
        <w:top w:val="none" w:sz="0" w:space="0" w:color="auto"/>
        <w:left w:val="none" w:sz="0" w:space="0" w:color="auto"/>
        <w:bottom w:val="none" w:sz="0" w:space="0" w:color="auto"/>
        <w:right w:val="none" w:sz="0" w:space="0" w:color="auto"/>
      </w:divBdr>
    </w:div>
    <w:div w:id="1235505810">
      <w:bodyDiv w:val="1"/>
      <w:marLeft w:val="0"/>
      <w:marRight w:val="0"/>
      <w:marTop w:val="0"/>
      <w:marBottom w:val="0"/>
      <w:divBdr>
        <w:top w:val="none" w:sz="0" w:space="0" w:color="auto"/>
        <w:left w:val="none" w:sz="0" w:space="0" w:color="auto"/>
        <w:bottom w:val="none" w:sz="0" w:space="0" w:color="auto"/>
        <w:right w:val="none" w:sz="0" w:space="0" w:color="auto"/>
      </w:divBdr>
    </w:div>
    <w:div w:id="1273827734">
      <w:bodyDiv w:val="1"/>
      <w:marLeft w:val="0"/>
      <w:marRight w:val="0"/>
      <w:marTop w:val="0"/>
      <w:marBottom w:val="0"/>
      <w:divBdr>
        <w:top w:val="none" w:sz="0" w:space="0" w:color="auto"/>
        <w:left w:val="none" w:sz="0" w:space="0" w:color="auto"/>
        <w:bottom w:val="none" w:sz="0" w:space="0" w:color="auto"/>
        <w:right w:val="none" w:sz="0" w:space="0" w:color="auto"/>
      </w:divBdr>
    </w:div>
    <w:div w:id="1290285364">
      <w:bodyDiv w:val="1"/>
      <w:marLeft w:val="0"/>
      <w:marRight w:val="0"/>
      <w:marTop w:val="0"/>
      <w:marBottom w:val="0"/>
      <w:divBdr>
        <w:top w:val="none" w:sz="0" w:space="0" w:color="auto"/>
        <w:left w:val="none" w:sz="0" w:space="0" w:color="auto"/>
        <w:bottom w:val="none" w:sz="0" w:space="0" w:color="auto"/>
        <w:right w:val="none" w:sz="0" w:space="0" w:color="auto"/>
      </w:divBdr>
    </w:div>
    <w:div w:id="1351491021">
      <w:bodyDiv w:val="1"/>
      <w:marLeft w:val="0"/>
      <w:marRight w:val="0"/>
      <w:marTop w:val="0"/>
      <w:marBottom w:val="0"/>
      <w:divBdr>
        <w:top w:val="none" w:sz="0" w:space="0" w:color="auto"/>
        <w:left w:val="none" w:sz="0" w:space="0" w:color="auto"/>
        <w:bottom w:val="none" w:sz="0" w:space="0" w:color="auto"/>
        <w:right w:val="none" w:sz="0" w:space="0" w:color="auto"/>
      </w:divBdr>
    </w:div>
    <w:div w:id="1435248610">
      <w:bodyDiv w:val="1"/>
      <w:marLeft w:val="0"/>
      <w:marRight w:val="0"/>
      <w:marTop w:val="0"/>
      <w:marBottom w:val="0"/>
      <w:divBdr>
        <w:top w:val="none" w:sz="0" w:space="0" w:color="auto"/>
        <w:left w:val="none" w:sz="0" w:space="0" w:color="auto"/>
        <w:bottom w:val="none" w:sz="0" w:space="0" w:color="auto"/>
        <w:right w:val="none" w:sz="0" w:space="0" w:color="auto"/>
      </w:divBdr>
    </w:div>
    <w:div w:id="1440027173">
      <w:bodyDiv w:val="1"/>
      <w:marLeft w:val="0"/>
      <w:marRight w:val="0"/>
      <w:marTop w:val="0"/>
      <w:marBottom w:val="0"/>
      <w:divBdr>
        <w:top w:val="none" w:sz="0" w:space="0" w:color="auto"/>
        <w:left w:val="none" w:sz="0" w:space="0" w:color="auto"/>
        <w:bottom w:val="none" w:sz="0" w:space="0" w:color="auto"/>
        <w:right w:val="none" w:sz="0" w:space="0" w:color="auto"/>
      </w:divBdr>
    </w:div>
    <w:div w:id="1531987584">
      <w:bodyDiv w:val="1"/>
      <w:marLeft w:val="0"/>
      <w:marRight w:val="0"/>
      <w:marTop w:val="0"/>
      <w:marBottom w:val="0"/>
      <w:divBdr>
        <w:top w:val="none" w:sz="0" w:space="0" w:color="auto"/>
        <w:left w:val="none" w:sz="0" w:space="0" w:color="auto"/>
        <w:bottom w:val="none" w:sz="0" w:space="0" w:color="auto"/>
        <w:right w:val="none" w:sz="0" w:space="0" w:color="auto"/>
      </w:divBdr>
    </w:div>
    <w:div w:id="1571649847">
      <w:bodyDiv w:val="1"/>
      <w:marLeft w:val="0"/>
      <w:marRight w:val="0"/>
      <w:marTop w:val="0"/>
      <w:marBottom w:val="0"/>
      <w:divBdr>
        <w:top w:val="none" w:sz="0" w:space="0" w:color="auto"/>
        <w:left w:val="none" w:sz="0" w:space="0" w:color="auto"/>
        <w:bottom w:val="none" w:sz="0" w:space="0" w:color="auto"/>
        <w:right w:val="none" w:sz="0" w:space="0" w:color="auto"/>
      </w:divBdr>
    </w:div>
    <w:div w:id="1649822327">
      <w:bodyDiv w:val="1"/>
      <w:marLeft w:val="0"/>
      <w:marRight w:val="0"/>
      <w:marTop w:val="0"/>
      <w:marBottom w:val="0"/>
      <w:divBdr>
        <w:top w:val="none" w:sz="0" w:space="0" w:color="auto"/>
        <w:left w:val="none" w:sz="0" w:space="0" w:color="auto"/>
        <w:bottom w:val="none" w:sz="0" w:space="0" w:color="auto"/>
        <w:right w:val="none" w:sz="0" w:space="0" w:color="auto"/>
      </w:divBdr>
    </w:div>
    <w:div w:id="1652782133">
      <w:bodyDiv w:val="1"/>
      <w:marLeft w:val="0"/>
      <w:marRight w:val="0"/>
      <w:marTop w:val="0"/>
      <w:marBottom w:val="0"/>
      <w:divBdr>
        <w:top w:val="none" w:sz="0" w:space="0" w:color="auto"/>
        <w:left w:val="none" w:sz="0" w:space="0" w:color="auto"/>
        <w:bottom w:val="none" w:sz="0" w:space="0" w:color="auto"/>
        <w:right w:val="none" w:sz="0" w:space="0" w:color="auto"/>
      </w:divBdr>
    </w:div>
    <w:div w:id="1699234915">
      <w:bodyDiv w:val="1"/>
      <w:marLeft w:val="0"/>
      <w:marRight w:val="0"/>
      <w:marTop w:val="0"/>
      <w:marBottom w:val="0"/>
      <w:divBdr>
        <w:top w:val="none" w:sz="0" w:space="0" w:color="auto"/>
        <w:left w:val="none" w:sz="0" w:space="0" w:color="auto"/>
        <w:bottom w:val="none" w:sz="0" w:space="0" w:color="auto"/>
        <w:right w:val="none" w:sz="0" w:space="0" w:color="auto"/>
      </w:divBdr>
    </w:div>
    <w:div w:id="1719939486">
      <w:bodyDiv w:val="1"/>
      <w:marLeft w:val="0"/>
      <w:marRight w:val="0"/>
      <w:marTop w:val="0"/>
      <w:marBottom w:val="0"/>
      <w:divBdr>
        <w:top w:val="none" w:sz="0" w:space="0" w:color="auto"/>
        <w:left w:val="none" w:sz="0" w:space="0" w:color="auto"/>
        <w:bottom w:val="none" w:sz="0" w:space="0" w:color="auto"/>
        <w:right w:val="none" w:sz="0" w:space="0" w:color="auto"/>
      </w:divBdr>
    </w:div>
    <w:div w:id="1723090192">
      <w:bodyDiv w:val="1"/>
      <w:marLeft w:val="0"/>
      <w:marRight w:val="0"/>
      <w:marTop w:val="0"/>
      <w:marBottom w:val="0"/>
      <w:divBdr>
        <w:top w:val="none" w:sz="0" w:space="0" w:color="auto"/>
        <w:left w:val="none" w:sz="0" w:space="0" w:color="auto"/>
        <w:bottom w:val="none" w:sz="0" w:space="0" w:color="auto"/>
        <w:right w:val="none" w:sz="0" w:space="0" w:color="auto"/>
      </w:divBdr>
    </w:div>
    <w:div w:id="1829520243">
      <w:bodyDiv w:val="1"/>
      <w:marLeft w:val="0"/>
      <w:marRight w:val="0"/>
      <w:marTop w:val="0"/>
      <w:marBottom w:val="0"/>
      <w:divBdr>
        <w:top w:val="none" w:sz="0" w:space="0" w:color="auto"/>
        <w:left w:val="none" w:sz="0" w:space="0" w:color="auto"/>
        <w:bottom w:val="none" w:sz="0" w:space="0" w:color="auto"/>
        <w:right w:val="none" w:sz="0" w:space="0" w:color="auto"/>
      </w:divBdr>
    </w:div>
    <w:div w:id="1895963527">
      <w:bodyDiv w:val="1"/>
      <w:marLeft w:val="0"/>
      <w:marRight w:val="0"/>
      <w:marTop w:val="0"/>
      <w:marBottom w:val="0"/>
      <w:divBdr>
        <w:top w:val="none" w:sz="0" w:space="0" w:color="auto"/>
        <w:left w:val="none" w:sz="0" w:space="0" w:color="auto"/>
        <w:bottom w:val="none" w:sz="0" w:space="0" w:color="auto"/>
        <w:right w:val="none" w:sz="0" w:space="0" w:color="auto"/>
      </w:divBdr>
    </w:div>
    <w:div w:id="1907372947">
      <w:bodyDiv w:val="1"/>
      <w:marLeft w:val="0"/>
      <w:marRight w:val="0"/>
      <w:marTop w:val="0"/>
      <w:marBottom w:val="0"/>
      <w:divBdr>
        <w:top w:val="none" w:sz="0" w:space="0" w:color="auto"/>
        <w:left w:val="none" w:sz="0" w:space="0" w:color="auto"/>
        <w:bottom w:val="none" w:sz="0" w:space="0" w:color="auto"/>
        <w:right w:val="none" w:sz="0" w:space="0" w:color="auto"/>
      </w:divBdr>
    </w:div>
    <w:div w:id="1948727983">
      <w:bodyDiv w:val="1"/>
      <w:marLeft w:val="0"/>
      <w:marRight w:val="0"/>
      <w:marTop w:val="0"/>
      <w:marBottom w:val="0"/>
      <w:divBdr>
        <w:top w:val="none" w:sz="0" w:space="0" w:color="auto"/>
        <w:left w:val="none" w:sz="0" w:space="0" w:color="auto"/>
        <w:bottom w:val="none" w:sz="0" w:space="0" w:color="auto"/>
        <w:right w:val="none" w:sz="0" w:space="0" w:color="auto"/>
      </w:divBdr>
    </w:div>
    <w:div w:id="2028631288">
      <w:bodyDiv w:val="1"/>
      <w:marLeft w:val="0"/>
      <w:marRight w:val="0"/>
      <w:marTop w:val="0"/>
      <w:marBottom w:val="0"/>
      <w:divBdr>
        <w:top w:val="none" w:sz="0" w:space="0" w:color="auto"/>
        <w:left w:val="none" w:sz="0" w:space="0" w:color="auto"/>
        <w:bottom w:val="none" w:sz="0" w:space="0" w:color="auto"/>
        <w:right w:val="none" w:sz="0" w:space="0" w:color="auto"/>
      </w:divBdr>
    </w:div>
    <w:div w:id="20929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4225"/>
    <w:rsid w:val="00115899"/>
    <w:rsid w:val="00253F87"/>
    <w:rsid w:val="003D1F1C"/>
    <w:rsid w:val="004B6832"/>
    <w:rsid w:val="00540782"/>
    <w:rsid w:val="005D3D15"/>
    <w:rsid w:val="00781266"/>
    <w:rsid w:val="00871B0F"/>
    <w:rsid w:val="008B6DE0"/>
    <w:rsid w:val="008F4B21"/>
    <w:rsid w:val="009C7527"/>
    <w:rsid w:val="009D5DC2"/>
    <w:rsid w:val="00BE0012"/>
    <w:rsid w:val="00C85042"/>
    <w:rsid w:val="00ED4A51"/>
    <w:rsid w:val="00FC5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58DAB-4B23-4537-917E-133CF96F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16</Pages>
  <Words>7143</Words>
  <Characters>40719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Watson, Robyn</cp:lastModifiedBy>
  <cp:revision>7</cp:revision>
  <cp:lastPrinted>2018-11-20T01:48:00Z</cp:lastPrinted>
  <dcterms:created xsi:type="dcterms:W3CDTF">2020-02-13T03:13:00Z</dcterms:created>
  <dcterms:modified xsi:type="dcterms:W3CDTF">2021-03-23T05:53:00Z</dcterms:modified>
</cp:coreProperties>
</file>