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0F82898B" w:rsidR="00FE1945" w:rsidRPr="00563A3D" w:rsidRDefault="007A550A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Alfred Deakin High School</w:t>
          </w:r>
        </w:p>
      </w:sdtContent>
    </w:sdt>
    <w:p w14:paraId="63330FCF" w14:textId="34A7F725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7A550A">
            <w:t>South Canberra/ Weston</w:t>
          </w:r>
        </w:sdtContent>
      </w:sdt>
    </w:p>
    <w:p w14:paraId="38F253B0" w14:textId="3005D414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C811FF">
        <w:t>20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3D15BABF" w14:textId="77777777" w:rsidR="00A045D0" w:rsidRDefault="00B10319" w:rsidP="00A045D0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C41AF2">
        <w:t>20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4F2DB4B" w14:textId="208F8609" w:rsidR="00A045D0" w:rsidRPr="00A045D0" w:rsidRDefault="00A045D0" w:rsidP="00A045D0">
      <w:pPr>
        <w:pStyle w:val="BodyText"/>
        <w:rPr>
          <w:i/>
          <w:iCs/>
        </w:rPr>
      </w:pPr>
      <w:r w:rsidRPr="00A045D0">
        <w:rPr>
          <w:i/>
          <w:iCs/>
          <w:noProof/>
        </w:rPr>
        <w:t>Note: Due to the signficant disruptive events of 2020 the data collection cycles of some measures were interrupted. Where this has occurred an N/A entry has been used.</w:t>
      </w:r>
    </w:p>
    <w:p w14:paraId="4C974366" w14:textId="33D39620" w:rsidR="00132917" w:rsidRPr="0058339C" w:rsidRDefault="00132917" w:rsidP="0058339C">
      <w:pPr>
        <w:pStyle w:val="BodyText"/>
      </w:pP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1D7760C0" w14:textId="03B16583" w:rsidR="00300F72" w:rsidRPr="00580F50" w:rsidRDefault="00FE1945" w:rsidP="00300F72">
      <w:pPr>
        <w:pStyle w:val="BodyText"/>
        <w:rPr>
          <w:b/>
          <w:i/>
        </w:rPr>
      </w:pPr>
      <w:r w:rsidRPr="00580F50">
        <w:rPr>
          <w:b/>
          <w:i/>
        </w:rPr>
        <w:t>To promote greater equity in learning outcomes in and across ACT public schools</w:t>
      </w:r>
    </w:p>
    <w:p w14:paraId="0E4AE3ED" w14:textId="36BB40CF" w:rsidR="00846E51" w:rsidRPr="00132917" w:rsidRDefault="00300F72" w:rsidP="00132917">
      <w:pPr>
        <w:pStyle w:val="BodyText"/>
      </w:pPr>
      <w:r w:rsidRPr="00132917">
        <w:t>In 20</w:t>
      </w:r>
      <w:r w:rsidR="00C41AF2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730A3C">
        <w:t xml:space="preserve">2 </w:t>
      </w:r>
      <w:r w:rsidRPr="00132917">
        <w:t>(see reporting for detail):</w:t>
      </w:r>
    </w:p>
    <w:p w14:paraId="10849762" w14:textId="1462FBE5" w:rsidR="00D0154D" w:rsidRDefault="00D0154D" w:rsidP="00D0154D">
      <w:pPr>
        <w:pStyle w:val="ListBullet"/>
      </w:pPr>
      <w:r>
        <w:t xml:space="preserve">Development of a </w:t>
      </w:r>
      <w:r w:rsidR="00626211">
        <w:t>Continuum of Education Support (CES)</w:t>
      </w:r>
      <w:r>
        <w:t xml:space="preserve"> strategy and program to</w:t>
      </w:r>
      <w:r w:rsidR="00626211">
        <w:t xml:space="preserve"> meet the need of</w:t>
      </w:r>
      <w:r>
        <w:t xml:space="preserve"> connect</w:t>
      </w:r>
      <w:r w:rsidR="00626211">
        <w:t>ing all</w:t>
      </w:r>
      <w:r>
        <w:t xml:space="preserve"> students to their learning </w:t>
      </w:r>
      <w:r w:rsidR="0097360B">
        <w:t xml:space="preserve">– Track (re-engagement) and Gryphon (literacy/numeracy) programs </w:t>
      </w:r>
    </w:p>
    <w:p w14:paraId="691B2C86" w14:textId="77777777" w:rsidR="00B70686" w:rsidRDefault="00D0154D" w:rsidP="00C42382">
      <w:pPr>
        <w:pStyle w:val="ListBullet"/>
      </w:pPr>
      <w:r>
        <w:t>Further development of cultural integrity approaches through the Deakin Deadly Mob</w:t>
      </w:r>
      <w:r w:rsidR="00C41AF2">
        <w:t xml:space="preserve"> and across the school community</w:t>
      </w:r>
    </w:p>
    <w:p w14:paraId="05831A13" w14:textId="7C493E35" w:rsidR="00300F72" w:rsidRPr="00300F72" w:rsidRDefault="00B70686" w:rsidP="00C42382">
      <w:pPr>
        <w:pStyle w:val="ListBullet"/>
      </w:pPr>
      <w:r>
        <w:t xml:space="preserve">Development of a learning adjustment platform to support inclusive learning and teaching   </w:t>
      </w:r>
      <w:r w:rsidR="00C41AF2">
        <w:t xml:space="preserve"> </w:t>
      </w:r>
      <w:r w:rsidR="00D0154D">
        <w:t xml:space="preserve">  </w:t>
      </w:r>
    </w:p>
    <w:p w14:paraId="4237A615" w14:textId="77777777" w:rsidR="00300F72" w:rsidRPr="00300F72" w:rsidRDefault="00300F72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5A54A98A" w14:textId="478FF3A2" w:rsidR="00300F72" w:rsidRPr="00580F50" w:rsidRDefault="00B10319" w:rsidP="00300F72">
      <w:pPr>
        <w:pStyle w:val="BodyText"/>
        <w:rPr>
          <w:b/>
          <w:i/>
        </w:rPr>
      </w:pPr>
      <w:r w:rsidRPr="00580F50">
        <w:rPr>
          <w:b/>
          <w:i/>
        </w:rPr>
        <w:t>To facilitate high quality teaching in ACT public schools and strengthen educational outcomes.</w:t>
      </w:r>
    </w:p>
    <w:p w14:paraId="14162F1A" w14:textId="72B1B7EE" w:rsidR="00300F72" w:rsidRPr="00132917" w:rsidRDefault="00300F72" w:rsidP="00132917">
      <w:pPr>
        <w:pStyle w:val="BodyText"/>
      </w:pPr>
      <w:r w:rsidRPr="00132917">
        <w:t>In 20</w:t>
      </w:r>
      <w:r w:rsidR="00C42382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2D238E">
        <w:t>1</w:t>
      </w:r>
      <w:r w:rsidRPr="00132917">
        <w:t xml:space="preserve"> (see reporting for detail):</w:t>
      </w:r>
    </w:p>
    <w:p w14:paraId="3219AB53" w14:textId="13BF5EF9" w:rsidR="00300F72" w:rsidRDefault="000153BD" w:rsidP="00300F72">
      <w:pPr>
        <w:pStyle w:val="ListBullet"/>
      </w:pPr>
      <w:r>
        <w:t xml:space="preserve">Building </w:t>
      </w:r>
      <w:r w:rsidR="008E5D8B">
        <w:t>s</w:t>
      </w:r>
      <w:r>
        <w:t xml:space="preserve">taff capacity </w:t>
      </w:r>
      <w:r w:rsidR="002D238E">
        <w:t xml:space="preserve">in </w:t>
      </w:r>
      <w:r w:rsidR="00A7528B">
        <w:t xml:space="preserve">using data and </w:t>
      </w:r>
      <w:r w:rsidR="002D238E">
        <w:t>evidenc</w:t>
      </w:r>
      <w:r w:rsidR="00A7528B">
        <w:t>e</w:t>
      </w:r>
      <w:r w:rsidR="002D238E">
        <w:t xml:space="preserve"> </w:t>
      </w:r>
      <w:r w:rsidR="00A7528B">
        <w:t xml:space="preserve">to show </w:t>
      </w:r>
      <w:r w:rsidR="002D238E">
        <w:t xml:space="preserve">student learning growth </w:t>
      </w:r>
    </w:p>
    <w:p w14:paraId="692E23E8" w14:textId="065D0401" w:rsidR="0097360B" w:rsidRPr="008E5D8B" w:rsidRDefault="0097360B" w:rsidP="008E5D8B">
      <w:pPr>
        <w:pStyle w:val="ListBullet"/>
        <w:rPr>
          <w:i/>
        </w:rPr>
      </w:pPr>
      <w:r w:rsidRPr="006B5DEB">
        <w:rPr>
          <w:rFonts w:ascii="Calibri" w:eastAsia="Times New Roman" w:hAnsi="Calibri" w:cs="Calibri"/>
          <w:color w:val="000000"/>
          <w:lang w:eastAsia="en-AU"/>
        </w:rPr>
        <w:t>Develop a pedagogy plan which outlines clearly the evidence based and future focussed pedagogies which characterises high quality teaching at ADHS</w:t>
      </w:r>
      <w:r w:rsidRPr="008E5D8B">
        <w:rPr>
          <w:rFonts w:ascii="Calibri" w:eastAsia="Times New Roman" w:hAnsi="Calibri" w:cs="Calibri"/>
          <w:color w:val="000000"/>
          <w:lang w:eastAsia="en-AU"/>
        </w:rPr>
        <w:t xml:space="preserve"> 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0CB48B2" w14:textId="78826BA9" w:rsidR="00300F72" w:rsidRPr="00580F50" w:rsidRDefault="00B10319" w:rsidP="00300F72">
      <w:pPr>
        <w:pStyle w:val="BodyText"/>
        <w:rPr>
          <w:b/>
          <w:i/>
        </w:rPr>
      </w:pPr>
      <w:r w:rsidRPr="00580F50">
        <w:rPr>
          <w:b/>
          <w:i/>
        </w:rPr>
        <w:t>To centre teaching and learning around students as individuals</w:t>
      </w:r>
    </w:p>
    <w:p w14:paraId="6B398A53" w14:textId="30992EA5" w:rsidR="00300F72" w:rsidRPr="00132917" w:rsidRDefault="00300F72" w:rsidP="00132917">
      <w:pPr>
        <w:pStyle w:val="BodyText"/>
      </w:pPr>
      <w:r w:rsidRPr="00132917">
        <w:t>In 20</w:t>
      </w:r>
      <w:r w:rsidR="00C42382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A7528B">
        <w:t>2</w:t>
      </w:r>
      <w:r w:rsidRPr="00132917">
        <w:t xml:space="preserve"> (see reporting for detail):</w:t>
      </w:r>
    </w:p>
    <w:p w14:paraId="7CEE945D" w14:textId="22E1AFA9" w:rsidR="00A91AD8" w:rsidRPr="0097360B" w:rsidRDefault="00A91AD8" w:rsidP="00A91AD8">
      <w:pPr>
        <w:pStyle w:val="ListBullet"/>
        <w:rPr>
          <w:i/>
        </w:rPr>
      </w:pPr>
      <w:r>
        <w:t xml:space="preserve">Professional Learning Community focus on high impact teaching strategy of metacognition and self-regulation </w:t>
      </w:r>
      <w:r>
        <w:rPr>
          <w:rFonts w:ascii="Calibri" w:eastAsia="Times New Roman" w:hAnsi="Calibri" w:cs="Calibri"/>
          <w:color w:val="000000"/>
          <w:lang w:eastAsia="en-AU"/>
        </w:rPr>
        <w:t>to develop independent learning skills</w:t>
      </w:r>
    </w:p>
    <w:p w14:paraId="7CC97BAA" w14:textId="0BE7FEFD" w:rsidR="00E30578" w:rsidRPr="00E30578" w:rsidRDefault="00A91AD8" w:rsidP="00E30578">
      <w:pPr>
        <w:pStyle w:val="ListBullet"/>
        <w:rPr>
          <w:i/>
        </w:rPr>
      </w:pPr>
      <w:r>
        <w:t xml:space="preserve">Further refinement of pedagogies and online learning platforms to allow increased student voice and agency in learning </w:t>
      </w:r>
    </w:p>
    <w:p w14:paraId="2B93A716" w14:textId="396F44EC" w:rsidR="00B10319" w:rsidRDefault="00300F72" w:rsidP="008E5D8B">
      <w:pPr>
        <w:pStyle w:val="ListBullet"/>
        <w:numPr>
          <w:ilvl w:val="0"/>
          <w:numId w:val="0"/>
        </w:numPr>
      </w:pPr>
      <w:r w:rsidRPr="001B26EA">
        <w:br w:type="page"/>
      </w:r>
      <w:r w:rsidR="004D5E45">
        <w:lastRenderedPageBreak/>
        <w:t>Reporting against our priorities</w:t>
      </w:r>
    </w:p>
    <w:p w14:paraId="4E4E2CB8" w14:textId="77777777" w:rsidR="00D959AD" w:rsidRDefault="00837137" w:rsidP="00D959AD">
      <w:pPr>
        <w:pStyle w:val="Heading2"/>
        <w:tabs>
          <w:tab w:val="clear" w:pos="2410"/>
          <w:tab w:val="left" w:pos="1276"/>
        </w:tabs>
        <w:ind w:left="1276" w:hanging="1276"/>
      </w:pPr>
      <w:r w:rsidRPr="000F0410">
        <w:t>Priority 1:</w:t>
      </w:r>
      <w:r w:rsidRPr="000F0410">
        <w:rPr>
          <w:color w:val="auto"/>
        </w:rPr>
        <w:tab/>
      </w:r>
      <w:r w:rsidR="00D959AD">
        <w:t>Flexible and personalised learning experiences to maximise each student’s growth.</w:t>
      </w:r>
    </w:p>
    <w:p w14:paraId="7E6776FE" w14:textId="77777777" w:rsidR="00D959AD" w:rsidRDefault="00D959AD" w:rsidP="00D959AD">
      <w:pPr>
        <w:pStyle w:val="Heading2"/>
        <w:tabs>
          <w:tab w:val="clear" w:pos="2410"/>
          <w:tab w:val="left" w:pos="1276"/>
        </w:tabs>
        <w:ind w:left="1276" w:hanging="1276"/>
      </w:pPr>
    </w:p>
    <w:p w14:paraId="255A28BA" w14:textId="28166683" w:rsidR="004D5E45" w:rsidRPr="00837137" w:rsidRDefault="006D2F6B" w:rsidP="00D959AD">
      <w:pPr>
        <w:pStyle w:val="Heading2"/>
        <w:tabs>
          <w:tab w:val="clear" w:pos="2410"/>
          <w:tab w:val="left" w:pos="1276"/>
        </w:tabs>
        <w:ind w:left="1276" w:hanging="1276"/>
      </w:pPr>
      <w:r w:rsidRPr="00837137">
        <w:t>Targets or measures</w:t>
      </w:r>
    </w:p>
    <w:p w14:paraId="0ED94083" w14:textId="17335356" w:rsidR="000031B5" w:rsidRDefault="00481BD2" w:rsidP="0058339C">
      <w:pPr>
        <w:pStyle w:val="BodyText"/>
      </w:pPr>
      <w:r>
        <w:t>By the end of 20</w:t>
      </w:r>
      <w:r w:rsidR="00382309">
        <w:t>22</w:t>
      </w:r>
      <w:r w:rsidR="000031B5">
        <w:t xml:space="preserve"> we will achieve:</w:t>
      </w:r>
    </w:p>
    <w:p w14:paraId="013EB679" w14:textId="0F3BF1FC" w:rsidR="009A55A5" w:rsidRPr="00382309" w:rsidRDefault="00C33BE7" w:rsidP="00C33BE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382309">
        <w:rPr>
          <w:rFonts w:cs="Calibri"/>
        </w:rPr>
        <w:t>70% of year 9 students (within school match) achieve expected growth or better in reading</w:t>
      </w:r>
      <w:r w:rsidR="00314348" w:rsidRPr="00382309">
        <w:rPr>
          <w:rFonts w:cs="Calibri"/>
        </w:rPr>
        <w:t xml:space="preserve">. </w:t>
      </w:r>
      <w:r w:rsidR="009A55A5" w:rsidRPr="00382309">
        <w:rPr>
          <w:rFonts w:cs="Calibri"/>
        </w:rPr>
        <w:t>This represents a 5% increase in growth in each of the three domains from an average of the past four years.</w:t>
      </w:r>
    </w:p>
    <w:p w14:paraId="7590A6C2" w14:textId="09BF08BF" w:rsidR="00314348" w:rsidRPr="00382309" w:rsidRDefault="00314348" w:rsidP="0031434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382309">
        <w:rPr>
          <w:rFonts w:cs="Calibri"/>
        </w:rPr>
        <w:t>70% of year 9 students (within school match) achieve expected growth or better in writing. This represents a 5% increase in growth in each of the three domains from an average of the past four years.</w:t>
      </w:r>
    </w:p>
    <w:p w14:paraId="6A92D8AE" w14:textId="184D893A" w:rsidR="00C33BE7" w:rsidRDefault="00C33BE7" w:rsidP="00C33BE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382309">
        <w:rPr>
          <w:rFonts w:cs="Calibri"/>
        </w:rPr>
        <w:t xml:space="preserve">77% </w:t>
      </w:r>
      <w:r w:rsidR="009A55A5" w:rsidRPr="00382309">
        <w:rPr>
          <w:rFonts w:cs="Calibri"/>
        </w:rPr>
        <w:t xml:space="preserve">of year 9 students (within school match) achieve expected growth or better </w:t>
      </w:r>
      <w:r w:rsidRPr="00382309">
        <w:rPr>
          <w:rFonts w:cs="Calibri"/>
        </w:rPr>
        <w:t xml:space="preserve">in numeracy.  This represents </w:t>
      </w:r>
      <w:r>
        <w:rPr>
          <w:rFonts w:cs="Calibri"/>
          <w:color w:val="000000"/>
        </w:rPr>
        <w:t>a 5% increase in growth in each of the three domains from an average of the past four years.</w:t>
      </w:r>
    </w:p>
    <w:p w14:paraId="1E8F729D" w14:textId="77777777" w:rsidR="00C33BE7" w:rsidRPr="009B6467" w:rsidRDefault="00C33BE7" w:rsidP="00C33BE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rPr>
          <w:rFonts w:cs="Calibri"/>
          <w:color w:val="000000"/>
        </w:rPr>
        <w:t>Increase the number of Digital Technology classes from three in 2018 to six and at least one STEM class.</w:t>
      </w:r>
    </w:p>
    <w:p w14:paraId="002CBDFE" w14:textId="77777777" w:rsidR="00C33BE7" w:rsidRDefault="00C33BE7" w:rsidP="00C33BE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t>All students utilise E-portfolios as repositories for their best work, goals and future planning</w:t>
      </w:r>
    </w:p>
    <w:p w14:paraId="4F815B4A" w14:textId="0A5149DC" w:rsidR="00C33BE7" w:rsidRPr="00C33BE7" w:rsidRDefault="00C33BE7" w:rsidP="00C33BE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t xml:space="preserve">All staff can critically reflect on their </w:t>
      </w:r>
      <w:r>
        <w:rPr>
          <w:rFonts w:cs="Calibri"/>
          <w:color w:val="000000"/>
        </w:rPr>
        <w:t>impact on student learning</w:t>
      </w:r>
      <w:r>
        <w:t xml:space="preserve"> using a range of data/e</w:t>
      </w:r>
      <w:r w:rsidRPr="008145A7">
        <w:rPr>
          <w:rFonts w:cs="Calibri"/>
          <w:color w:val="000000"/>
        </w:rPr>
        <w:t xml:space="preserve">vidence-based tools </w:t>
      </w:r>
    </w:p>
    <w:p w14:paraId="6B8B241B" w14:textId="77777777" w:rsidR="00C33BE7" w:rsidRDefault="00C33BE7" w:rsidP="00C33B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contextualSpacing/>
      </w:pPr>
    </w:p>
    <w:p w14:paraId="1319DBFF" w14:textId="3AFD4271" w:rsidR="004D5E45" w:rsidRPr="00373DC0" w:rsidRDefault="004D5E45" w:rsidP="00837137">
      <w:pPr>
        <w:pStyle w:val="BodyText"/>
      </w:pPr>
      <w:r w:rsidRPr="00373DC0">
        <w:t>In 20</w:t>
      </w:r>
      <w:r w:rsidR="005D0AAE">
        <w:t>20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3C2A2099" w14:textId="04290E0F" w:rsidR="005D0AAE" w:rsidRPr="006B5DEB" w:rsidRDefault="005D0AAE" w:rsidP="005D0AAE">
      <w:pPr>
        <w:numPr>
          <w:ilvl w:val="0"/>
          <w:numId w:val="20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2060"/>
          <w:lang w:eastAsia="en-AU"/>
        </w:rPr>
      </w:pPr>
      <w:r w:rsidRPr="006B5DEB">
        <w:rPr>
          <w:rFonts w:ascii="Calibri" w:eastAsia="Times New Roman" w:hAnsi="Calibri" w:cs="Calibri"/>
          <w:color w:val="000000"/>
          <w:lang w:eastAsia="en-AU"/>
        </w:rPr>
        <w:t>Extend Professional Learning Community strategy to target</w:t>
      </w:r>
      <w:r>
        <w:rPr>
          <w:rFonts w:ascii="Calibri" w:eastAsia="Times New Roman" w:hAnsi="Calibri" w:cs="Calibri"/>
          <w:color w:val="000000"/>
          <w:lang w:eastAsia="en-AU"/>
        </w:rPr>
        <w:t xml:space="preserve"> high impact teaching strategy area of metacognition and self-regulation. </w:t>
      </w:r>
    </w:p>
    <w:p w14:paraId="37316FF7" w14:textId="77777777" w:rsidR="005D0AAE" w:rsidRPr="006B5DEB" w:rsidRDefault="005D0AAE" w:rsidP="005D0AAE">
      <w:pPr>
        <w:numPr>
          <w:ilvl w:val="0"/>
          <w:numId w:val="20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2060"/>
          <w:lang w:eastAsia="en-AU"/>
        </w:rPr>
      </w:pPr>
      <w:r w:rsidRPr="006B5DEB">
        <w:rPr>
          <w:rFonts w:ascii="Calibri" w:eastAsia="Times New Roman" w:hAnsi="Calibri" w:cs="Calibri"/>
          <w:color w:val="000000"/>
          <w:lang w:eastAsia="en-AU"/>
        </w:rPr>
        <w:t>Plan a framework for staff development with a focus on coaching and mentoring along with in-class observation.</w:t>
      </w:r>
    </w:p>
    <w:p w14:paraId="7EA11D29" w14:textId="77777777" w:rsidR="005D0AAE" w:rsidRPr="006B5DEB" w:rsidRDefault="005D0AAE" w:rsidP="005D0AAE">
      <w:pPr>
        <w:numPr>
          <w:ilvl w:val="0"/>
          <w:numId w:val="20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2060"/>
          <w:lang w:eastAsia="en-AU"/>
        </w:rPr>
      </w:pPr>
      <w:r w:rsidRPr="006B5DEB">
        <w:rPr>
          <w:rFonts w:ascii="Calibri" w:eastAsia="Times New Roman" w:hAnsi="Calibri" w:cs="Calibri"/>
          <w:color w:val="000000"/>
          <w:lang w:eastAsia="en-AU"/>
        </w:rPr>
        <w:t>Develop a pedagogy plan which outlines clearly the evidence based and future focussed pedagogies which characterises high quality teaching at ADHS.    </w:t>
      </w:r>
    </w:p>
    <w:p w14:paraId="6403B9E2" w14:textId="77777777" w:rsidR="009B454E" w:rsidRDefault="009B454E" w:rsidP="009B454E">
      <w:pPr>
        <w:pStyle w:val="BodyText"/>
      </w:pPr>
    </w:p>
    <w:p w14:paraId="7DFF073D" w14:textId="1E021A1D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676D6E2B" w14:textId="77777777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118BFB5A" w14:textId="2A95260A" w:rsidR="00314348" w:rsidRPr="00314348" w:rsidRDefault="00314348" w:rsidP="00D56F59">
            <w:pPr>
              <w:jc w:val="center"/>
            </w:pPr>
            <w:r w:rsidRPr="00314348">
              <w:t>2017</w:t>
            </w:r>
          </w:p>
        </w:tc>
        <w:tc>
          <w:tcPr>
            <w:tcW w:w="790" w:type="dxa"/>
            <w:shd w:val="clear" w:color="auto" w:fill="auto"/>
          </w:tcPr>
          <w:p w14:paraId="76AE5EE2" w14:textId="77777777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42366ADC" w14:textId="6F824040" w:rsidR="00314348" w:rsidRPr="00314348" w:rsidRDefault="00314348" w:rsidP="00D56F59">
            <w:pPr>
              <w:jc w:val="center"/>
            </w:pPr>
            <w:r w:rsidRPr="00314348">
              <w:t>2018</w:t>
            </w:r>
          </w:p>
        </w:tc>
        <w:tc>
          <w:tcPr>
            <w:tcW w:w="790" w:type="dxa"/>
            <w:shd w:val="clear" w:color="auto" w:fill="auto"/>
          </w:tcPr>
          <w:p w14:paraId="4027F295" w14:textId="77777777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3CAE587B" w14:textId="60BCA0CA" w:rsidR="00314348" w:rsidRPr="00314348" w:rsidRDefault="00314348" w:rsidP="00D56F59">
            <w:pPr>
              <w:jc w:val="center"/>
            </w:pPr>
            <w:r w:rsidRPr="00314348">
              <w:t>2019</w:t>
            </w:r>
          </w:p>
        </w:tc>
        <w:tc>
          <w:tcPr>
            <w:tcW w:w="790" w:type="dxa"/>
            <w:shd w:val="clear" w:color="auto" w:fill="auto"/>
          </w:tcPr>
          <w:p w14:paraId="77063A34" w14:textId="77777777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0785495E" w14:textId="73A036EB" w:rsidR="00314348" w:rsidRPr="00314348" w:rsidRDefault="00314348" w:rsidP="00D56F59">
            <w:pPr>
              <w:jc w:val="center"/>
            </w:pPr>
            <w:r w:rsidRPr="00314348">
              <w:t>2020</w:t>
            </w:r>
          </w:p>
        </w:tc>
        <w:tc>
          <w:tcPr>
            <w:tcW w:w="790" w:type="dxa"/>
            <w:shd w:val="clear" w:color="auto" w:fill="auto"/>
          </w:tcPr>
          <w:p w14:paraId="7F50D085" w14:textId="77777777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1F5C5718" w14:textId="2F02BE99" w:rsidR="00314348" w:rsidRPr="00314348" w:rsidRDefault="00314348" w:rsidP="00D56F59">
            <w:pPr>
              <w:jc w:val="center"/>
            </w:pPr>
            <w:r w:rsidRPr="00314348">
              <w:t>2021</w:t>
            </w:r>
          </w:p>
        </w:tc>
        <w:tc>
          <w:tcPr>
            <w:tcW w:w="791" w:type="dxa"/>
            <w:shd w:val="clear" w:color="auto" w:fill="auto"/>
          </w:tcPr>
          <w:p w14:paraId="76DFE7BE" w14:textId="77777777" w:rsidR="006D2F6B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3485F32F" w14:textId="5CCA4EC8" w:rsidR="00314348" w:rsidRPr="00314348" w:rsidRDefault="00314348" w:rsidP="00D56F59">
            <w:pPr>
              <w:jc w:val="center"/>
            </w:pPr>
            <w:r w:rsidRPr="00314348">
              <w:t>2022</w:t>
            </w:r>
          </w:p>
        </w:tc>
      </w:tr>
      <w:tr w:rsidR="006D2F6B" w14:paraId="3B6F6B79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2F72BA3" w14:textId="2FB72563" w:rsidR="006D2F6B" w:rsidRPr="00D03B0C" w:rsidRDefault="00304B4B" w:rsidP="00D03B0C">
            <w:pPr>
              <w:pStyle w:val="PlainText"/>
            </w:pPr>
            <w:r>
              <w:t>NAPLAN expected growth reading</w:t>
            </w:r>
          </w:p>
        </w:tc>
        <w:tc>
          <w:tcPr>
            <w:tcW w:w="790" w:type="dxa"/>
            <w:shd w:val="clear" w:color="auto" w:fill="auto"/>
          </w:tcPr>
          <w:p w14:paraId="6F51F004" w14:textId="6C4DB3DC" w:rsidR="006D2F6B" w:rsidRPr="00D03B0C" w:rsidRDefault="00205B6D" w:rsidP="000B45D8">
            <w:pPr>
              <w:jc w:val="center"/>
            </w:pPr>
            <w:r>
              <w:t>58.0%</w:t>
            </w:r>
          </w:p>
        </w:tc>
        <w:tc>
          <w:tcPr>
            <w:tcW w:w="790" w:type="dxa"/>
            <w:shd w:val="clear" w:color="auto" w:fill="auto"/>
          </w:tcPr>
          <w:p w14:paraId="3571C78F" w14:textId="70C1CEDC" w:rsidR="006D2F6B" w:rsidRPr="00D03B0C" w:rsidRDefault="00205B6D" w:rsidP="000B45D8">
            <w:pPr>
              <w:jc w:val="center"/>
            </w:pPr>
            <w:r>
              <w:t>65.7%</w:t>
            </w:r>
          </w:p>
        </w:tc>
        <w:tc>
          <w:tcPr>
            <w:tcW w:w="790" w:type="dxa"/>
            <w:shd w:val="clear" w:color="auto" w:fill="auto"/>
          </w:tcPr>
          <w:p w14:paraId="69018766" w14:textId="344ECA08" w:rsidR="006D2F6B" w:rsidRPr="00D03B0C" w:rsidRDefault="00205B6D" w:rsidP="000B45D8">
            <w:pPr>
              <w:jc w:val="center"/>
            </w:pPr>
            <w:r>
              <w:t>63.5%</w:t>
            </w:r>
          </w:p>
        </w:tc>
        <w:tc>
          <w:tcPr>
            <w:tcW w:w="790" w:type="dxa"/>
            <w:shd w:val="clear" w:color="auto" w:fill="auto"/>
          </w:tcPr>
          <w:p w14:paraId="7AB434B5" w14:textId="4C701BD4" w:rsidR="006D2F6B" w:rsidRPr="00D03B0C" w:rsidRDefault="0041380E" w:rsidP="000B45D8">
            <w:pPr>
              <w:jc w:val="center"/>
            </w:pPr>
            <w:r>
              <w:t>N</w:t>
            </w:r>
            <w:r w:rsidR="00A045D0">
              <w:t>/</w:t>
            </w:r>
            <w:r>
              <w:t>A</w:t>
            </w:r>
          </w:p>
        </w:tc>
        <w:tc>
          <w:tcPr>
            <w:tcW w:w="790" w:type="dxa"/>
            <w:shd w:val="clear" w:color="auto" w:fill="auto"/>
          </w:tcPr>
          <w:p w14:paraId="6E571018" w14:textId="77777777" w:rsidR="006D2F6B" w:rsidRPr="00D03B0C" w:rsidRDefault="006D2F6B" w:rsidP="000B45D8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1D114ACD" w14:textId="7C70CF01" w:rsidR="006D2F6B" w:rsidRPr="00304B4B" w:rsidRDefault="00304B4B" w:rsidP="00304B4B">
            <w:pPr>
              <w:jc w:val="center"/>
              <w:rPr>
                <w:color w:val="00B050"/>
              </w:rPr>
            </w:pPr>
            <w:r w:rsidRPr="00304B4B">
              <w:rPr>
                <w:color w:val="00B050"/>
              </w:rPr>
              <w:t>70%</w:t>
            </w:r>
          </w:p>
        </w:tc>
      </w:tr>
      <w:tr w:rsidR="006D2F6B" w14:paraId="3E447EB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3C7AC1FF" w14:textId="0A25414B" w:rsidR="006D2F6B" w:rsidRPr="00D03B0C" w:rsidRDefault="00304B4B" w:rsidP="006D2F6B">
            <w:r>
              <w:t xml:space="preserve">NAPLAN expected growth writing </w:t>
            </w:r>
          </w:p>
        </w:tc>
        <w:tc>
          <w:tcPr>
            <w:tcW w:w="790" w:type="dxa"/>
            <w:shd w:val="clear" w:color="auto" w:fill="auto"/>
          </w:tcPr>
          <w:p w14:paraId="4C712096" w14:textId="3DD8348A" w:rsidR="006D2F6B" w:rsidRPr="00D03B0C" w:rsidRDefault="00205B6D" w:rsidP="000B45D8">
            <w:pPr>
              <w:jc w:val="center"/>
            </w:pPr>
            <w:r>
              <w:t>65.4%</w:t>
            </w:r>
          </w:p>
        </w:tc>
        <w:tc>
          <w:tcPr>
            <w:tcW w:w="790" w:type="dxa"/>
            <w:shd w:val="clear" w:color="auto" w:fill="auto"/>
          </w:tcPr>
          <w:p w14:paraId="2AFC093D" w14:textId="26145DF3" w:rsidR="006D2F6B" w:rsidRPr="00D03B0C" w:rsidRDefault="00205B6D" w:rsidP="000B45D8">
            <w:pPr>
              <w:jc w:val="center"/>
            </w:pPr>
            <w:r>
              <w:t>48.7%</w:t>
            </w:r>
          </w:p>
        </w:tc>
        <w:tc>
          <w:tcPr>
            <w:tcW w:w="790" w:type="dxa"/>
            <w:shd w:val="clear" w:color="auto" w:fill="auto"/>
          </w:tcPr>
          <w:p w14:paraId="21FB2E79" w14:textId="517D6B26" w:rsidR="006D2F6B" w:rsidRPr="00D03B0C" w:rsidRDefault="00205B6D" w:rsidP="000B45D8">
            <w:pPr>
              <w:jc w:val="center"/>
            </w:pPr>
            <w:r>
              <w:t>63.0%</w:t>
            </w:r>
          </w:p>
        </w:tc>
        <w:tc>
          <w:tcPr>
            <w:tcW w:w="790" w:type="dxa"/>
            <w:shd w:val="clear" w:color="auto" w:fill="auto"/>
          </w:tcPr>
          <w:p w14:paraId="3C328C1C" w14:textId="03E874E7" w:rsidR="006D2F6B" w:rsidRPr="00D03B0C" w:rsidRDefault="0041380E" w:rsidP="000B45D8">
            <w:pPr>
              <w:jc w:val="center"/>
            </w:pPr>
            <w:r>
              <w:t>N</w:t>
            </w:r>
            <w:r w:rsidR="00A045D0">
              <w:t>/</w:t>
            </w:r>
            <w:r>
              <w:t>A</w:t>
            </w:r>
          </w:p>
        </w:tc>
        <w:tc>
          <w:tcPr>
            <w:tcW w:w="790" w:type="dxa"/>
            <w:shd w:val="clear" w:color="auto" w:fill="auto"/>
          </w:tcPr>
          <w:p w14:paraId="7A35D1D4" w14:textId="77777777" w:rsidR="006D2F6B" w:rsidRPr="00D03B0C" w:rsidRDefault="006D2F6B" w:rsidP="000B45D8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7DBFB30A" w14:textId="486E0485" w:rsidR="006D2F6B" w:rsidRPr="00304B4B" w:rsidRDefault="00304B4B" w:rsidP="00304B4B">
            <w:pPr>
              <w:jc w:val="center"/>
              <w:rPr>
                <w:color w:val="00B050"/>
              </w:rPr>
            </w:pPr>
            <w:r w:rsidRPr="00304B4B">
              <w:rPr>
                <w:color w:val="00B050"/>
              </w:rPr>
              <w:t>70%</w:t>
            </w:r>
          </w:p>
        </w:tc>
      </w:tr>
      <w:tr w:rsidR="00304B4B" w14:paraId="5AE50917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1C9C547" w14:textId="05A34E4F" w:rsidR="00304B4B" w:rsidRPr="00D03B0C" w:rsidRDefault="00304B4B" w:rsidP="006D2F6B">
            <w:r>
              <w:t xml:space="preserve">NAPLAN expected growth numeracy </w:t>
            </w:r>
          </w:p>
        </w:tc>
        <w:tc>
          <w:tcPr>
            <w:tcW w:w="790" w:type="dxa"/>
            <w:shd w:val="clear" w:color="auto" w:fill="auto"/>
          </w:tcPr>
          <w:p w14:paraId="44A20857" w14:textId="5F4CD29B" w:rsidR="00304B4B" w:rsidRPr="00D03B0C" w:rsidRDefault="00205B6D" w:rsidP="000B45D8">
            <w:pPr>
              <w:jc w:val="center"/>
            </w:pPr>
            <w:r>
              <w:t>61.7%</w:t>
            </w:r>
          </w:p>
        </w:tc>
        <w:tc>
          <w:tcPr>
            <w:tcW w:w="790" w:type="dxa"/>
            <w:shd w:val="clear" w:color="auto" w:fill="auto"/>
          </w:tcPr>
          <w:p w14:paraId="1726B964" w14:textId="10C5FD11" w:rsidR="00304B4B" w:rsidRPr="00D03B0C" w:rsidRDefault="00205B6D" w:rsidP="000B45D8">
            <w:pPr>
              <w:jc w:val="center"/>
            </w:pPr>
            <w:r>
              <w:t>64.5%</w:t>
            </w:r>
          </w:p>
        </w:tc>
        <w:tc>
          <w:tcPr>
            <w:tcW w:w="790" w:type="dxa"/>
            <w:shd w:val="clear" w:color="auto" w:fill="auto"/>
          </w:tcPr>
          <w:p w14:paraId="43A2E541" w14:textId="06F73AA2" w:rsidR="00304B4B" w:rsidRPr="00D03B0C" w:rsidRDefault="00205B6D" w:rsidP="000B45D8">
            <w:pPr>
              <w:jc w:val="center"/>
            </w:pPr>
            <w:r>
              <w:t>54.8%</w:t>
            </w:r>
          </w:p>
        </w:tc>
        <w:tc>
          <w:tcPr>
            <w:tcW w:w="790" w:type="dxa"/>
            <w:shd w:val="clear" w:color="auto" w:fill="auto"/>
          </w:tcPr>
          <w:p w14:paraId="5B41C3BB" w14:textId="07D97014" w:rsidR="00304B4B" w:rsidRPr="00D03B0C" w:rsidRDefault="0041380E" w:rsidP="000B45D8">
            <w:pPr>
              <w:jc w:val="center"/>
            </w:pPr>
            <w:r>
              <w:t>N</w:t>
            </w:r>
            <w:r w:rsidR="00A045D0">
              <w:t>/</w:t>
            </w:r>
            <w:r>
              <w:t>A</w:t>
            </w:r>
          </w:p>
        </w:tc>
        <w:tc>
          <w:tcPr>
            <w:tcW w:w="790" w:type="dxa"/>
            <w:shd w:val="clear" w:color="auto" w:fill="auto"/>
          </w:tcPr>
          <w:p w14:paraId="04FEC3F7" w14:textId="77777777" w:rsidR="00304B4B" w:rsidRPr="00D03B0C" w:rsidRDefault="00304B4B" w:rsidP="000B45D8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3CB084D7" w14:textId="6499E2EE" w:rsidR="00304B4B" w:rsidRPr="00304B4B" w:rsidRDefault="00304B4B" w:rsidP="00304B4B">
            <w:pPr>
              <w:jc w:val="center"/>
              <w:rPr>
                <w:color w:val="00B050"/>
              </w:rPr>
            </w:pPr>
            <w:r w:rsidRPr="00304B4B">
              <w:rPr>
                <w:color w:val="00B050"/>
              </w:rPr>
              <w:t>77%</w:t>
            </w:r>
          </w:p>
        </w:tc>
      </w:tr>
    </w:tbl>
    <w:p w14:paraId="5A4D75D7" w14:textId="77777777" w:rsidR="00E674BD" w:rsidRPr="00E674BD" w:rsidRDefault="00E674BD" w:rsidP="00E674BD"/>
    <w:p w14:paraId="71110D5E" w14:textId="51B09816" w:rsidR="0095326F" w:rsidRPr="0095326F" w:rsidRDefault="008A01DA" w:rsidP="00C81D5D">
      <w:pPr>
        <w:pStyle w:val="Heading4"/>
      </w:pPr>
      <w:r>
        <w:lastRenderedPageBreak/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314348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314348" w:rsidRPr="006D2F6B" w:rsidRDefault="00314348" w:rsidP="00314348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20EAB315" w14:textId="77777777" w:rsidR="00314348" w:rsidRDefault="00314348" w:rsidP="00314348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4B51A1C5" w14:textId="66E4E280" w:rsidR="00314348" w:rsidRPr="006D2F6B" w:rsidRDefault="00314348" w:rsidP="00314348">
            <w:pPr>
              <w:jc w:val="center"/>
              <w:rPr>
                <w:b/>
              </w:rPr>
            </w:pPr>
            <w:r w:rsidRPr="00314348">
              <w:t>2017</w:t>
            </w:r>
          </w:p>
        </w:tc>
        <w:tc>
          <w:tcPr>
            <w:tcW w:w="790" w:type="dxa"/>
            <w:shd w:val="clear" w:color="auto" w:fill="auto"/>
          </w:tcPr>
          <w:p w14:paraId="1CEEAD94" w14:textId="77777777" w:rsidR="00314348" w:rsidRDefault="00314348" w:rsidP="00314348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15B7F1C3" w14:textId="0B85BAB2" w:rsidR="00314348" w:rsidRPr="006D2F6B" w:rsidRDefault="00314348" w:rsidP="00314348">
            <w:pPr>
              <w:jc w:val="center"/>
              <w:rPr>
                <w:b/>
              </w:rPr>
            </w:pPr>
            <w:r w:rsidRPr="00314348">
              <w:t>2018</w:t>
            </w:r>
          </w:p>
        </w:tc>
        <w:tc>
          <w:tcPr>
            <w:tcW w:w="790" w:type="dxa"/>
            <w:shd w:val="clear" w:color="auto" w:fill="auto"/>
          </w:tcPr>
          <w:p w14:paraId="5C3C08E5" w14:textId="77777777" w:rsidR="00314348" w:rsidRDefault="00314348" w:rsidP="00314348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4CC28E98" w14:textId="062E3008" w:rsidR="00314348" w:rsidRPr="006D2F6B" w:rsidRDefault="00314348" w:rsidP="00314348">
            <w:pPr>
              <w:jc w:val="center"/>
              <w:rPr>
                <w:b/>
              </w:rPr>
            </w:pPr>
            <w:r w:rsidRPr="00314348">
              <w:t>2019</w:t>
            </w:r>
          </w:p>
        </w:tc>
        <w:tc>
          <w:tcPr>
            <w:tcW w:w="790" w:type="dxa"/>
            <w:shd w:val="clear" w:color="auto" w:fill="auto"/>
          </w:tcPr>
          <w:p w14:paraId="437879D8" w14:textId="77777777" w:rsidR="00314348" w:rsidRDefault="00314348" w:rsidP="00314348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5EE5455E" w14:textId="7FE71939" w:rsidR="00314348" w:rsidRPr="006D2F6B" w:rsidRDefault="00314348" w:rsidP="00314348">
            <w:pPr>
              <w:jc w:val="center"/>
              <w:rPr>
                <w:b/>
              </w:rPr>
            </w:pPr>
            <w:r w:rsidRPr="00314348">
              <w:t>2020</w:t>
            </w:r>
          </w:p>
        </w:tc>
        <w:tc>
          <w:tcPr>
            <w:tcW w:w="790" w:type="dxa"/>
            <w:shd w:val="clear" w:color="auto" w:fill="auto"/>
          </w:tcPr>
          <w:p w14:paraId="5604985A" w14:textId="77777777" w:rsidR="00314348" w:rsidRDefault="00314348" w:rsidP="00314348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1CA3136C" w14:textId="09559F8C" w:rsidR="00314348" w:rsidRPr="006D2F6B" w:rsidRDefault="00314348" w:rsidP="00314348">
            <w:pPr>
              <w:jc w:val="center"/>
              <w:rPr>
                <w:b/>
              </w:rPr>
            </w:pPr>
            <w:r w:rsidRPr="00314348">
              <w:t>2021</w:t>
            </w:r>
          </w:p>
        </w:tc>
        <w:tc>
          <w:tcPr>
            <w:tcW w:w="791" w:type="dxa"/>
            <w:shd w:val="clear" w:color="auto" w:fill="auto"/>
          </w:tcPr>
          <w:p w14:paraId="21E3809F" w14:textId="77777777" w:rsidR="00314348" w:rsidRDefault="00314348" w:rsidP="00314348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372CDBC5" w14:textId="2FCA2A4E" w:rsidR="00314348" w:rsidRPr="006D2F6B" w:rsidRDefault="00314348" w:rsidP="00314348">
            <w:pPr>
              <w:jc w:val="center"/>
              <w:rPr>
                <w:b/>
              </w:rPr>
            </w:pPr>
            <w:r w:rsidRPr="00314348">
              <w:t>2022</w:t>
            </w:r>
          </w:p>
        </w:tc>
      </w:tr>
      <w:tr w:rsidR="006D2F6B" w14:paraId="71FE611D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4716D6B3" w14:textId="35365F5D" w:rsidR="000F6DA9" w:rsidRDefault="000F6DA9" w:rsidP="00D03B0C">
            <w:pPr>
              <w:pStyle w:val="PlainText"/>
            </w:pPr>
            <w:r>
              <w:t>Student perception data –</w:t>
            </w:r>
          </w:p>
          <w:p w14:paraId="1A290323" w14:textId="77777777" w:rsidR="00C81D5D" w:rsidRDefault="002524C0" w:rsidP="00D03B0C">
            <w:pPr>
              <w:pStyle w:val="PlainText"/>
            </w:pPr>
            <w:r>
              <w:t>Teachers give useful feedback</w:t>
            </w:r>
            <w:r w:rsidR="000F6DA9">
              <w:t xml:space="preserve"> </w:t>
            </w:r>
          </w:p>
          <w:p w14:paraId="15FDFA6D" w14:textId="52EFDA0A" w:rsidR="002524C0" w:rsidRPr="006D2F6B" w:rsidRDefault="00C81D5D" w:rsidP="00D03B0C">
            <w:pPr>
              <w:pStyle w:val="PlainText"/>
            </w:pPr>
            <w:r>
              <w:t>(</w:t>
            </w:r>
            <w:r w:rsidR="000F6DA9">
              <w:t>% strongly agree and agree</w:t>
            </w:r>
            <w:r>
              <w:t>)</w:t>
            </w:r>
          </w:p>
        </w:tc>
        <w:tc>
          <w:tcPr>
            <w:tcW w:w="790" w:type="dxa"/>
            <w:shd w:val="clear" w:color="auto" w:fill="auto"/>
          </w:tcPr>
          <w:p w14:paraId="4B7CDD05" w14:textId="0690973C" w:rsidR="006D2F6B" w:rsidRPr="00450AE0" w:rsidRDefault="000F6DA9" w:rsidP="00B87959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60.8%</w:t>
            </w:r>
          </w:p>
        </w:tc>
        <w:tc>
          <w:tcPr>
            <w:tcW w:w="790" w:type="dxa"/>
            <w:shd w:val="clear" w:color="auto" w:fill="auto"/>
          </w:tcPr>
          <w:p w14:paraId="1037F637" w14:textId="40CBB746" w:rsidR="006D2F6B" w:rsidRPr="00450AE0" w:rsidRDefault="000F6DA9" w:rsidP="00B87959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63.4%</w:t>
            </w:r>
          </w:p>
        </w:tc>
        <w:tc>
          <w:tcPr>
            <w:tcW w:w="790" w:type="dxa"/>
            <w:shd w:val="clear" w:color="auto" w:fill="auto"/>
          </w:tcPr>
          <w:p w14:paraId="4DED56F3" w14:textId="30BB1488" w:rsidR="006D2F6B" w:rsidRPr="00450AE0" w:rsidRDefault="000F6DA9" w:rsidP="00B87959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63.3%</w:t>
            </w:r>
          </w:p>
        </w:tc>
        <w:tc>
          <w:tcPr>
            <w:tcW w:w="790" w:type="dxa"/>
            <w:shd w:val="clear" w:color="auto" w:fill="auto"/>
          </w:tcPr>
          <w:p w14:paraId="252D803F" w14:textId="012D5B44" w:rsidR="006D2F6B" w:rsidRPr="006D2F6B" w:rsidRDefault="00DD1B4B" w:rsidP="00B87959">
            <w:pPr>
              <w:jc w:val="center"/>
            </w:pPr>
            <w:r>
              <w:t>54.6%</w:t>
            </w:r>
          </w:p>
        </w:tc>
        <w:tc>
          <w:tcPr>
            <w:tcW w:w="790" w:type="dxa"/>
            <w:shd w:val="clear" w:color="auto" w:fill="auto"/>
          </w:tcPr>
          <w:p w14:paraId="5D9DADCD" w14:textId="77777777" w:rsidR="006D2F6B" w:rsidRPr="006D2F6B" w:rsidRDefault="006D2F6B" w:rsidP="00B87959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0521852A" w14:textId="77777777" w:rsidR="006D2F6B" w:rsidRPr="006D2F6B" w:rsidRDefault="006D2F6B" w:rsidP="00B87959">
            <w:pPr>
              <w:jc w:val="center"/>
            </w:pPr>
          </w:p>
        </w:tc>
      </w:tr>
      <w:tr w:rsidR="00B87959" w14:paraId="46ECF983" w14:textId="77777777" w:rsidTr="00B87959">
        <w:trPr>
          <w:jc w:val="center"/>
        </w:trPr>
        <w:tc>
          <w:tcPr>
            <w:tcW w:w="4297" w:type="dxa"/>
            <w:shd w:val="clear" w:color="auto" w:fill="auto"/>
          </w:tcPr>
          <w:p w14:paraId="1D2FD742" w14:textId="77777777" w:rsidR="00B87959" w:rsidRDefault="00B87959" w:rsidP="00B87959">
            <w:pPr>
              <w:pStyle w:val="PlainText"/>
            </w:pPr>
            <w:r>
              <w:t>Student perception data –</w:t>
            </w:r>
          </w:p>
          <w:p w14:paraId="4F61AF61" w14:textId="66F593C2" w:rsidR="00B87959" w:rsidRDefault="00B87959" w:rsidP="00B87959">
            <w:pPr>
              <w:pStyle w:val="PlainText"/>
            </w:pPr>
            <w:r>
              <w:t xml:space="preserve">I </w:t>
            </w:r>
            <w:r w:rsidRPr="00F3451E">
              <w:rPr>
                <w:i/>
                <w:iCs/>
              </w:rPr>
              <w:t>have the opportunity to provide feedback about teaching and learning programs</w:t>
            </w:r>
            <w:r>
              <w:t xml:space="preserve"> </w:t>
            </w:r>
          </w:p>
          <w:p w14:paraId="428F48AE" w14:textId="7192031D" w:rsidR="00B87959" w:rsidRDefault="00B87959" w:rsidP="00B87959">
            <w:pPr>
              <w:pStyle w:val="PlainText"/>
            </w:pPr>
            <w:r>
              <w:t>(% strongly agree and agree)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0DE41E45" w14:textId="77777777" w:rsidR="00B87959" w:rsidRPr="000A6307" w:rsidRDefault="00B87959" w:rsidP="00B87959">
            <w:pPr>
              <w:jc w:val="center"/>
              <w:rPr>
                <w:color w:val="D09E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0369F57E" w14:textId="77777777" w:rsidR="00B87959" w:rsidRPr="000A6307" w:rsidRDefault="00B87959" w:rsidP="00B87959">
            <w:pPr>
              <w:jc w:val="center"/>
              <w:rPr>
                <w:color w:val="D09E00"/>
              </w:rPr>
            </w:pPr>
          </w:p>
        </w:tc>
        <w:tc>
          <w:tcPr>
            <w:tcW w:w="790" w:type="dxa"/>
            <w:shd w:val="clear" w:color="auto" w:fill="auto"/>
          </w:tcPr>
          <w:p w14:paraId="12FB8DA3" w14:textId="169DAF32" w:rsidR="00B87959" w:rsidRPr="000A6307" w:rsidRDefault="00B87959" w:rsidP="00B87959">
            <w:pPr>
              <w:jc w:val="center"/>
              <w:rPr>
                <w:color w:val="D09E00"/>
              </w:rPr>
            </w:pPr>
            <w:r w:rsidRPr="00B87959">
              <w:t>53.0%</w:t>
            </w:r>
          </w:p>
        </w:tc>
        <w:tc>
          <w:tcPr>
            <w:tcW w:w="790" w:type="dxa"/>
            <w:shd w:val="clear" w:color="auto" w:fill="auto"/>
          </w:tcPr>
          <w:p w14:paraId="577555CB" w14:textId="7538302C" w:rsidR="00B87959" w:rsidRPr="006D2F6B" w:rsidRDefault="00A045D0" w:rsidP="00B87959">
            <w:pPr>
              <w:jc w:val="center"/>
            </w:pPr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4B6933B2" w14:textId="77777777" w:rsidR="00B87959" w:rsidRPr="006D2F6B" w:rsidRDefault="00B87959" w:rsidP="00B87959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1DF12389" w14:textId="77777777" w:rsidR="00B87959" w:rsidRPr="006D2F6B" w:rsidRDefault="00B87959" w:rsidP="00B87959">
            <w:pPr>
              <w:jc w:val="center"/>
            </w:pPr>
          </w:p>
        </w:tc>
      </w:tr>
      <w:tr w:rsidR="006D2F6B" w14:paraId="38F74B11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6173D3A7" w14:textId="43A2A83B" w:rsidR="00C81D5D" w:rsidRDefault="00C81D5D" w:rsidP="00C81D5D">
            <w:pPr>
              <w:pStyle w:val="PlainText"/>
            </w:pPr>
            <w:r>
              <w:t>Staff perception data –</w:t>
            </w:r>
          </w:p>
          <w:p w14:paraId="521CB753" w14:textId="42CE85A4" w:rsidR="000A6307" w:rsidRDefault="000A6307" w:rsidP="00C81D5D">
            <w:pPr>
              <w:pStyle w:val="PlainText"/>
            </w:pPr>
            <w:r>
              <w:t>Teachers f</w:t>
            </w:r>
            <w:r w:rsidR="00096CD3">
              <w:t>ro</w:t>
            </w:r>
            <w:r>
              <w:t xml:space="preserve">m this school use results from system testing and system processes to inform planning </w:t>
            </w:r>
          </w:p>
          <w:p w14:paraId="46E092F7" w14:textId="024053AB" w:rsidR="006D2F6B" w:rsidRPr="006D2F6B" w:rsidRDefault="00C81D5D" w:rsidP="00C81D5D">
            <w:r>
              <w:t>(% strongly agree and agree)</w:t>
            </w:r>
          </w:p>
        </w:tc>
        <w:tc>
          <w:tcPr>
            <w:tcW w:w="790" w:type="dxa"/>
            <w:shd w:val="clear" w:color="auto" w:fill="auto"/>
          </w:tcPr>
          <w:p w14:paraId="3072EA45" w14:textId="4220018A" w:rsidR="006D2F6B" w:rsidRPr="004B7CB6" w:rsidRDefault="000A6307" w:rsidP="00B87959">
            <w:pPr>
              <w:jc w:val="center"/>
              <w:rPr>
                <w:color w:val="00B050"/>
              </w:rPr>
            </w:pPr>
            <w:r w:rsidRPr="004B7CB6">
              <w:rPr>
                <w:color w:val="00B050"/>
              </w:rPr>
              <w:t>78.7%</w:t>
            </w:r>
          </w:p>
        </w:tc>
        <w:tc>
          <w:tcPr>
            <w:tcW w:w="790" w:type="dxa"/>
            <w:shd w:val="clear" w:color="auto" w:fill="auto"/>
          </w:tcPr>
          <w:p w14:paraId="4392190E" w14:textId="262B7933" w:rsidR="006D2F6B" w:rsidRPr="004B7CB6" w:rsidRDefault="000A6307" w:rsidP="00B87959">
            <w:pPr>
              <w:jc w:val="center"/>
              <w:rPr>
                <w:color w:val="00B050"/>
              </w:rPr>
            </w:pPr>
            <w:r w:rsidRPr="004B7CB6">
              <w:rPr>
                <w:color w:val="00B050"/>
              </w:rPr>
              <w:t>71.8%</w:t>
            </w:r>
          </w:p>
        </w:tc>
        <w:tc>
          <w:tcPr>
            <w:tcW w:w="790" w:type="dxa"/>
            <w:shd w:val="clear" w:color="auto" w:fill="auto"/>
          </w:tcPr>
          <w:p w14:paraId="56D80C92" w14:textId="772D2F26" w:rsidR="006D2F6B" w:rsidRPr="004B7CB6" w:rsidRDefault="000A6307" w:rsidP="00B87959">
            <w:pPr>
              <w:jc w:val="center"/>
              <w:rPr>
                <w:color w:val="00B050"/>
              </w:rPr>
            </w:pPr>
            <w:r w:rsidRPr="004B7CB6">
              <w:rPr>
                <w:color w:val="00B050"/>
              </w:rPr>
              <w:t>72.9%</w:t>
            </w:r>
          </w:p>
        </w:tc>
        <w:tc>
          <w:tcPr>
            <w:tcW w:w="790" w:type="dxa"/>
            <w:shd w:val="clear" w:color="auto" w:fill="auto"/>
          </w:tcPr>
          <w:p w14:paraId="396718C1" w14:textId="2BE058E7" w:rsidR="006D2F6B" w:rsidRPr="004B7CB6" w:rsidRDefault="004B7CB6" w:rsidP="00B87959">
            <w:pPr>
              <w:jc w:val="center"/>
              <w:rPr>
                <w:color w:val="00B050"/>
              </w:rPr>
            </w:pPr>
            <w:r w:rsidRPr="004B7CB6">
              <w:rPr>
                <w:color w:val="00B050"/>
              </w:rPr>
              <w:t>76.4</w:t>
            </w:r>
            <w:r>
              <w:rPr>
                <w:color w:val="00B05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432D642D" w14:textId="77777777" w:rsidR="006D2F6B" w:rsidRPr="006D2F6B" w:rsidRDefault="006D2F6B" w:rsidP="00B87959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3F68F7CD" w14:textId="77777777" w:rsidR="006D2F6B" w:rsidRPr="006D2F6B" w:rsidRDefault="006D2F6B" w:rsidP="00B87959">
            <w:pPr>
              <w:jc w:val="center"/>
            </w:pPr>
          </w:p>
        </w:tc>
      </w:tr>
    </w:tbl>
    <w:p w14:paraId="3BAAD9B9" w14:textId="77777777" w:rsidR="004C748A" w:rsidRDefault="004C748A" w:rsidP="004C748A">
      <w:pPr>
        <w:pStyle w:val="Heading4"/>
      </w:pPr>
    </w:p>
    <w:p w14:paraId="31AD0B74" w14:textId="78A70D01" w:rsidR="004C748A" w:rsidRDefault="008A01DA" w:rsidP="004C748A">
      <w:pPr>
        <w:pStyle w:val="Heading4"/>
      </w:pPr>
      <w:r>
        <w:t>School program and process data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4C748A" w14:paraId="194F5F25" w14:textId="77777777" w:rsidTr="00C5759B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7733FC84" w14:textId="5E491C11" w:rsidR="00C70483" w:rsidRPr="009A79F0" w:rsidRDefault="00E674BD" w:rsidP="004C748A">
            <w:pPr>
              <w:pStyle w:val="PlainText"/>
              <w:rPr>
                <w:color w:val="000000" w:themeColor="text1"/>
              </w:rPr>
            </w:pPr>
            <w:r w:rsidRPr="009A79F0">
              <w:rPr>
                <w:color w:val="000000" w:themeColor="text1"/>
              </w:rPr>
              <w:t>P</w:t>
            </w:r>
            <w:r w:rsidR="009A79F0">
              <w:rPr>
                <w:color w:val="000000" w:themeColor="text1"/>
              </w:rPr>
              <w:t xml:space="preserve">rofessional </w:t>
            </w:r>
            <w:r w:rsidRPr="009A79F0">
              <w:rPr>
                <w:color w:val="000000" w:themeColor="text1"/>
              </w:rPr>
              <w:t>L</w:t>
            </w:r>
            <w:r w:rsidR="009A79F0">
              <w:rPr>
                <w:color w:val="000000" w:themeColor="text1"/>
              </w:rPr>
              <w:t xml:space="preserve">earning </w:t>
            </w:r>
            <w:r w:rsidR="009A79F0" w:rsidRPr="009A79F0">
              <w:rPr>
                <w:color w:val="000000" w:themeColor="text1"/>
              </w:rPr>
              <w:t>C</w:t>
            </w:r>
            <w:r w:rsidR="009A79F0">
              <w:rPr>
                <w:color w:val="000000" w:themeColor="text1"/>
              </w:rPr>
              <w:t>ommunities</w:t>
            </w:r>
            <w:r w:rsidRPr="009A79F0">
              <w:rPr>
                <w:color w:val="000000" w:themeColor="text1"/>
              </w:rPr>
              <w:t xml:space="preserve"> process information and areas of focus</w:t>
            </w:r>
            <w:r w:rsidR="009A79F0">
              <w:rPr>
                <w:color w:val="000000" w:themeColor="text1"/>
              </w:rPr>
              <w:t xml:space="preserve">, </w:t>
            </w:r>
            <w:r w:rsidR="00147964" w:rsidRPr="009A79F0">
              <w:rPr>
                <w:color w:val="000000" w:themeColor="text1"/>
              </w:rPr>
              <w:t>completion rate</w:t>
            </w:r>
            <w:r w:rsidR="00C70483" w:rsidRPr="009A79F0">
              <w:rPr>
                <w:color w:val="000000" w:themeColor="text1"/>
              </w:rPr>
              <w:t xml:space="preserve">, feedback survey (3 years) </w:t>
            </w:r>
          </w:p>
          <w:p w14:paraId="364F9F57" w14:textId="77777777" w:rsidR="00C35892" w:rsidRPr="009A79F0" w:rsidRDefault="00E674BD" w:rsidP="004C748A">
            <w:pPr>
              <w:pStyle w:val="PlainText"/>
              <w:rPr>
                <w:color w:val="000000" w:themeColor="text1"/>
              </w:rPr>
            </w:pPr>
            <w:r w:rsidRPr="009A79F0">
              <w:rPr>
                <w:color w:val="000000" w:themeColor="text1"/>
              </w:rPr>
              <w:t xml:space="preserve">Staff development focus – Exec coaching and </w:t>
            </w:r>
            <w:r w:rsidR="00C35892" w:rsidRPr="009A79F0">
              <w:rPr>
                <w:color w:val="000000" w:themeColor="text1"/>
              </w:rPr>
              <w:t xml:space="preserve">early career teacher coaching </w:t>
            </w:r>
          </w:p>
          <w:p w14:paraId="67A0C2B4" w14:textId="77777777" w:rsidR="00C35892" w:rsidRPr="009A79F0" w:rsidRDefault="00C35892" w:rsidP="004C748A">
            <w:pPr>
              <w:pStyle w:val="PlainText"/>
              <w:rPr>
                <w:color w:val="000000" w:themeColor="text1"/>
              </w:rPr>
            </w:pPr>
            <w:r w:rsidRPr="009A79F0">
              <w:rPr>
                <w:color w:val="000000" w:themeColor="text1"/>
              </w:rPr>
              <w:t>Pedagogy Plan – drafted for consultation term 1 2021</w:t>
            </w:r>
          </w:p>
          <w:p w14:paraId="120D0A43" w14:textId="5AFBE0D0" w:rsidR="00D06910" w:rsidRPr="00C70483" w:rsidRDefault="00C35892" w:rsidP="004C748A">
            <w:pPr>
              <w:pStyle w:val="PlainText"/>
              <w:rPr>
                <w:color w:val="FF0000"/>
              </w:rPr>
            </w:pPr>
            <w:r w:rsidRPr="009A79F0">
              <w:rPr>
                <w:color w:val="000000" w:themeColor="text1"/>
              </w:rPr>
              <w:t xml:space="preserve">Initial planning of e-portfolio concept at Executive Conference </w:t>
            </w:r>
            <w:r w:rsidR="00E674BD" w:rsidRPr="009A79F0">
              <w:rPr>
                <w:color w:val="000000" w:themeColor="text1"/>
              </w:rPr>
              <w:t xml:space="preserve"> </w:t>
            </w:r>
          </w:p>
        </w:tc>
      </w:tr>
    </w:tbl>
    <w:p w14:paraId="08235F38" w14:textId="77777777" w:rsidR="004C748A" w:rsidRPr="004C748A" w:rsidRDefault="004C748A" w:rsidP="004C748A"/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5A7D1DBC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7683E7F7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2A604068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  <w:p w14:paraId="3D66D815" w14:textId="12C1FD3F" w:rsidR="00626211" w:rsidRPr="00626211" w:rsidRDefault="00626211" w:rsidP="00D56F59">
            <w:pPr>
              <w:jc w:val="center"/>
            </w:pPr>
            <w:r w:rsidRPr="00626211">
              <w:t>2017</w:t>
            </w:r>
          </w:p>
        </w:tc>
        <w:tc>
          <w:tcPr>
            <w:tcW w:w="790" w:type="dxa"/>
            <w:shd w:val="clear" w:color="auto" w:fill="auto"/>
          </w:tcPr>
          <w:p w14:paraId="74568F42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  <w:p w14:paraId="2D7C7705" w14:textId="4EF954BE" w:rsidR="00626211" w:rsidRPr="00626211" w:rsidRDefault="00626211" w:rsidP="00D56F59">
            <w:pPr>
              <w:jc w:val="center"/>
            </w:pPr>
            <w:r w:rsidRPr="00626211">
              <w:t>2018</w:t>
            </w:r>
          </w:p>
        </w:tc>
        <w:tc>
          <w:tcPr>
            <w:tcW w:w="790" w:type="dxa"/>
            <w:shd w:val="clear" w:color="auto" w:fill="auto"/>
          </w:tcPr>
          <w:p w14:paraId="5F066CB8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  <w:p w14:paraId="1AEEC90B" w14:textId="67F0568E" w:rsidR="00626211" w:rsidRPr="00626211" w:rsidRDefault="00626211" w:rsidP="00D56F59">
            <w:pPr>
              <w:jc w:val="center"/>
            </w:pPr>
            <w:r w:rsidRPr="00626211">
              <w:t>2019</w:t>
            </w:r>
          </w:p>
        </w:tc>
        <w:tc>
          <w:tcPr>
            <w:tcW w:w="790" w:type="dxa"/>
            <w:shd w:val="clear" w:color="auto" w:fill="auto"/>
          </w:tcPr>
          <w:p w14:paraId="40D099C6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  <w:p w14:paraId="55A376BF" w14:textId="19BB5AD5" w:rsidR="00626211" w:rsidRPr="00626211" w:rsidRDefault="00626211" w:rsidP="00D56F59">
            <w:pPr>
              <w:jc w:val="center"/>
            </w:pPr>
            <w:r w:rsidRPr="00626211">
              <w:t>2020</w:t>
            </w:r>
          </w:p>
        </w:tc>
        <w:tc>
          <w:tcPr>
            <w:tcW w:w="790" w:type="dxa"/>
            <w:shd w:val="clear" w:color="auto" w:fill="auto"/>
          </w:tcPr>
          <w:p w14:paraId="4839FE03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  <w:p w14:paraId="7B0F6FB9" w14:textId="24C3EE45" w:rsidR="00626211" w:rsidRPr="00626211" w:rsidRDefault="00626211" w:rsidP="00D56F59">
            <w:pPr>
              <w:jc w:val="center"/>
            </w:pPr>
            <w:r w:rsidRPr="00626211">
              <w:t>2021</w:t>
            </w:r>
          </w:p>
        </w:tc>
        <w:tc>
          <w:tcPr>
            <w:tcW w:w="791" w:type="dxa"/>
            <w:shd w:val="clear" w:color="auto" w:fill="auto"/>
          </w:tcPr>
          <w:p w14:paraId="78175D2B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  <w:p w14:paraId="1A3E1375" w14:textId="4498B6D0" w:rsidR="00626211" w:rsidRPr="00626211" w:rsidRDefault="00626211" w:rsidP="00D56F59">
            <w:pPr>
              <w:jc w:val="center"/>
            </w:pPr>
            <w:r w:rsidRPr="00626211">
              <w:t>2022</w:t>
            </w:r>
          </w:p>
        </w:tc>
      </w:tr>
      <w:tr w:rsidR="006D2F6B" w14:paraId="511DB66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FF0947B" w14:textId="77777777" w:rsidR="00626211" w:rsidRDefault="00626211" w:rsidP="00D03B0C">
            <w:pPr>
              <w:pStyle w:val="PlainText"/>
            </w:pPr>
            <w:r>
              <w:t>Digital Technology classes</w:t>
            </w:r>
          </w:p>
          <w:p w14:paraId="0CEA91E9" w14:textId="4677EDA1" w:rsidR="006D2F6B" w:rsidRPr="006D2F6B" w:rsidRDefault="00626211" w:rsidP="00D03B0C">
            <w:pPr>
              <w:pStyle w:val="PlainText"/>
            </w:pPr>
            <w:r>
              <w:t xml:space="preserve">(total number of classes) </w:t>
            </w:r>
          </w:p>
        </w:tc>
        <w:tc>
          <w:tcPr>
            <w:tcW w:w="790" w:type="dxa"/>
            <w:shd w:val="clear" w:color="auto" w:fill="auto"/>
          </w:tcPr>
          <w:p w14:paraId="1DEC5E9B" w14:textId="653FE3C4" w:rsidR="006D2F6B" w:rsidRPr="006D2F6B" w:rsidRDefault="00626211" w:rsidP="00626211">
            <w:pPr>
              <w:jc w:val="center"/>
            </w:pPr>
            <w:r>
              <w:t>3</w:t>
            </w:r>
          </w:p>
        </w:tc>
        <w:tc>
          <w:tcPr>
            <w:tcW w:w="790" w:type="dxa"/>
            <w:shd w:val="clear" w:color="auto" w:fill="auto"/>
          </w:tcPr>
          <w:p w14:paraId="0FF61450" w14:textId="5503AEE2" w:rsidR="006D2F6B" w:rsidRPr="006D2F6B" w:rsidRDefault="00E26CA2" w:rsidP="00626211">
            <w:pPr>
              <w:jc w:val="center"/>
            </w:pPr>
            <w:r>
              <w:t>5</w:t>
            </w:r>
          </w:p>
        </w:tc>
        <w:tc>
          <w:tcPr>
            <w:tcW w:w="790" w:type="dxa"/>
            <w:shd w:val="clear" w:color="auto" w:fill="auto"/>
          </w:tcPr>
          <w:p w14:paraId="6E75F6C9" w14:textId="0958F789" w:rsidR="006D2F6B" w:rsidRPr="006D2F6B" w:rsidRDefault="00E26CA2" w:rsidP="00626211">
            <w:pPr>
              <w:jc w:val="center"/>
            </w:pPr>
            <w:r>
              <w:t>6</w:t>
            </w:r>
          </w:p>
        </w:tc>
        <w:tc>
          <w:tcPr>
            <w:tcW w:w="790" w:type="dxa"/>
            <w:shd w:val="clear" w:color="auto" w:fill="auto"/>
          </w:tcPr>
          <w:p w14:paraId="3E895FED" w14:textId="08127651" w:rsidR="006D2F6B" w:rsidRPr="006D2F6B" w:rsidRDefault="009A79F0" w:rsidP="00626211">
            <w:pPr>
              <w:jc w:val="center"/>
            </w:pPr>
            <w:r>
              <w:t>6</w:t>
            </w:r>
          </w:p>
        </w:tc>
        <w:tc>
          <w:tcPr>
            <w:tcW w:w="790" w:type="dxa"/>
            <w:shd w:val="clear" w:color="auto" w:fill="auto"/>
          </w:tcPr>
          <w:p w14:paraId="3731D7F2" w14:textId="77777777" w:rsidR="006D2F6B" w:rsidRPr="006D2F6B" w:rsidRDefault="006D2F6B" w:rsidP="00626211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0E363862" w14:textId="5F11B9B5" w:rsidR="006D2F6B" w:rsidRPr="006D2F6B" w:rsidRDefault="00626211" w:rsidP="00626211">
            <w:pPr>
              <w:jc w:val="center"/>
            </w:pPr>
            <w:r w:rsidRPr="00626211">
              <w:rPr>
                <w:color w:val="00B050"/>
              </w:rPr>
              <w:t>6</w:t>
            </w:r>
          </w:p>
        </w:tc>
      </w:tr>
      <w:tr w:rsidR="006D2F6B" w14:paraId="67C433E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ACCC9D6" w14:textId="77777777" w:rsidR="006D2F6B" w:rsidRDefault="00626211" w:rsidP="00761CEF">
            <w:r>
              <w:t>STEM classes</w:t>
            </w:r>
          </w:p>
          <w:p w14:paraId="7BEC87F4" w14:textId="7D67EE1B" w:rsidR="00626211" w:rsidRPr="006D2F6B" w:rsidRDefault="00626211" w:rsidP="00761CEF">
            <w:r>
              <w:t>(total number of classes)</w:t>
            </w:r>
          </w:p>
        </w:tc>
        <w:tc>
          <w:tcPr>
            <w:tcW w:w="790" w:type="dxa"/>
            <w:shd w:val="clear" w:color="auto" w:fill="auto"/>
          </w:tcPr>
          <w:p w14:paraId="3C288E5B" w14:textId="17267A12" w:rsidR="006D2F6B" w:rsidRPr="006D2F6B" w:rsidRDefault="00626211" w:rsidP="00E26CA2">
            <w:pPr>
              <w:jc w:val="center"/>
            </w:pPr>
            <w:r>
              <w:t>0</w:t>
            </w:r>
          </w:p>
        </w:tc>
        <w:tc>
          <w:tcPr>
            <w:tcW w:w="790" w:type="dxa"/>
            <w:shd w:val="clear" w:color="auto" w:fill="auto"/>
          </w:tcPr>
          <w:p w14:paraId="7AEA167E" w14:textId="0E994344" w:rsidR="006D2F6B" w:rsidRPr="006D2F6B" w:rsidRDefault="00E26CA2" w:rsidP="00E26CA2">
            <w:pPr>
              <w:jc w:val="center"/>
            </w:pPr>
            <w:r>
              <w:t>1</w:t>
            </w:r>
          </w:p>
        </w:tc>
        <w:tc>
          <w:tcPr>
            <w:tcW w:w="790" w:type="dxa"/>
            <w:shd w:val="clear" w:color="auto" w:fill="auto"/>
          </w:tcPr>
          <w:p w14:paraId="016DCD06" w14:textId="28B636AF" w:rsidR="006D2F6B" w:rsidRPr="006D2F6B" w:rsidRDefault="00E26CA2" w:rsidP="00E26CA2">
            <w:pPr>
              <w:jc w:val="center"/>
            </w:pPr>
            <w:r>
              <w:t>5</w:t>
            </w:r>
          </w:p>
        </w:tc>
        <w:tc>
          <w:tcPr>
            <w:tcW w:w="790" w:type="dxa"/>
            <w:shd w:val="clear" w:color="auto" w:fill="auto"/>
          </w:tcPr>
          <w:p w14:paraId="6C5F0C5C" w14:textId="07095172" w:rsidR="006D2F6B" w:rsidRPr="006D2F6B" w:rsidRDefault="00C70483" w:rsidP="00C70483">
            <w:pPr>
              <w:jc w:val="center"/>
            </w:pPr>
            <w:r>
              <w:t>3*</w:t>
            </w:r>
          </w:p>
        </w:tc>
        <w:tc>
          <w:tcPr>
            <w:tcW w:w="790" w:type="dxa"/>
            <w:shd w:val="clear" w:color="auto" w:fill="auto"/>
          </w:tcPr>
          <w:p w14:paraId="156A1392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217D8781" w14:textId="77777777" w:rsidR="006D2F6B" w:rsidRPr="006D2F6B" w:rsidRDefault="006D2F6B" w:rsidP="00D03B0C"/>
        </w:tc>
      </w:tr>
    </w:tbl>
    <w:p w14:paraId="6D092A05" w14:textId="3F4C034C" w:rsidR="008A01DA" w:rsidRPr="00C70483" w:rsidRDefault="00C70483" w:rsidP="00E061B8">
      <w:pPr>
        <w:pStyle w:val="BodyText"/>
        <w:rPr>
          <w:sz w:val="18"/>
          <w:szCs w:val="18"/>
        </w:rPr>
      </w:pPr>
      <w:r w:rsidRPr="00C70483">
        <w:rPr>
          <w:sz w:val="18"/>
          <w:szCs w:val="18"/>
        </w:rPr>
        <w:t xml:space="preserve">*some STEM classes didn’t run during home learning period </w:t>
      </w:r>
    </w:p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05A0E445" w14:textId="2AC70483" w:rsidR="00AC3868" w:rsidRPr="0016678D" w:rsidRDefault="006603B4" w:rsidP="002C3DA2">
            <w:pPr>
              <w:pStyle w:val="PlainText"/>
              <w:rPr>
                <w:b/>
                <w:bCs/>
              </w:rPr>
            </w:pPr>
            <w:bookmarkStart w:id="0" w:name="_Hlk30417168"/>
            <w:r w:rsidRPr="006603B4">
              <w:rPr>
                <w:b/>
                <w:bCs/>
              </w:rPr>
              <w:t>Flexible and personalised learning experiences to maximise each student’s growth.</w:t>
            </w:r>
          </w:p>
          <w:p w14:paraId="441B57CC" w14:textId="4470DCD3" w:rsidR="006603B4" w:rsidRPr="00D16E8A" w:rsidRDefault="00944E99" w:rsidP="000707A7">
            <w:pPr>
              <w:pStyle w:val="PlainText"/>
              <w:numPr>
                <w:ilvl w:val="0"/>
                <w:numId w:val="23"/>
              </w:numPr>
            </w:pPr>
            <w:r w:rsidRPr="00D16E8A">
              <w:t>Professional Learning Community</w:t>
            </w:r>
            <w:r w:rsidR="00D16E8A">
              <w:t xml:space="preserve"> -</w:t>
            </w:r>
            <w:r w:rsidRPr="00D16E8A">
              <w:t xml:space="preserve"> focus on high impact strategy </w:t>
            </w:r>
            <w:r w:rsidR="006603B4" w:rsidRPr="00D16E8A">
              <w:t xml:space="preserve">of </w:t>
            </w:r>
            <w:r w:rsidRPr="00D16E8A">
              <w:t xml:space="preserve">metacognition and self-regulation. All teachers engaged </w:t>
            </w:r>
            <w:r w:rsidR="0092296B" w:rsidRPr="00D16E8A">
              <w:t>in</w:t>
            </w:r>
            <w:r w:rsidRPr="00D16E8A">
              <w:t xml:space="preserve"> a project </w:t>
            </w:r>
            <w:r w:rsidR="006603B4" w:rsidRPr="00D16E8A">
              <w:t>which involved collection of 3 sources of evidence - pre- and post-performance, student feedback on learning and peer observation.</w:t>
            </w:r>
            <w:r w:rsidR="0016678D">
              <w:t xml:space="preserve"> Opportunity to share practice within PLC team and at a whole staff showcase. </w:t>
            </w:r>
          </w:p>
          <w:p w14:paraId="205CB90E" w14:textId="1BDBAA4C" w:rsidR="00D16E8A" w:rsidRDefault="00D16E8A" w:rsidP="000707A7">
            <w:pPr>
              <w:pStyle w:val="PlainText"/>
              <w:numPr>
                <w:ilvl w:val="0"/>
                <w:numId w:val="23"/>
              </w:numPr>
            </w:pPr>
            <w:r>
              <w:t xml:space="preserve">Pedagogy plan – </w:t>
            </w:r>
            <w:r w:rsidR="0016678D">
              <w:t xml:space="preserve">draft document </w:t>
            </w:r>
            <w:r>
              <w:t xml:space="preserve">developed to guide the ongoing development of student centred </w:t>
            </w:r>
            <w:r w:rsidR="001A5F29">
              <w:t xml:space="preserve">and future focussed </w:t>
            </w:r>
            <w:r>
              <w:t xml:space="preserve">instructional practices at ADHS  </w:t>
            </w:r>
          </w:p>
          <w:p w14:paraId="2463E9AD" w14:textId="3704C287" w:rsidR="001D170A" w:rsidRDefault="00D16E8A" w:rsidP="000707A7">
            <w:pPr>
              <w:pStyle w:val="PlainText"/>
              <w:numPr>
                <w:ilvl w:val="0"/>
                <w:numId w:val="23"/>
              </w:numPr>
            </w:pPr>
            <w:r>
              <w:t>E-Portfolio concept – comme</w:t>
            </w:r>
            <w:r w:rsidR="001A5F29">
              <w:t>nced implementation of an e-Portfolio</w:t>
            </w:r>
            <w:r w:rsidR="00686A09">
              <w:t>, using the General Capabilities,</w:t>
            </w:r>
            <w:r w:rsidR="001A5F29">
              <w:t xml:space="preserve"> as a vehicle to shift practice toward the development of </w:t>
            </w:r>
            <w:r>
              <w:t>independent learning skills</w:t>
            </w:r>
            <w:r w:rsidR="001A5F29">
              <w:t xml:space="preserve"> and greater student agency in learning</w:t>
            </w:r>
          </w:p>
          <w:p w14:paraId="22C5C58E" w14:textId="11831DEB" w:rsidR="00EC16C0" w:rsidRDefault="0029136C" w:rsidP="00DE004D">
            <w:pPr>
              <w:pStyle w:val="PlainText"/>
              <w:numPr>
                <w:ilvl w:val="0"/>
                <w:numId w:val="23"/>
              </w:numPr>
            </w:pPr>
            <w:r>
              <w:lastRenderedPageBreak/>
              <w:t xml:space="preserve">Coaching and mentoring – established </w:t>
            </w:r>
            <w:r w:rsidR="00686A09">
              <w:t xml:space="preserve">early career teacher mentoring program. </w:t>
            </w:r>
            <w:r>
              <w:t xml:space="preserve">School Leader coaching program to drive implementation of school improvement </w:t>
            </w:r>
            <w:r w:rsidR="00DE004D">
              <w:t>strategies</w:t>
            </w:r>
            <w:r w:rsidR="00686A09">
              <w:t xml:space="preserve">. </w:t>
            </w:r>
          </w:p>
          <w:p w14:paraId="2DFB70DA" w14:textId="357BF7B8" w:rsidR="00EC16C0" w:rsidRDefault="00EC16C0" w:rsidP="00EC16C0">
            <w:pPr>
              <w:pStyle w:val="PlainText"/>
              <w:numPr>
                <w:ilvl w:val="0"/>
                <w:numId w:val="23"/>
              </w:numPr>
            </w:pPr>
            <w:r>
              <w:t xml:space="preserve">Personalising learning – a new process was designed for supporting teachers to </w:t>
            </w:r>
            <w:r>
              <w:rPr>
                <w:bCs/>
              </w:rPr>
              <w:t>a</w:t>
            </w:r>
            <w:r w:rsidRPr="00EC16C0">
              <w:rPr>
                <w:bCs/>
              </w:rPr>
              <w:t>djust</w:t>
            </w:r>
            <w:r>
              <w:rPr>
                <w:bCs/>
              </w:rPr>
              <w:t xml:space="preserve"> learning based on student need. </w:t>
            </w:r>
            <w:r w:rsidR="00643D7E">
              <w:rPr>
                <w:bCs/>
              </w:rPr>
              <w:t xml:space="preserve">Teachers used ‘small’ data approaches to monitor student progress through PLC processes. in the </w:t>
            </w:r>
            <w:r>
              <w:rPr>
                <w:bCs/>
              </w:rPr>
              <w:t xml:space="preserve">There was also an increase in </w:t>
            </w:r>
            <w:r>
              <w:t>t</w:t>
            </w:r>
            <w:r w:rsidRPr="00EC16C0">
              <w:rPr>
                <w:bCs/>
              </w:rPr>
              <w:t xml:space="preserve">eachers </w:t>
            </w:r>
            <w:r>
              <w:rPr>
                <w:bCs/>
              </w:rPr>
              <w:t xml:space="preserve">reporting </w:t>
            </w:r>
            <w:r w:rsidRPr="00EC16C0">
              <w:rPr>
                <w:bCs/>
              </w:rPr>
              <w:t xml:space="preserve">using </w:t>
            </w:r>
            <w:r w:rsidR="00643D7E">
              <w:rPr>
                <w:bCs/>
              </w:rPr>
              <w:t xml:space="preserve">system </w:t>
            </w:r>
            <w:r w:rsidRPr="00EC16C0">
              <w:rPr>
                <w:bCs/>
              </w:rPr>
              <w:t>results</w:t>
            </w:r>
            <w:r>
              <w:rPr>
                <w:bCs/>
              </w:rPr>
              <w:t xml:space="preserve"> to inform practice.  </w:t>
            </w:r>
          </w:p>
        </w:tc>
      </w:tr>
      <w:bookmarkEnd w:id="0"/>
    </w:tbl>
    <w:p w14:paraId="72756C64" w14:textId="77777777" w:rsidR="00EC2EA7" w:rsidRDefault="00EC2EA7" w:rsidP="00BD4AC3">
      <w:pPr>
        <w:pStyle w:val="NoSpacing"/>
      </w:pPr>
    </w:p>
    <w:p w14:paraId="7B8B4F40" w14:textId="39DEA2F3" w:rsidR="002730B1" w:rsidRPr="005611F4" w:rsidRDefault="002730B1" w:rsidP="002730B1">
      <w:pPr>
        <w:pStyle w:val="Heading3"/>
      </w:pPr>
      <w:r>
        <w:t>Challen</w:t>
      </w:r>
      <w:r w:rsidR="002C4562">
        <w:t>g</w:t>
      </w:r>
      <w:r>
        <w:t xml:space="preserve">es we will address in next year’s Action Plan 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761CEF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02F8291F" w14:textId="38C38905" w:rsidR="00F9641F" w:rsidRDefault="00F9641F" w:rsidP="00693250">
            <w:pPr>
              <w:pStyle w:val="ListBullet"/>
            </w:pPr>
            <w:r>
              <w:t xml:space="preserve">Shifting to student centred pedagogies </w:t>
            </w:r>
            <w:r w:rsidR="00225B27">
              <w:t>with greater student agency in learning</w:t>
            </w:r>
          </w:p>
          <w:p w14:paraId="1E7E4CE5" w14:textId="34FA5769" w:rsidR="00937D6F" w:rsidRDefault="00AF164B" w:rsidP="00693250">
            <w:pPr>
              <w:pStyle w:val="ListBullet"/>
            </w:pPr>
            <w:r>
              <w:t>Professional Learning Communities – sustain and deepen focus on high impact strateg</w:t>
            </w:r>
            <w:r w:rsidR="006C3438">
              <w:t>ies and teachers using evidence to show impact</w:t>
            </w:r>
          </w:p>
          <w:p w14:paraId="56B7A900" w14:textId="5189A474" w:rsidR="00822C59" w:rsidRDefault="00AF164B" w:rsidP="00AF164B">
            <w:pPr>
              <w:pStyle w:val="ListBullet"/>
            </w:pPr>
            <w:r>
              <w:t>E-portfolio</w:t>
            </w:r>
            <w:r w:rsidR="00C33A1C">
              <w:t xml:space="preserve"> – </w:t>
            </w:r>
            <w:r w:rsidR="006C3438">
              <w:t>commence implementation phase</w:t>
            </w:r>
            <w:r w:rsidR="008B41E9">
              <w:t xml:space="preserve"> incorporating a focus on General Capabilities </w:t>
            </w:r>
            <w:r w:rsidR="006C3438">
              <w:t xml:space="preserve"> </w:t>
            </w:r>
          </w:p>
          <w:p w14:paraId="10018351" w14:textId="77777777" w:rsidR="002022F4" w:rsidRDefault="00822C59" w:rsidP="00AF164B">
            <w:pPr>
              <w:pStyle w:val="ListBullet"/>
            </w:pPr>
            <w:r>
              <w:t xml:space="preserve">Pedagogy plan </w:t>
            </w:r>
            <w:r w:rsidR="006C3438">
              <w:t>– consultation and launch</w:t>
            </w:r>
          </w:p>
          <w:p w14:paraId="208FE2E3" w14:textId="77777777" w:rsidR="00806B96" w:rsidRDefault="002022F4" w:rsidP="00AF164B">
            <w:pPr>
              <w:pStyle w:val="ListBullet"/>
            </w:pPr>
            <w:r>
              <w:t xml:space="preserve">Staff development – continue to scale coaching and mentoring with the addition </w:t>
            </w:r>
            <w:r w:rsidR="00693250">
              <w:t>of a</w:t>
            </w:r>
            <w:r w:rsidR="00806B96">
              <w:t xml:space="preserve"> classroom</w:t>
            </w:r>
            <w:r w:rsidR="00693250">
              <w:t xml:space="preserve"> </w:t>
            </w:r>
            <w:r>
              <w:t>observation and feedback model</w:t>
            </w:r>
          </w:p>
          <w:p w14:paraId="21501890" w14:textId="0491036C" w:rsidR="00AF164B" w:rsidRDefault="00806B96" w:rsidP="00AF164B">
            <w:pPr>
              <w:pStyle w:val="ListBullet"/>
            </w:pPr>
            <w:r>
              <w:t xml:space="preserve">Focus on implementation of priorities across all classrooms through the collection of process data </w:t>
            </w:r>
            <w:r w:rsidR="002022F4">
              <w:t xml:space="preserve"> </w:t>
            </w:r>
            <w:r w:rsidR="006C3438">
              <w:t xml:space="preserve"> </w:t>
            </w:r>
          </w:p>
        </w:tc>
      </w:tr>
    </w:tbl>
    <w:p w14:paraId="2D928DDC" w14:textId="77777777" w:rsidR="003C3BD7" w:rsidRDefault="003C3BD7" w:rsidP="002730B1">
      <w:pPr>
        <w:rPr>
          <w:rFonts w:ascii="Arial" w:hAnsi="Arial" w:cs="Arial"/>
          <w:color w:val="1F4D78"/>
          <w:sz w:val="24"/>
          <w:szCs w:val="24"/>
        </w:rPr>
      </w:pPr>
    </w:p>
    <w:p w14:paraId="75212AF5" w14:textId="77777777" w:rsidR="003C3BD7" w:rsidRDefault="003C3BD7" w:rsidP="002730B1">
      <w:pPr>
        <w:rPr>
          <w:rFonts w:ascii="Arial" w:hAnsi="Arial" w:cs="Arial"/>
          <w:color w:val="1F4D78"/>
          <w:sz w:val="24"/>
          <w:szCs w:val="24"/>
        </w:rPr>
      </w:pPr>
    </w:p>
    <w:p w14:paraId="6F6A05B7" w14:textId="6A590BA8" w:rsidR="00EB70CE" w:rsidRPr="00AC3868" w:rsidRDefault="00EB70CE" w:rsidP="002730B1">
      <w:pPr>
        <w:rPr>
          <w:rFonts w:ascii="Arial" w:hAnsi="Arial" w:cs="Arial"/>
          <w:b/>
          <w:color w:val="1F4D78"/>
          <w:sz w:val="24"/>
          <w:szCs w:val="24"/>
        </w:rPr>
      </w:pPr>
      <w:r w:rsidRPr="00AC3868">
        <w:rPr>
          <w:rFonts w:ascii="Arial" w:hAnsi="Arial" w:cs="Arial"/>
          <w:color w:val="1F4D78"/>
          <w:sz w:val="24"/>
          <w:szCs w:val="24"/>
        </w:rPr>
        <w:t>Priority 2:</w:t>
      </w:r>
      <w:r w:rsidRPr="00AC3868">
        <w:rPr>
          <w:rFonts w:ascii="Arial" w:hAnsi="Arial" w:cs="Arial"/>
          <w:color w:val="1F4D78"/>
          <w:sz w:val="24"/>
          <w:szCs w:val="24"/>
        </w:rPr>
        <w:tab/>
      </w:r>
      <w:r w:rsidR="00D959AD" w:rsidRPr="00AC3868">
        <w:rPr>
          <w:rFonts w:ascii="Arial" w:hAnsi="Arial" w:cs="Arial"/>
          <w:color w:val="1F4D78"/>
          <w:sz w:val="24"/>
          <w:szCs w:val="24"/>
        </w:rPr>
        <w:t>Equipping students to be successful members of our community</w:t>
      </w:r>
    </w:p>
    <w:p w14:paraId="516A240E" w14:textId="77777777" w:rsidR="00EB70CE" w:rsidRPr="00AC3868" w:rsidRDefault="00EB70CE" w:rsidP="00EB70CE">
      <w:pPr>
        <w:pStyle w:val="Heading3"/>
        <w:rPr>
          <w:color w:val="1F4D78"/>
        </w:rPr>
      </w:pPr>
      <w:r w:rsidRPr="00AC3868">
        <w:rPr>
          <w:color w:val="1F4D78"/>
        </w:rPr>
        <w:t>Targets or measures</w:t>
      </w:r>
    </w:p>
    <w:p w14:paraId="6FF6208C" w14:textId="5FAC4C34" w:rsidR="00EB70CE" w:rsidRDefault="00EB70CE" w:rsidP="00EB70CE">
      <w:pPr>
        <w:pStyle w:val="BodyText"/>
      </w:pPr>
      <w:r>
        <w:t>By the end of 20</w:t>
      </w:r>
      <w:r w:rsidR="00382309">
        <w:t>22</w:t>
      </w:r>
      <w:r>
        <w:t xml:space="preserve"> we will achieve:</w:t>
      </w:r>
    </w:p>
    <w:p w14:paraId="31882935" w14:textId="56B0B4C1" w:rsidR="00382309" w:rsidRDefault="00382309" w:rsidP="00382309">
      <w:pPr>
        <w:pStyle w:val="ListBullet"/>
      </w:pPr>
      <w:r>
        <w:t>Use Sentral measures of community involvement (TBC) or Reduce to 15% students giving a ‘needs improvement’ rating to measures for Student Well-Being, specifically anxiety, in the School Climate survey (from an average of 21% over the previous three years).</w:t>
      </w:r>
    </w:p>
    <w:p w14:paraId="4FA1A707" w14:textId="77777777" w:rsidR="00382309" w:rsidRDefault="00382309" w:rsidP="00382309">
      <w:pPr>
        <w:pStyle w:val="ListBullet"/>
      </w:pPr>
      <w:r>
        <w:t>Add new questions for Satisfaction Survey (staff/students/parents) – I am able to organise school work and submit assignments on time/I am able to organise my time and seek 90% agreement from all stakeholders.</w:t>
      </w:r>
    </w:p>
    <w:p w14:paraId="07918A0B" w14:textId="77777777" w:rsidR="00382309" w:rsidRDefault="00382309" w:rsidP="00382309">
      <w:pPr>
        <w:pStyle w:val="ListBullet"/>
      </w:pPr>
      <w:r>
        <w:t>80% of students report ‘I can talk to my teachers about my concerns’ in the annual Satisfaction Survey (from average 55% over last four years)</w:t>
      </w:r>
    </w:p>
    <w:p w14:paraId="75697AF2" w14:textId="77777777" w:rsidR="00382309" w:rsidRDefault="00382309" w:rsidP="00382309">
      <w:pPr>
        <w:pStyle w:val="ListBullet"/>
      </w:pPr>
      <w:r>
        <w:rPr>
          <w:rFonts w:cs="Calibri"/>
          <w:color w:val="000000"/>
        </w:rPr>
        <w:t xml:space="preserve">Canteen returns to profit (currently $22,000 in deficit) and </w:t>
      </w:r>
      <w:r>
        <w:t>70% of students respond positively to ‘I am satisfied with the availability of healthy food and drink at this school’ in the annual Satisfaction Survey (from average 51% over previous two years).</w:t>
      </w:r>
    </w:p>
    <w:p w14:paraId="7E2EE7F5" w14:textId="77777777" w:rsidR="00382309" w:rsidRDefault="00382309" w:rsidP="00382309">
      <w:pPr>
        <w:pStyle w:val="ListBullet"/>
        <w:numPr>
          <w:ilvl w:val="0"/>
          <w:numId w:val="0"/>
        </w:numPr>
      </w:pPr>
    </w:p>
    <w:p w14:paraId="6BF90988" w14:textId="44F53E06" w:rsidR="00EB70CE" w:rsidRDefault="00EB70CE" w:rsidP="00382309">
      <w:pPr>
        <w:pStyle w:val="ListBullet"/>
        <w:numPr>
          <w:ilvl w:val="0"/>
          <w:numId w:val="0"/>
        </w:numPr>
      </w:pPr>
      <w:r w:rsidRPr="00373DC0">
        <w:t>In 20</w:t>
      </w:r>
      <w:r w:rsidR="00AD650D">
        <w:t>20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0214DD85" w14:textId="77777777" w:rsidR="0069466C" w:rsidRPr="006B5DEB" w:rsidRDefault="0069466C" w:rsidP="0069466C">
      <w:pPr>
        <w:numPr>
          <w:ilvl w:val="0"/>
          <w:numId w:val="2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B5DEB">
        <w:rPr>
          <w:rFonts w:ascii="Calibri" w:eastAsia="Times New Roman" w:hAnsi="Calibri" w:cs="Calibri"/>
          <w:color w:val="000000"/>
          <w:lang w:eastAsia="en-AU"/>
        </w:rPr>
        <w:t>Commence implementation of Positive Behaviours for Learning framework </w:t>
      </w:r>
    </w:p>
    <w:p w14:paraId="7582F7C0" w14:textId="77777777" w:rsidR="0069466C" w:rsidRPr="006B5DEB" w:rsidRDefault="0069466C" w:rsidP="0069466C">
      <w:pPr>
        <w:numPr>
          <w:ilvl w:val="0"/>
          <w:numId w:val="2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B5DEB">
        <w:rPr>
          <w:rFonts w:ascii="Calibri" w:eastAsia="Times New Roman" w:hAnsi="Calibri" w:cs="Calibri"/>
          <w:color w:val="000000"/>
          <w:lang w:eastAsia="en-AU"/>
        </w:rPr>
        <w:t>Phase 2 implementation of Continuum of Education Support programs to improve engagement and learning of target groups, including action research project through University of Canberra research partnership  </w:t>
      </w:r>
    </w:p>
    <w:p w14:paraId="3C67890C" w14:textId="77777777" w:rsidR="0069466C" w:rsidRPr="006B5DEB" w:rsidRDefault="0069466C" w:rsidP="0069466C">
      <w:pPr>
        <w:numPr>
          <w:ilvl w:val="0"/>
          <w:numId w:val="2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B5DEB">
        <w:rPr>
          <w:rFonts w:ascii="Calibri" w:eastAsia="Times New Roman" w:hAnsi="Calibri" w:cs="Calibri"/>
          <w:color w:val="000000"/>
          <w:lang w:eastAsia="en-AU"/>
        </w:rPr>
        <w:t>Develop Cultural Integrity action plan, data tracking for ATSI students - engagement and performance   </w:t>
      </w:r>
    </w:p>
    <w:p w14:paraId="32A84660" w14:textId="3D4489AD" w:rsidR="00EB70CE" w:rsidRPr="00997CD0" w:rsidRDefault="00EB70CE" w:rsidP="00EB70CE">
      <w:pPr>
        <w:pStyle w:val="PlainText"/>
        <w:rPr>
          <w:i/>
        </w:rPr>
      </w:pPr>
      <w:r>
        <w:rPr>
          <w:i/>
        </w:rPr>
        <w:lastRenderedPageBreak/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2A610292" w14:textId="03F4FEEF" w:rsidR="0095326F" w:rsidRPr="0095326F" w:rsidRDefault="00EB70CE" w:rsidP="00287834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0F6DA9" w14:paraId="1396D008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6A81EE33" w14:textId="77777777" w:rsidR="000F6DA9" w:rsidRPr="006D2F6B" w:rsidRDefault="000F6DA9" w:rsidP="000F6DA9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527A332F" w14:textId="77777777" w:rsidR="000F6DA9" w:rsidRDefault="000F6DA9" w:rsidP="000F6DA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159C188F" w14:textId="350A79A0" w:rsidR="000F6DA9" w:rsidRPr="006D2F6B" w:rsidRDefault="000F6DA9" w:rsidP="000F6DA9">
            <w:pPr>
              <w:jc w:val="center"/>
              <w:rPr>
                <w:b/>
              </w:rPr>
            </w:pPr>
            <w:r w:rsidRPr="00314348">
              <w:t>2017</w:t>
            </w:r>
          </w:p>
        </w:tc>
        <w:tc>
          <w:tcPr>
            <w:tcW w:w="790" w:type="dxa"/>
            <w:shd w:val="clear" w:color="auto" w:fill="auto"/>
          </w:tcPr>
          <w:p w14:paraId="169ABB98" w14:textId="77777777" w:rsidR="000F6DA9" w:rsidRDefault="000F6DA9" w:rsidP="000F6DA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2066ED5C" w14:textId="491B7C47" w:rsidR="000F6DA9" w:rsidRPr="006D2F6B" w:rsidRDefault="000F6DA9" w:rsidP="000F6DA9">
            <w:pPr>
              <w:jc w:val="center"/>
              <w:rPr>
                <w:b/>
              </w:rPr>
            </w:pPr>
            <w:r w:rsidRPr="00314348">
              <w:t>2018</w:t>
            </w:r>
          </w:p>
        </w:tc>
        <w:tc>
          <w:tcPr>
            <w:tcW w:w="790" w:type="dxa"/>
            <w:shd w:val="clear" w:color="auto" w:fill="auto"/>
          </w:tcPr>
          <w:p w14:paraId="23678885" w14:textId="77777777" w:rsidR="000F6DA9" w:rsidRDefault="000F6DA9" w:rsidP="000F6DA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27AC99DF" w14:textId="55ED0E5D" w:rsidR="000F6DA9" w:rsidRPr="006D2F6B" w:rsidRDefault="000F6DA9" w:rsidP="000F6DA9">
            <w:pPr>
              <w:jc w:val="center"/>
              <w:rPr>
                <w:b/>
              </w:rPr>
            </w:pPr>
            <w:r w:rsidRPr="00314348">
              <w:t>2019</w:t>
            </w:r>
          </w:p>
        </w:tc>
        <w:tc>
          <w:tcPr>
            <w:tcW w:w="790" w:type="dxa"/>
            <w:shd w:val="clear" w:color="auto" w:fill="auto"/>
          </w:tcPr>
          <w:p w14:paraId="59685797" w14:textId="77777777" w:rsidR="000F6DA9" w:rsidRDefault="000F6DA9" w:rsidP="000F6DA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2397C360" w14:textId="12F520F0" w:rsidR="000F6DA9" w:rsidRPr="006D2F6B" w:rsidRDefault="000F6DA9" w:rsidP="000F6DA9">
            <w:pPr>
              <w:jc w:val="center"/>
              <w:rPr>
                <w:b/>
              </w:rPr>
            </w:pPr>
            <w:r w:rsidRPr="00314348">
              <w:t>2020</w:t>
            </w:r>
          </w:p>
        </w:tc>
        <w:tc>
          <w:tcPr>
            <w:tcW w:w="790" w:type="dxa"/>
            <w:shd w:val="clear" w:color="auto" w:fill="auto"/>
          </w:tcPr>
          <w:p w14:paraId="73C98386" w14:textId="77777777" w:rsidR="000F6DA9" w:rsidRDefault="000F6DA9" w:rsidP="000F6DA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102EF8AB" w14:textId="14C7B2EE" w:rsidR="000F6DA9" w:rsidRPr="006D2F6B" w:rsidRDefault="000F6DA9" w:rsidP="000F6DA9">
            <w:pPr>
              <w:jc w:val="center"/>
              <w:rPr>
                <w:b/>
              </w:rPr>
            </w:pPr>
            <w:r w:rsidRPr="00314348">
              <w:t>2021</w:t>
            </w:r>
          </w:p>
        </w:tc>
        <w:tc>
          <w:tcPr>
            <w:tcW w:w="791" w:type="dxa"/>
            <w:shd w:val="clear" w:color="auto" w:fill="auto"/>
          </w:tcPr>
          <w:p w14:paraId="35FC1CEA" w14:textId="77777777" w:rsidR="000F6DA9" w:rsidRDefault="000F6DA9" w:rsidP="000F6DA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750673D6" w14:textId="23EE03F8" w:rsidR="000F6DA9" w:rsidRPr="006D2F6B" w:rsidRDefault="000F6DA9" w:rsidP="000F6DA9">
            <w:pPr>
              <w:jc w:val="center"/>
              <w:rPr>
                <w:b/>
              </w:rPr>
            </w:pPr>
            <w:r w:rsidRPr="00314348">
              <w:t>2022</w:t>
            </w:r>
          </w:p>
        </w:tc>
      </w:tr>
      <w:tr w:rsidR="0090310B" w14:paraId="3C6933F8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62314286" w14:textId="77777777" w:rsidR="0090310B" w:rsidRDefault="0090310B" w:rsidP="0090310B">
            <w:pPr>
              <w:pStyle w:val="PlainText"/>
            </w:pPr>
            <w:r>
              <w:t>Student perception data –</w:t>
            </w:r>
          </w:p>
          <w:p w14:paraId="16D20080" w14:textId="04D6128C" w:rsidR="0090310B" w:rsidRDefault="0090310B" w:rsidP="0090310B">
            <w:pPr>
              <w:pStyle w:val="PlainText"/>
            </w:pPr>
            <w:r>
              <w:t xml:space="preserve">I can talk </w:t>
            </w:r>
            <w:r w:rsidR="00DF15A8">
              <w:t xml:space="preserve">to my teachers about my concerns </w:t>
            </w:r>
          </w:p>
          <w:p w14:paraId="202EDF10" w14:textId="1169DE9B" w:rsidR="0090310B" w:rsidRDefault="0090310B" w:rsidP="0090310B">
            <w:pPr>
              <w:pStyle w:val="PlainText"/>
            </w:pPr>
            <w:r>
              <w:t>(% strongly agree and agree)</w:t>
            </w:r>
          </w:p>
        </w:tc>
        <w:tc>
          <w:tcPr>
            <w:tcW w:w="790" w:type="dxa"/>
            <w:shd w:val="clear" w:color="auto" w:fill="auto"/>
          </w:tcPr>
          <w:p w14:paraId="41302069" w14:textId="379061CA" w:rsidR="0090310B" w:rsidRPr="00DF15A8" w:rsidRDefault="00DF15A8" w:rsidP="004A0674">
            <w:pPr>
              <w:jc w:val="center"/>
              <w:rPr>
                <w:color w:val="D09E00"/>
              </w:rPr>
            </w:pPr>
            <w:r w:rsidRPr="00DF15A8">
              <w:rPr>
                <w:color w:val="D09E00"/>
              </w:rPr>
              <w:t>58.3%</w:t>
            </w:r>
          </w:p>
        </w:tc>
        <w:tc>
          <w:tcPr>
            <w:tcW w:w="790" w:type="dxa"/>
            <w:shd w:val="clear" w:color="auto" w:fill="auto"/>
          </w:tcPr>
          <w:p w14:paraId="6E582D70" w14:textId="20E0A1FC" w:rsidR="0090310B" w:rsidRPr="004A0674" w:rsidRDefault="00DF15A8" w:rsidP="004A0674">
            <w:pPr>
              <w:jc w:val="center"/>
              <w:rPr>
                <w:color w:val="00B050"/>
              </w:rPr>
            </w:pPr>
            <w:r w:rsidRPr="004A0674">
              <w:rPr>
                <w:color w:val="00B050"/>
              </w:rPr>
              <w:t>58.8%</w:t>
            </w:r>
          </w:p>
        </w:tc>
        <w:tc>
          <w:tcPr>
            <w:tcW w:w="790" w:type="dxa"/>
            <w:shd w:val="clear" w:color="auto" w:fill="auto"/>
          </w:tcPr>
          <w:p w14:paraId="47D424F6" w14:textId="5B2E33E3" w:rsidR="0090310B" w:rsidRPr="004A0674" w:rsidRDefault="00DF15A8" w:rsidP="004A0674">
            <w:pPr>
              <w:jc w:val="center"/>
              <w:rPr>
                <w:color w:val="00B050"/>
              </w:rPr>
            </w:pPr>
            <w:r w:rsidRPr="004A0674">
              <w:rPr>
                <w:color w:val="00B050"/>
              </w:rPr>
              <w:t>54.2%</w:t>
            </w:r>
          </w:p>
        </w:tc>
        <w:tc>
          <w:tcPr>
            <w:tcW w:w="790" w:type="dxa"/>
            <w:shd w:val="clear" w:color="auto" w:fill="auto"/>
          </w:tcPr>
          <w:p w14:paraId="309AD433" w14:textId="1014083F" w:rsidR="0090310B" w:rsidRPr="004A0674" w:rsidRDefault="004A0674" w:rsidP="004A0674">
            <w:pPr>
              <w:jc w:val="center"/>
              <w:rPr>
                <w:color w:val="00B050"/>
              </w:rPr>
            </w:pPr>
            <w:r w:rsidRPr="004A0674">
              <w:rPr>
                <w:color w:val="00B050"/>
              </w:rPr>
              <w:t>47.5%</w:t>
            </w:r>
          </w:p>
        </w:tc>
        <w:tc>
          <w:tcPr>
            <w:tcW w:w="790" w:type="dxa"/>
            <w:shd w:val="clear" w:color="auto" w:fill="auto"/>
          </w:tcPr>
          <w:p w14:paraId="3ECB7268" w14:textId="77777777" w:rsidR="0090310B" w:rsidRPr="006D2F6B" w:rsidRDefault="0090310B" w:rsidP="004A0674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14:paraId="1DF0DD5E" w14:textId="00A1D841" w:rsidR="0090310B" w:rsidRPr="006D2F6B" w:rsidRDefault="008B2AE7" w:rsidP="004A0674">
            <w:pPr>
              <w:jc w:val="center"/>
            </w:pPr>
            <w:r w:rsidRPr="008B2AE7">
              <w:rPr>
                <w:color w:val="00B050"/>
              </w:rPr>
              <w:t>80%</w:t>
            </w:r>
          </w:p>
        </w:tc>
      </w:tr>
      <w:tr w:rsidR="00E957E4" w14:paraId="5B9298A7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1D97BC8F" w14:textId="0E26B6F6" w:rsidR="00E957E4" w:rsidRDefault="00703A82" w:rsidP="000F6DA9">
            <w:pPr>
              <w:pStyle w:val="PlainText"/>
            </w:pPr>
            <w:r>
              <w:t xml:space="preserve">Trend analysis – </w:t>
            </w:r>
          </w:p>
          <w:p w14:paraId="4CBC0B70" w14:textId="77777777" w:rsidR="001978E2" w:rsidRDefault="00703A82" w:rsidP="000F6DA9">
            <w:pPr>
              <w:pStyle w:val="PlainText"/>
            </w:pPr>
            <w:r>
              <w:t>School identification</w:t>
            </w:r>
          </w:p>
          <w:p w14:paraId="5B28A4B1" w14:textId="462A288F" w:rsidR="00703A82" w:rsidRDefault="001978E2" w:rsidP="000F6DA9">
            <w:pPr>
              <w:pStyle w:val="PlainText"/>
            </w:pPr>
            <w:r w:rsidRPr="004A49B2">
              <w:t xml:space="preserve">(Average </w:t>
            </w:r>
            <w:r w:rsidR="000C09B7">
              <w:t>r</w:t>
            </w:r>
            <w:r w:rsidRPr="004A49B2">
              <w:t>esponse)</w:t>
            </w:r>
            <w:r w:rsidR="00703A82">
              <w:t xml:space="preserve"> </w:t>
            </w:r>
          </w:p>
        </w:tc>
        <w:tc>
          <w:tcPr>
            <w:tcW w:w="790" w:type="dxa"/>
            <w:shd w:val="clear" w:color="auto" w:fill="auto"/>
          </w:tcPr>
          <w:p w14:paraId="41430047" w14:textId="52D62042" w:rsidR="00E957E4" w:rsidRPr="00450AE0" w:rsidRDefault="001978E2" w:rsidP="00B65833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3.6</w:t>
            </w:r>
          </w:p>
        </w:tc>
        <w:tc>
          <w:tcPr>
            <w:tcW w:w="790" w:type="dxa"/>
            <w:shd w:val="clear" w:color="auto" w:fill="auto"/>
          </w:tcPr>
          <w:p w14:paraId="426E85CD" w14:textId="1A749A53" w:rsidR="00E957E4" w:rsidRPr="00450AE0" w:rsidRDefault="001978E2" w:rsidP="00B65833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3.8</w:t>
            </w:r>
          </w:p>
        </w:tc>
        <w:tc>
          <w:tcPr>
            <w:tcW w:w="790" w:type="dxa"/>
            <w:shd w:val="clear" w:color="auto" w:fill="auto"/>
          </w:tcPr>
          <w:p w14:paraId="250FD36E" w14:textId="493553D5" w:rsidR="00E957E4" w:rsidRPr="00450AE0" w:rsidRDefault="001978E2" w:rsidP="00B65833">
            <w:pPr>
              <w:jc w:val="center"/>
              <w:rPr>
                <w:color w:val="00B050"/>
              </w:rPr>
            </w:pPr>
            <w:r w:rsidRPr="00450AE0">
              <w:rPr>
                <w:color w:val="00B050"/>
              </w:rPr>
              <w:t>3.8</w:t>
            </w:r>
          </w:p>
        </w:tc>
        <w:tc>
          <w:tcPr>
            <w:tcW w:w="790" w:type="dxa"/>
            <w:shd w:val="clear" w:color="auto" w:fill="auto"/>
          </w:tcPr>
          <w:p w14:paraId="6B2EE126" w14:textId="1FD631C8" w:rsidR="00E957E4" w:rsidRPr="006D2F6B" w:rsidRDefault="004A0674" w:rsidP="004A0674">
            <w:pPr>
              <w:jc w:val="center"/>
            </w:pPr>
            <w:r w:rsidRPr="004A0674">
              <w:rPr>
                <w:color w:val="00B050"/>
              </w:rPr>
              <w:t>3.7</w:t>
            </w:r>
          </w:p>
        </w:tc>
        <w:tc>
          <w:tcPr>
            <w:tcW w:w="790" w:type="dxa"/>
            <w:shd w:val="clear" w:color="auto" w:fill="auto"/>
          </w:tcPr>
          <w:p w14:paraId="008065DF" w14:textId="77777777" w:rsidR="00E957E4" w:rsidRPr="006D2F6B" w:rsidRDefault="00E957E4" w:rsidP="00761CEF"/>
        </w:tc>
        <w:tc>
          <w:tcPr>
            <w:tcW w:w="791" w:type="dxa"/>
            <w:shd w:val="clear" w:color="auto" w:fill="auto"/>
          </w:tcPr>
          <w:p w14:paraId="58D0C140" w14:textId="77777777" w:rsidR="00E957E4" w:rsidRPr="006D2F6B" w:rsidRDefault="00E957E4" w:rsidP="00761CEF"/>
        </w:tc>
      </w:tr>
      <w:tr w:rsidR="00761CEF" w14:paraId="2F55759D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06C3870C" w14:textId="55438965" w:rsidR="00761CEF" w:rsidRDefault="00761CEF" w:rsidP="001E52EC">
            <w:pPr>
              <w:pStyle w:val="PlainText"/>
            </w:pPr>
            <w:r>
              <w:t xml:space="preserve">Trend analysis – </w:t>
            </w:r>
            <w:r>
              <w:br/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Anxiety</w:t>
            </w:r>
            <w:r w:rsidRPr="004A49B2">
              <w:t xml:space="preserve"> </w:t>
            </w:r>
          </w:p>
          <w:p w14:paraId="117F1425" w14:textId="41246572" w:rsidR="00761CEF" w:rsidRDefault="00761CEF" w:rsidP="00761CEF">
            <w:pPr>
              <w:pStyle w:val="PlainText"/>
            </w:pPr>
            <w:r w:rsidRPr="004A49B2">
              <w:t xml:space="preserve">(Average </w:t>
            </w:r>
            <w:r w:rsidR="000C09B7">
              <w:t>r</w:t>
            </w:r>
            <w:r w:rsidRPr="004A49B2">
              <w:t>esponse)</w:t>
            </w:r>
            <w:r>
              <w:t xml:space="preserve"> </w:t>
            </w:r>
          </w:p>
        </w:tc>
        <w:tc>
          <w:tcPr>
            <w:tcW w:w="790" w:type="dxa"/>
            <w:shd w:val="clear" w:color="auto" w:fill="auto"/>
          </w:tcPr>
          <w:p w14:paraId="53347D4C" w14:textId="3B6147A5" w:rsidR="00761CEF" w:rsidRDefault="00955121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2.0</w:t>
            </w:r>
          </w:p>
        </w:tc>
        <w:tc>
          <w:tcPr>
            <w:tcW w:w="790" w:type="dxa"/>
            <w:shd w:val="clear" w:color="auto" w:fill="auto"/>
          </w:tcPr>
          <w:p w14:paraId="1FB7ACBF" w14:textId="557F3523" w:rsidR="00761CEF" w:rsidRDefault="00955121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2.0</w:t>
            </w:r>
          </w:p>
        </w:tc>
        <w:tc>
          <w:tcPr>
            <w:tcW w:w="790" w:type="dxa"/>
            <w:shd w:val="clear" w:color="auto" w:fill="auto"/>
          </w:tcPr>
          <w:p w14:paraId="646AD095" w14:textId="508A6F7C" w:rsidR="00761CEF" w:rsidRDefault="00955121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2.1</w:t>
            </w:r>
          </w:p>
        </w:tc>
        <w:tc>
          <w:tcPr>
            <w:tcW w:w="790" w:type="dxa"/>
            <w:shd w:val="clear" w:color="auto" w:fill="auto"/>
          </w:tcPr>
          <w:p w14:paraId="70D0E2FB" w14:textId="63EDE209" w:rsidR="00761CEF" w:rsidRPr="006D2F6B" w:rsidRDefault="004A0674" w:rsidP="004A0674">
            <w:pPr>
              <w:jc w:val="center"/>
            </w:pPr>
            <w:r w:rsidRPr="004A0674">
              <w:rPr>
                <w:color w:val="BF8F00" w:themeColor="accent4" w:themeShade="BF"/>
              </w:rPr>
              <w:t>2.1</w:t>
            </w:r>
          </w:p>
        </w:tc>
        <w:tc>
          <w:tcPr>
            <w:tcW w:w="790" w:type="dxa"/>
            <w:shd w:val="clear" w:color="auto" w:fill="auto"/>
          </w:tcPr>
          <w:p w14:paraId="18A0A4E2" w14:textId="77777777" w:rsidR="00761CEF" w:rsidRPr="006D2F6B" w:rsidRDefault="00761CEF" w:rsidP="00761CEF"/>
        </w:tc>
        <w:tc>
          <w:tcPr>
            <w:tcW w:w="791" w:type="dxa"/>
            <w:shd w:val="clear" w:color="auto" w:fill="auto"/>
          </w:tcPr>
          <w:p w14:paraId="65E22294" w14:textId="77777777" w:rsidR="00761CEF" w:rsidRPr="006D2F6B" w:rsidRDefault="00761CEF" w:rsidP="00761CEF"/>
        </w:tc>
      </w:tr>
      <w:tr w:rsidR="00761CEF" w14:paraId="308ACCD8" w14:textId="77777777" w:rsidTr="00761CEF">
        <w:trPr>
          <w:jc w:val="center"/>
        </w:trPr>
        <w:tc>
          <w:tcPr>
            <w:tcW w:w="4297" w:type="dxa"/>
            <w:shd w:val="clear" w:color="auto" w:fill="auto"/>
          </w:tcPr>
          <w:p w14:paraId="57E13A15" w14:textId="77777777" w:rsidR="00761CEF" w:rsidRDefault="00761CEF" w:rsidP="00761CEF">
            <w:pPr>
              <w:pStyle w:val="PlainText"/>
            </w:pPr>
            <w:r>
              <w:t xml:space="preserve">Trend analysis – </w:t>
            </w:r>
          </w:p>
          <w:p w14:paraId="767E19A2" w14:textId="3B796621" w:rsidR="00761CEF" w:rsidRDefault="00761CEF" w:rsidP="00761CEF">
            <w:pPr>
              <w:pStyle w:val="PlainText"/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Anxiety </w:t>
            </w:r>
          </w:p>
          <w:p w14:paraId="72086796" w14:textId="6865191E" w:rsidR="00761CEF" w:rsidRDefault="00761CEF" w:rsidP="00761CEF">
            <w:pPr>
              <w:pStyle w:val="PlainText"/>
            </w:pPr>
            <w:r>
              <w:t xml:space="preserve">(% </w:t>
            </w:r>
            <w:r w:rsidR="00955121">
              <w:t xml:space="preserve">not </w:t>
            </w:r>
            <w:r w:rsidR="0071294E">
              <w:t>t</w:t>
            </w:r>
            <w:r w:rsidR="00955121">
              <w:t>rue or hardly true</w:t>
            </w:r>
            <w:r>
              <w:t>)</w:t>
            </w:r>
          </w:p>
        </w:tc>
        <w:tc>
          <w:tcPr>
            <w:tcW w:w="790" w:type="dxa"/>
            <w:shd w:val="clear" w:color="auto" w:fill="auto"/>
          </w:tcPr>
          <w:p w14:paraId="477ADE20" w14:textId="168255CC" w:rsidR="00761CEF" w:rsidRPr="002611BF" w:rsidRDefault="004A0674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32.5</w:t>
            </w:r>
            <w:r w:rsidR="00761CEF" w:rsidRPr="002611BF">
              <w:rPr>
                <w:color w:val="D09E0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4FA85C8C" w14:textId="7C0F6C17" w:rsidR="00761CEF" w:rsidRDefault="004A0674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30.5</w:t>
            </w:r>
            <w:r w:rsidR="00761CEF" w:rsidRPr="002611BF">
              <w:rPr>
                <w:color w:val="D09E0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08F3486B" w14:textId="35C1324C" w:rsidR="00761CEF" w:rsidRDefault="004A0674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28</w:t>
            </w:r>
            <w:r w:rsidR="00811543">
              <w:rPr>
                <w:color w:val="D09E00"/>
              </w:rPr>
              <w:t>.3</w:t>
            </w:r>
            <w:r w:rsidR="00761CEF" w:rsidRPr="002611BF">
              <w:rPr>
                <w:color w:val="D09E0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782DF760" w14:textId="671BBCFD" w:rsidR="00761CEF" w:rsidRPr="006D2F6B" w:rsidRDefault="001F3817" w:rsidP="001F3817">
            <w:pPr>
              <w:jc w:val="center"/>
            </w:pPr>
            <w:r w:rsidRPr="001F3817">
              <w:rPr>
                <w:color w:val="BF8F00" w:themeColor="accent4" w:themeShade="BF"/>
              </w:rPr>
              <w:t>27%</w:t>
            </w:r>
          </w:p>
        </w:tc>
        <w:tc>
          <w:tcPr>
            <w:tcW w:w="790" w:type="dxa"/>
            <w:shd w:val="clear" w:color="auto" w:fill="auto"/>
          </w:tcPr>
          <w:p w14:paraId="16781B28" w14:textId="77777777" w:rsidR="00761CEF" w:rsidRPr="006D2F6B" w:rsidRDefault="00761CEF" w:rsidP="00761CEF"/>
        </w:tc>
        <w:tc>
          <w:tcPr>
            <w:tcW w:w="791" w:type="dxa"/>
            <w:shd w:val="clear" w:color="auto" w:fill="auto"/>
          </w:tcPr>
          <w:p w14:paraId="18B69BFC" w14:textId="77777777" w:rsidR="00761CEF" w:rsidRPr="006D2F6B" w:rsidRDefault="00761CEF" w:rsidP="00761CEF"/>
        </w:tc>
      </w:tr>
      <w:tr w:rsidR="00B65833" w14:paraId="6F3A86BB" w14:textId="77777777" w:rsidTr="00B65833">
        <w:trPr>
          <w:jc w:val="center"/>
        </w:trPr>
        <w:tc>
          <w:tcPr>
            <w:tcW w:w="4297" w:type="dxa"/>
            <w:shd w:val="clear" w:color="auto" w:fill="auto"/>
          </w:tcPr>
          <w:p w14:paraId="07FFC0A8" w14:textId="09749A48" w:rsidR="00B65833" w:rsidRDefault="00B65833" w:rsidP="00B65833">
            <w:pPr>
              <w:pStyle w:val="PlainText"/>
            </w:pPr>
            <w:r>
              <w:t xml:space="preserve">Trend analysis – </w:t>
            </w:r>
            <w:r>
              <w:br/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Resilience </w:t>
            </w:r>
            <w:r w:rsidRPr="004A49B2">
              <w:t xml:space="preserve"> </w:t>
            </w:r>
          </w:p>
          <w:p w14:paraId="369A216B" w14:textId="798E9544" w:rsidR="00B65833" w:rsidRDefault="00B65833" w:rsidP="00B65833">
            <w:pPr>
              <w:pStyle w:val="PlainText"/>
            </w:pPr>
            <w:r w:rsidRPr="004A49B2">
              <w:t>(Average Response)</w:t>
            </w:r>
            <w:r>
              <w:t xml:space="preserve"> 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5200E27B" w14:textId="40FD69ED" w:rsidR="00B65833" w:rsidRDefault="00B65833" w:rsidP="00B65833">
            <w:pPr>
              <w:jc w:val="center"/>
              <w:rPr>
                <w:color w:val="D09E00"/>
              </w:rPr>
            </w:pPr>
          </w:p>
        </w:tc>
        <w:tc>
          <w:tcPr>
            <w:tcW w:w="790" w:type="dxa"/>
            <w:shd w:val="clear" w:color="auto" w:fill="auto"/>
          </w:tcPr>
          <w:p w14:paraId="06FD7602" w14:textId="6E013F02" w:rsidR="00B65833" w:rsidRDefault="00B65833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3.3</w:t>
            </w:r>
          </w:p>
        </w:tc>
        <w:tc>
          <w:tcPr>
            <w:tcW w:w="790" w:type="dxa"/>
            <w:shd w:val="clear" w:color="auto" w:fill="auto"/>
          </w:tcPr>
          <w:p w14:paraId="44A4DEBA" w14:textId="30F90F98" w:rsidR="00B65833" w:rsidRDefault="00B65833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3.3</w:t>
            </w:r>
          </w:p>
        </w:tc>
        <w:tc>
          <w:tcPr>
            <w:tcW w:w="790" w:type="dxa"/>
            <w:shd w:val="clear" w:color="auto" w:fill="auto"/>
          </w:tcPr>
          <w:p w14:paraId="040161A9" w14:textId="73028C94" w:rsidR="00B65833" w:rsidRPr="001F3817" w:rsidRDefault="001F3817" w:rsidP="001F3817">
            <w:pPr>
              <w:jc w:val="center"/>
              <w:rPr>
                <w:color w:val="BF8F00" w:themeColor="accent4" w:themeShade="BF"/>
              </w:rPr>
            </w:pPr>
            <w:r w:rsidRPr="001F3817">
              <w:rPr>
                <w:color w:val="BF8F00" w:themeColor="accent4" w:themeShade="BF"/>
              </w:rPr>
              <w:t>3.2</w:t>
            </w:r>
          </w:p>
        </w:tc>
        <w:tc>
          <w:tcPr>
            <w:tcW w:w="790" w:type="dxa"/>
            <w:shd w:val="clear" w:color="auto" w:fill="auto"/>
          </w:tcPr>
          <w:p w14:paraId="440C4CF0" w14:textId="77777777" w:rsidR="00B65833" w:rsidRPr="006D2F6B" w:rsidRDefault="00B65833" w:rsidP="00B65833"/>
        </w:tc>
        <w:tc>
          <w:tcPr>
            <w:tcW w:w="791" w:type="dxa"/>
            <w:shd w:val="clear" w:color="auto" w:fill="auto"/>
          </w:tcPr>
          <w:p w14:paraId="26F06409" w14:textId="77777777" w:rsidR="00B65833" w:rsidRPr="006D2F6B" w:rsidRDefault="00B65833" w:rsidP="00B65833"/>
        </w:tc>
      </w:tr>
      <w:tr w:rsidR="00B65833" w14:paraId="17E31A55" w14:textId="77777777" w:rsidTr="00B65833">
        <w:trPr>
          <w:jc w:val="center"/>
        </w:trPr>
        <w:tc>
          <w:tcPr>
            <w:tcW w:w="4297" w:type="dxa"/>
            <w:shd w:val="clear" w:color="auto" w:fill="auto"/>
          </w:tcPr>
          <w:p w14:paraId="5F5E555A" w14:textId="77777777" w:rsidR="00B65833" w:rsidRDefault="00B65833" w:rsidP="00B65833">
            <w:pPr>
              <w:pStyle w:val="PlainText"/>
            </w:pPr>
            <w:r>
              <w:t xml:space="preserve">Trend analysis – </w:t>
            </w:r>
          </w:p>
          <w:p w14:paraId="40FD3B48" w14:textId="5B8AD1C3" w:rsidR="00B65833" w:rsidRDefault="00B65833" w:rsidP="00B65833">
            <w:pPr>
              <w:pStyle w:val="PlainText"/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Resilience </w:t>
            </w:r>
          </w:p>
          <w:p w14:paraId="21D9A033" w14:textId="1264F239" w:rsidR="00B65833" w:rsidRDefault="00B65833" w:rsidP="00B65833">
            <w:pPr>
              <w:pStyle w:val="PlainText"/>
            </w:pPr>
            <w:r>
              <w:t xml:space="preserve">(% </w:t>
            </w:r>
            <w:r w:rsidR="000C09B7">
              <w:t>agree/</w:t>
            </w:r>
            <w:r>
              <w:t>strong</w:t>
            </w:r>
            <w:r w:rsidR="000C09B7">
              <w:t>ly agree</w:t>
            </w:r>
            <w:r>
              <w:t>)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34E39BE5" w14:textId="54D5706E" w:rsidR="00B65833" w:rsidRDefault="00B65833" w:rsidP="00B65833">
            <w:pPr>
              <w:jc w:val="center"/>
              <w:rPr>
                <w:color w:val="D09E00"/>
              </w:rPr>
            </w:pPr>
          </w:p>
        </w:tc>
        <w:tc>
          <w:tcPr>
            <w:tcW w:w="790" w:type="dxa"/>
            <w:shd w:val="clear" w:color="auto" w:fill="auto"/>
          </w:tcPr>
          <w:p w14:paraId="1AE07217" w14:textId="64FA82D2" w:rsidR="00B65833" w:rsidRDefault="00B65833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42</w:t>
            </w:r>
            <w:r w:rsidRPr="002611BF">
              <w:rPr>
                <w:color w:val="D09E0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2F85A44A" w14:textId="4C57023B" w:rsidR="00B65833" w:rsidRDefault="00B65833" w:rsidP="00B65833">
            <w:pPr>
              <w:jc w:val="center"/>
              <w:rPr>
                <w:color w:val="D09E00"/>
              </w:rPr>
            </w:pPr>
            <w:r>
              <w:rPr>
                <w:color w:val="D09E00"/>
              </w:rPr>
              <w:t>41</w:t>
            </w:r>
            <w:r w:rsidRPr="002611BF">
              <w:rPr>
                <w:color w:val="D09E0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34FC6CBF" w14:textId="28FFEB1E" w:rsidR="00B65833" w:rsidRPr="006D2F6B" w:rsidRDefault="001F3817" w:rsidP="001F3817">
            <w:pPr>
              <w:jc w:val="center"/>
            </w:pPr>
            <w:r w:rsidRPr="001F3817">
              <w:rPr>
                <w:color w:val="BF8F00" w:themeColor="accent4" w:themeShade="BF"/>
              </w:rPr>
              <w:t>38%</w:t>
            </w:r>
          </w:p>
        </w:tc>
        <w:tc>
          <w:tcPr>
            <w:tcW w:w="790" w:type="dxa"/>
            <w:shd w:val="clear" w:color="auto" w:fill="auto"/>
          </w:tcPr>
          <w:p w14:paraId="52E4A843" w14:textId="77777777" w:rsidR="00B65833" w:rsidRPr="006D2F6B" w:rsidRDefault="00B65833" w:rsidP="00B65833"/>
        </w:tc>
        <w:tc>
          <w:tcPr>
            <w:tcW w:w="791" w:type="dxa"/>
            <w:shd w:val="clear" w:color="auto" w:fill="auto"/>
          </w:tcPr>
          <w:p w14:paraId="2917FA1E" w14:textId="77777777" w:rsidR="00B65833" w:rsidRPr="006D2F6B" w:rsidRDefault="00B65833" w:rsidP="00B65833"/>
        </w:tc>
      </w:tr>
    </w:tbl>
    <w:p w14:paraId="374FFC82" w14:textId="77777777" w:rsidR="00F878F6" w:rsidRDefault="00F878F6" w:rsidP="00EB70CE">
      <w:pPr>
        <w:pStyle w:val="BodyText"/>
      </w:pPr>
    </w:p>
    <w:p w14:paraId="7FCCDBD7" w14:textId="4334D578" w:rsidR="000431A2" w:rsidRPr="000431A2" w:rsidRDefault="00EB70CE" w:rsidP="0069466C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0ED7CC6F" w14:textId="3BFF7CBB" w:rsidR="000431A2" w:rsidRDefault="002C4562" w:rsidP="00482E67">
            <w:pPr>
              <w:pStyle w:val="PlainText"/>
              <w:rPr>
                <w:b/>
              </w:rPr>
            </w:pPr>
            <w:r>
              <w:rPr>
                <w:b/>
              </w:rPr>
              <w:t>Quantitative measures</w:t>
            </w:r>
          </w:p>
          <w:p w14:paraId="542E884A" w14:textId="4AC5AE28" w:rsidR="00645A4A" w:rsidRPr="00645A4A" w:rsidRDefault="00645A4A" w:rsidP="00645A4A">
            <w:pPr>
              <w:pStyle w:val="PlainText"/>
            </w:pPr>
            <w:r w:rsidRPr="00645A4A">
              <w:t xml:space="preserve">The percentage of students reporting </w:t>
            </w:r>
            <w:r w:rsidRPr="00645A4A">
              <w:rPr>
                <w:i/>
              </w:rPr>
              <w:t>I can talk to my teachers about my concerns</w:t>
            </w:r>
            <w:r w:rsidRPr="00645A4A">
              <w:t xml:space="preserve"> was at 47.5% in 2020, a decrease from the baseline of 58.3% in 2017 and a negative trend away from the 2022 target of 80%.  </w:t>
            </w:r>
          </w:p>
          <w:p w14:paraId="5B2EDAFB" w14:textId="6E67339C" w:rsidR="00645A4A" w:rsidRPr="002C4562" w:rsidRDefault="00645A4A" w:rsidP="00645A4A">
            <w:pPr>
              <w:pStyle w:val="PlainText"/>
            </w:pPr>
            <w:r w:rsidRPr="002C4562">
              <w:t xml:space="preserve">Reported anxiety levels have increased with 27% of students reporting </w:t>
            </w:r>
            <w:r w:rsidRPr="002C4562">
              <w:rPr>
                <w:i/>
              </w:rPr>
              <w:t>not true</w:t>
            </w:r>
            <w:r w:rsidRPr="002C4562">
              <w:t xml:space="preserve"> or </w:t>
            </w:r>
            <w:r w:rsidRPr="002C4562">
              <w:rPr>
                <w:i/>
              </w:rPr>
              <w:t>hardly true</w:t>
            </w:r>
            <w:r w:rsidRPr="002C4562">
              <w:t xml:space="preserve"> when asked how frequently each statement relating to anxiety applied to them, down from </w:t>
            </w:r>
            <w:r w:rsidR="002C4562" w:rsidRPr="002C4562">
              <w:t>32.5</w:t>
            </w:r>
            <w:r w:rsidRPr="002C4562">
              <w:t>% in 2017. The metric for anxiety has changed since the targets were set, meaning the target will need to be adjusted to reflect this.</w:t>
            </w:r>
          </w:p>
          <w:p w14:paraId="1E28251B" w14:textId="77777777" w:rsidR="00806B96" w:rsidRDefault="00806B96" w:rsidP="00482E67">
            <w:pPr>
              <w:pStyle w:val="PlainText"/>
              <w:rPr>
                <w:b/>
              </w:rPr>
            </w:pPr>
          </w:p>
          <w:p w14:paraId="6CED77EF" w14:textId="4A3CEBA0" w:rsidR="0069466C" w:rsidRDefault="002C4562" w:rsidP="00482E67">
            <w:pPr>
              <w:pStyle w:val="PlainText"/>
              <w:rPr>
                <w:b/>
              </w:rPr>
            </w:pPr>
            <w:r>
              <w:rPr>
                <w:b/>
              </w:rPr>
              <w:t>Qualitative measures</w:t>
            </w:r>
          </w:p>
          <w:p w14:paraId="3EF57D35" w14:textId="596B6609" w:rsidR="00EC16C0" w:rsidRPr="00F878F6" w:rsidRDefault="0069466C" w:rsidP="00F878F6">
            <w:pPr>
              <w:pStyle w:val="ListBulle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PBL implementation </w:t>
            </w:r>
            <w:r w:rsidR="00EC16C0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14647C">
              <w:rPr>
                <w:bCs/>
              </w:rPr>
              <w:t xml:space="preserve">preliminary data collection, team formation and staff training commenced </w:t>
            </w:r>
          </w:p>
          <w:p w14:paraId="54E2F870" w14:textId="079301CE" w:rsidR="00EC16C0" w:rsidRPr="00F878F6" w:rsidRDefault="00EC16C0" w:rsidP="00F878F6">
            <w:pPr>
              <w:pStyle w:val="ListBulle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C</w:t>
            </w:r>
            <w:r w:rsidR="0069466C" w:rsidRPr="00EC16C0">
              <w:rPr>
                <w:bCs/>
              </w:rPr>
              <w:t>ultural integrity</w:t>
            </w:r>
            <w:r>
              <w:rPr>
                <w:bCs/>
              </w:rPr>
              <w:t xml:space="preserve"> – </w:t>
            </w:r>
            <w:r w:rsidR="0014647C">
              <w:rPr>
                <w:bCs/>
              </w:rPr>
              <w:t xml:space="preserve">data collection, cultural integrity </w:t>
            </w:r>
            <w:r w:rsidR="00F878F6">
              <w:rPr>
                <w:bCs/>
              </w:rPr>
              <w:t xml:space="preserve">development activities for staff </w:t>
            </w:r>
          </w:p>
          <w:p w14:paraId="6968A345" w14:textId="0A691B64" w:rsidR="00EC16C0" w:rsidRPr="00F878F6" w:rsidRDefault="0069466C" w:rsidP="00F878F6">
            <w:pPr>
              <w:pStyle w:val="ListBullet"/>
              <w:numPr>
                <w:ilvl w:val="0"/>
                <w:numId w:val="26"/>
              </w:numPr>
              <w:rPr>
                <w:bCs/>
              </w:rPr>
            </w:pPr>
            <w:r w:rsidRPr="00EC16C0">
              <w:rPr>
                <w:bCs/>
              </w:rPr>
              <w:t>Case management approach</w:t>
            </w:r>
            <w:r w:rsidR="00EC16C0">
              <w:rPr>
                <w:bCs/>
              </w:rPr>
              <w:t xml:space="preserve"> –</w:t>
            </w:r>
            <w:r w:rsidR="00F878F6">
              <w:rPr>
                <w:bCs/>
              </w:rPr>
              <w:t xml:space="preserve"> refinement of case management process to ensure all students are receiving support when needed </w:t>
            </w:r>
          </w:p>
          <w:p w14:paraId="17DDC188" w14:textId="5E30BE20" w:rsidR="00482E67" w:rsidRPr="00C944C9" w:rsidRDefault="00EC16C0" w:rsidP="00482E67">
            <w:pPr>
              <w:pStyle w:val="ListBulle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Continuum of education support programs </w:t>
            </w:r>
            <w:r w:rsidR="00F878F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F878F6">
              <w:rPr>
                <w:bCs/>
              </w:rPr>
              <w:t>qualitative and performance data was collected and analysed in conjunction with University of Canberra affiliated schools project</w:t>
            </w:r>
          </w:p>
        </w:tc>
      </w:tr>
    </w:tbl>
    <w:p w14:paraId="57924B6F" w14:textId="77777777" w:rsidR="005531FE" w:rsidRDefault="005531FE" w:rsidP="00937D6F">
      <w:pPr>
        <w:pStyle w:val="BodyText"/>
      </w:pPr>
    </w:p>
    <w:p w14:paraId="50DBDD88" w14:textId="62929F39" w:rsidR="005611F4" w:rsidRPr="005611F4" w:rsidRDefault="00937D6F" w:rsidP="00871AB9">
      <w:pPr>
        <w:pStyle w:val="Heading3"/>
      </w:pPr>
      <w:r w:rsidRPr="00DA09ED">
        <w:lastRenderedPageBreak/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761CEF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76D7416B" w14:textId="7C8928B7" w:rsidR="00EC6C53" w:rsidRDefault="00F62CE5" w:rsidP="005531FE">
            <w:pPr>
              <w:pStyle w:val="ListBullet"/>
            </w:pPr>
            <w:r>
              <w:t>Improve i</w:t>
            </w:r>
            <w:r w:rsidR="00EC6C53">
              <w:t xml:space="preserve">ndicators of belonging and connection  </w:t>
            </w:r>
          </w:p>
          <w:p w14:paraId="20112ECB" w14:textId="3D440DEE" w:rsidR="005531FE" w:rsidRDefault="005531FE" w:rsidP="005531FE">
            <w:pPr>
              <w:pStyle w:val="ListBullet"/>
            </w:pPr>
            <w:r>
              <w:t xml:space="preserve">PBL implementation </w:t>
            </w:r>
          </w:p>
          <w:p w14:paraId="6E5241F1" w14:textId="77777777" w:rsidR="005531FE" w:rsidRDefault="005531FE" w:rsidP="002C4562">
            <w:pPr>
              <w:pStyle w:val="ListBullet"/>
            </w:pPr>
            <w:r>
              <w:t>Development and application of methodology for measuring impact of CES programs</w:t>
            </w:r>
            <w:r w:rsidR="00074167">
              <w:t xml:space="preserve"> (Track and Gryphon)</w:t>
            </w:r>
            <w:r w:rsidR="00751267">
              <w:t xml:space="preserve"> </w:t>
            </w:r>
          </w:p>
          <w:p w14:paraId="4D0D0527" w14:textId="64B89A9B" w:rsidR="00F62CE5" w:rsidRDefault="00F62CE5" w:rsidP="002C4562">
            <w:pPr>
              <w:pStyle w:val="ListBullet"/>
            </w:pPr>
            <w:r>
              <w:t xml:space="preserve">Focus on implementation of priorities across all classrooms through the collection of process data   </w:t>
            </w: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19326727" w:rsidR="00EB70CE" w:rsidRDefault="00EB70CE" w:rsidP="00EB70CE">
      <w:pPr>
        <w:rPr>
          <w:b/>
        </w:rPr>
      </w:pPr>
    </w:p>
    <w:sectPr w:rsidR="00EB70CE" w:rsidSect="00C77B0A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88A0C" w14:textId="77777777" w:rsidR="00B313BC" w:rsidRDefault="00B313BC" w:rsidP="00CA0BAD">
      <w:pPr>
        <w:spacing w:after="0" w:line="240" w:lineRule="auto"/>
      </w:pPr>
      <w:r>
        <w:separator/>
      </w:r>
    </w:p>
  </w:endnote>
  <w:endnote w:type="continuationSeparator" w:id="0">
    <w:p w14:paraId="344785D5" w14:textId="77777777" w:rsidR="00B313BC" w:rsidRDefault="00B313BC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370B81DA" w:rsidR="00B313BC" w:rsidRPr="00BF488D" w:rsidRDefault="00B313BC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1432949E" w:rsidR="00B313BC" w:rsidRPr="008679D5" w:rsidRDefault="00F62CE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76514" w14:textId="77777777" w:rsidR="00B313BC" w:rsidRDefault="00B313BC" w:rsidP="00CA0BAD">
      <w:pPr>
        <w:spacing w:after="0" w:line="240" w:lineRule="auto"/>
      </w:pPr>
      <w:r>
        <w:separator/>
      </w:r>
    </w:p>
  </w:footnote>
  <w:footnote w:type="continuationSeparator" w:id="0">
    <w:p w14:paraId="3D144623" w14:textId="77777777" w:rsidR="00B313BC" w:rsidRDefault="00B313BC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128F" w14:textId="5C9F5A7F" w:rsidR="00B313BC" w:rsidRDefault="00B313BC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334A" w14:textId="77777777" w:rsidR="00B313BC" w:rsidRDefault="00B313BC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25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8506D"/>
    <w:multiLevelType w:val="hybridMultilevel"/>
    <w:tmpl w:val="61D0D5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B07E9"/>
    <w:multiLevelType w:val="multilevel"/>
    <w:tmpl w:val="4C6E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A4AC3"/>
    <w:multiLevelType w:val="multilevel"/>
    <w:tmpl w:val="D734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0913E1"/>
    <w:multiLevelType w:val="hybridMultilevel"/>
    <w:tmpl w:val="BB7E7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110C3"/>
    <w:multiLevelType w:val="multilevel"/>
    <w:tmpl w:val="D734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430A15"/>
    <w:multiLevelType w:val="hybridMultilevel"/>
    <w:tmpl w:val="26DAC3D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900FD"/>
    <w:multiLevelType w:val="hybridMultilevel"/>
    <w:tmpl w:val="ED8E0734"/>
    <w:lvl w:ilvl="0" w:tplc="30CA37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7EF3B84"/>
    <w:multiLevelType w:val="multilevel"/>
    <w:tmpl w:val="05D05AE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503C84"/>
    <w:multiLevelType w:val="hybridMultilevel"/>
    <w:tmpl w:val="34866D6C"/>
    <w:lvl w:ilvl="0" w:tplc="474EEB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10710"/>
    <w:multiLevelType w:val="hybridMultilevel"/>
    <w:tmpl w:val="890280B6"/>
    <w:lvl w:ilvl="0" w:tplc="144299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18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23"/>
  </w:num>
  <w:num w:numId="19">
    <w:abstractNumId w:val="14"/>
  </w:num>
  <w:num w:numId="20">
    <w:abstractNumId w:val="13"/>
  </w:num>
  <w:num w:numId="21">
    <w:abstractNumId w:val="25"/>
  </w:num>
  <w:num w:numId="22">
    <w:abstractNumId w:val="16"/>
  </w:num>
  <w:num w:numId="23">
    <w:abstractNumId w:val="24"/>
  </w:num>
  <w:num w:numId="24">
    <w:abstractNumId w:val="10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153BD"/>
    <w:rsid w:val="0002463E"/>
    <w:rsid w:val="00031B79"/>
    <w:rsid w:val="000431A2"/>
    <w:rsid w:val="00056A92"/>
    <w:rsid w:val="00057DAD"/>
    <w:rsid w:val="00074167"/>
    <w:rsid w:val="00080E52"/>
    <w:rsid w:val="00096CD3"/>
    <w:rsid w:val="000A6307"/>
    <w:rsid w:val="000B45D8"/>
    <w:rsid w:val="000C09B7"/>
    <w:rsid w:val="000D0100"/>
    <w:rsid w:val="000F6995"/>
    <w:rsid w:val="000F6DA9"/>
    <w:rsid w:val="000F7E7C"/>
    <w:rsid w:val="00104D09"/>
    <w:rsid w:val="00107AE2"/>
    <w:rsid w:val="00115AA9"/>
    <w:rsid w:val="00132917"/>
    <w:rsid w:val="00135B1C"/>
    <w:rsid w:val="0014647C"/>
    <w:rsid w:val="00147964"/>
    <w:rsid w:val="00157085"/>
    <w:rsid w:val="00161E50"/>
    <w:rsid w:val="00163579"/>
    <w:rsid w:val="0016678D"/>
    <w:rsid w:val="0018248D"/>
    <w:rsid w:val="00183DE5"/>
    <w:rsid w:val="001978E2"/>
    <w:rsid w:val="001A5F29"/>
    <w:rsid w:val="001B26EA"/>
    <w:rsid w:val="001B2E33"/>
    <w:rsid w:val="001C0BE6"/>
    <w:rsid w:val="001D170A"/>
    <w:rsid w:val="001E0CB8"/>
    <w:rsid w:val="001E52EC"/>
    <w:rsid w:val="001F3817"/>
    <w:rsid w:val="002022F4"/>
    <w:rsid w:val="00205B6D"/>
    <w:rsid w:val="00206E99"/>
    <w:rsid w:val="002145F7"/>
    <w:rsid w:val="00225B27"/>
    <w:rsid w:val="0024781C"/>
    <w:rsid w:val="00250E92"/>
    <w:rsid w:val="002524C0"/>
    <w:rsid w:val="002611BF"/>
    <w:rsid w:val="00266E77"/>
    <w:rsid w:val="00271528"/>
    <w:rsid w:val="002730B1"/>
    <w:rsid w:val="00275859"/>
    <w:rsid w:val="00282E47"/>
    <w:rsid w:val="00287834"/>
    <w:rsid w:val="0029136C"/>
    <w:rsid w:val="002A1218"/>
    <w:rsid w:val="002B5E09"/>
    <w:rsid w:val="002C3DA2"/>
    <w:rsid w:val="002C4562"/>
    <w:rsid w:val="002D21D2"/>
    <w:rsid w:val="002D238E"/>
    <w:rsid w:val="002F2C6F"/>
    <w:rsid w:val="002F4184"/>
    <w:rsid w:val="00300F72"/>
    <w:rsid w:val="00302949"/>
    <w:rsid w:val="00304B4B"/>
    <w:rsid w:val="00314348"/>
    <w:rsid w:val="00316D35"/>
    <w:rsid w:val="00334BBF"/>
    <w:rsid w:val="00342B3F"/>
    <w:rsid w:val="00365890"/>
    <w:rsid w:val="00365A1C"/>
    <w:rsid w:val="00373DC0"/>
    <w:rsid w:val="00377F0F"/>
    <w:rsid w:val="00382309"/>
    <w:rsid w:val="003A344E"/>
    <w:rsid w:val="003B5E3D"/>
    <w:rsid w:val="003C2864"/>
    <w:rsid w:val="003C3BD7"/>
    <w:rsid w:val="003C69DC"/>
    <w:rsid w:val="003D3E1F"/>
    <w:rsid w:val="003D6DBA"/>
    <w:rsid w:val="003E1EFB"/>
    <w:rsid w:val="004071B9"/>
    <w:rsid w:val="0041380E"/>
    <w:rsid w:val="00435AB7"/>
    <w:rsid w:val="00435C6B"/>
    <w:rsid w:val="00436626"/>
    <w:rsid w:val="00450AE0"/>
    <w:rsid w:val="00461D07"/>
    <w:rsid w:val="00481BD2"/>
    <w:rsid w:val="00482E67"/>
    <w:rsid w:val="00487DF4"/>
    <w:rsid w:val="00492440"/>
    <w:rsid w:val="004A0674"/>
    <w:rsid w:val="004B384F"/>
    <w:rsid w:val="004B7CB6"/>
    <w:rsid w:val="004C2350"/>
    <w:rsid w:val="004C32E2"/>
    <w:rsid w:val="004C748A"/>
    <w:rsid w:val="004D00F4"/>
    <w:rsid w:val="004D5E45"/>
    <w:rsid w:val="00514546"/>
    <w:rsid w:val="00520A86"/>
    <w:rsid w:val="00532FA6"/>
    <w:rsid w:val="00544BC7"/>
    <w:rsid w:val="005531FE"/>
    <w:rsid w:val="00557F65"/>
    <w:rsid w:val="005611F4"/>
    <w:rsid w:val="0057672E"/>
    <w:rsid w:val="00580F50"/>
    <w:rsid w:val="00581741"/>
    <w:rsid w:val="0058339C"/>
    <w:rsid w:val="0059350F"/>
    <w:rsid w:val="005A4749"/>
    <w:rsid w:val="005C7432"/>
    <w:rsid w:val="005D0AAE"/>
    <w:rsid w:val="005E76E4"/>
    <w:rsid w:val="005F3B55"/>
    <w:rsid w:val="00610A38"/>
    <w:rsid w:val="006125C3"/>
    <w:rsid w:val="00626211"/>
    <w:rsid w:val="00631663"/>
    <w:rsid w:val="00643D7E"/>
    <w:rsid w:val="0064457C"/>
    <w:rsid w:val="00645A4A"/>
    <w:rsid w:val="006603B4"/>
    <w:rsid w:val="0066643F"/>
    <w:rsid w:val="00674E1D"/>
    <w:rsid w:val="00677316"/>
    <w:rsid w:val="006830C3"/>
    <w:rsid w:val="00686A09"/>
    <w:rsid w:val="00693250"/>
    <w:rsid w:val="0069466C"/>
    <w:rsid w:val="006A0C9E"/>
    <w:rsid w:val="006A31D6"/>
    <w:rsid w:val="006A5062"/>
    <w:rsid w:val="006B0447"/>
    <w:rsid w:val="006B598B"/>
    <w:rsid w:val="006C3438"/>
    <w:rsid w:val="006D2F6B"/>
    <w:rsid w:val="00703A82"/>
    <w:rsid w:val="0070592A"/>
    <w:rsid w:val="0071294E"/>
    <w:rsid w:val="00730A3C"/>
    <w:rsid w:val="007347A7"/>
    <w:rsid w:val="007375B4"/>
    <w:rsid w:val="007453EE"/>
    <w:rsid w:val="00751267"/>
    <w:rsid w:val="00752390"/>
    <w:rsid w:val="00754293"/>
    <w:rsid w:val="00761CEF"/>
    <w:rsid w:val="00764217"/>
    <w:rsid w:val="007769F3"/>
    <w:rsid w:val="00787CCC"/>
    <w:rsid w:val="007A550A"/>
    <w:rsid w:val="007B0189"/>
    <w:rsid w:val="007C164B"/>
    <w:rsid w:val="007D407C"/>
    <w:rsid w:val="007E6372"/>
    <w:rsid w:val="00806B96"/>
    <w:rsid w:val="00811543"/>
    <w:rsid w:val="00812EFE"/>
    <w:rsid w:val="00822C59"/>
    <w:rsid w:val="008300DD"/>
    <w:rsid w:val="0083653A"/>
    <w:rsid w:val="00837137"/>
    <w:rsid w:val="00846E51"/>
    <w:rsid w:val="00853AFD"/>
    <w:rsid w:val="00860A3A"/>
    <w:rsid w:val="00864919"/>
    <w:rsid w:val="008679D5"/>
    <w:rsid w:val="00871AB9"/>
    <w:rsid w:val="008928BF"/>
    <w:rsid w:val="00896B58"/>
    <w:rsid w:val="008A01DA"/>
    <w:rsid w:val="008B2AE7"/>
    <w:rsid w:val="008B41E9"/>
    <w:rsid w:val="008E3A7C"/>
    <w:rsid w:val="008E5D8B"/>
    <w:rsid w:val="0090310B"/>
    <w:rsid w:val="00906C4E"/>
    <w:rsid w:val="00915ADE"/>
    <w:rsid w:val="0092296B"/>
    <w:rsid w:val="0093040B"/>
    <w:rsid w:val="00932E67"/>
    <w:rsid w:val="00937D6F"/>
    <w:rsid w:val="00944E99"/>
    <w:rsid w:val="0095326F"/>
    <w:rsid w:val="00955121"/>
    <w:rsid w:val="0097360B"/>
    <w:rsid w:val="00983291"/>
    <w:rsid w:val="00997CD0"/>
    <w:rsid w:val="009A55A5"/>
    <w:rsid w:val="009A79F0"/>
    <w:rsid w:val="009B454E"/>
    <w:rsid w:val="009B7107"/>
    <w:rsid w:val="009D67B7"/>
    <w:rsid w:val="009E2D26"/>
    <w:rsid w:val="009F1BC4"/>
    <w:rsid w:val="00A00874"/>
    <w:rsid w:val="00A02646"/>
    <w:rsid w:val="00A045D0"/>
    <w:rsid w:val="00A112C4"/>
    <w:rsid w:val="00A1525D"/>
    <w:rsid w:val="00A16F56"/>
    <w:rsid w:val="00A250B0"/>
    <w:rsid w:val="00A36644"/>
    <w:rsid w:val="00A7528B"/>
    <w:rsid w:val="00A91AD8"/>
    <w:rsid w:val="00A967A3"/>
    <w:rsid w:val="00AB3505"/>
    <w:rsid w:val="00AB597A"/>
    <w:rsid w:val="00AC3868"/>
    <w:rsid w:val="00AD2A4F"/>
    <w:rsid w:val="00AD650D"/>
    <w:rsid w:val="00AD7D38"/>
    <w:rsid w:val="00AE1CAD"/>
    <w:rsid w:val="00AE2FBD"/>
    <w:rsid w:val="00AE3C70"/>
    <w:rsid w:val="00AF164B"/>
    <w:rsid w:val="00B06296"/>
    <w:rsid w:val="00B10319"/>
    <w:rsid w:val="00B24AE7"/>
    <w:rsid w:val="00B313BC"/>
    <w:rsid w:val="00B36AF4"/>
    <w:rsid w:val="00B41802"/>
    <w:rsid w:val="00B454D5"/>
    <w:rsid w:val="00B53B59"/>
    <w:rsid w:val="00B65833"/>
    <w:rsid w:val="00B70686"/>
    <w:rsid w:val="00B734D8"/>
    <w:rsid w:val="00B87959"/>
    <w:rsid w:val="00BA00E5"/>
    <w:rsid w:val="00BD4AC3"/>
    <w:rsid w:val="00C0648C"/>
    <w:rsid w:val="00C06492"/>
    <w:rsid w:val="00C33A1C"/>
    <w:rsid w:val="00C33BE7"/>
    <w:rsid w:val="00C35892"/>
    <w:rsid w:val="00C36B48"/>
    <w:rsid w:val="00C41AF2"/>
    <w:rsid w:val="00C42382"/>
    <w:rsid w:val="00C52F18"/>
    <w:rsid w:val="00C5759B"/>
    <w:rsid w:val="00C63CC4"/>
    <w:rsid w:val="00C70483"/>
    <w:rsid w:val="00C77B0A"/>
    <w:rsid w:val="00C811FF"/>
    <w:rsid w:val="00C81D5D"/>
    <w:rsid w:val="00C84CAC"/>
    <w:rsid w:val="00C91C8E"/>
    <w:rsid w:val="00C944C9"/>
    <w:rsid w:val="00CA0BAD"/>
    <w:rsid w:val="00CA26FB"/>
    <w:rsid w:val="00CD74C5"/>
    <w:rsid w:val="00CE720C"/>
    <w:rsid w:val="00CF3F40"/>
    <w:rsid w:val="00D0154D"/>
    <w:rsid w:val="00D03B0C"/>
    <w:rsid w:val="00D06910"/>
    <w:rsid w:val="00D16E8A"/>
    <w:rsid w:val="00D21886"/>
    <w:rsid w:val="00D56F59"/>
    <w:rsid w:val="00D66148"/>
    <w:rsid w:val="00D731BD"/>
    <w:rsid w:val="00D959AD"/>
    <w:rsid w:val="00DA09ED"/>
    <w:rsid w:val="00DA4466"/>
    <w:rsid w:val="00DA4480"/>
    <w:rsid w:val="00DB037A"/>
    <w:rsid w:val="00DC0E80"/>
    <w:rsid w:val="00DD1B4B"/>
    <w:rsid w:val="00DE004D"/>
    <w:rsid w:val="00DE3C32"/>
    <w:rsid w:val="00DE43E6"/>
    <w:rsid w:val="00DE75EB"/>
    <w:rsid w:val="00DF0245"/>
    <w:rsid w:val="00DF15A8"/>
    <w:rsid w:val="00DF695B"/>
    <w:rsid w:val="00E061B8"/>
    <w:rsid w:val="00E14A54"/>
    <w:rsid w:val="00E26CA2"/>
    <w:rsid w:val="00E30578"/>
    <w:rsid w:val="00E434FA"/>
    <w:rsid w:val="00E61D1D"/>
    <w:rsid w:val="00E674BD"/>
    <w:rsid w:val="00E7509A"/>
    <w:rsid w:val="00E957E4"/>
    <w:rsid w:val="00EA1B8A"/>
    <w:rsid w:val="00EB70CE"/>
    <w:rsid w:val="00EC16C0"/>
    <w:rsid w:val="00EC2EA7"/>
    <w:rsid w:val="00EC6C53"/>
    <w:rsid w:val="00EE1705"/>
    <w:rsid w:val="00EF2574"/>
    <w:rsid w:val="00F05C79"/>
    <w:rsid w:val="00F105C7"/>
    <w:rsid w:val="00F30BBF"/>
    <w:rsid w:val="00F3451E"/>
    <w:rsid w:val="00F536D7"/>
    <w:rsid w:val="00F62CE5"/>
    <w:rsid w:val="00F731C4"/>
    <w:rsid w:val="00F878F6"/>
    <w:rsid w:val="00F87A19"/>
    <w:rsid w:val="00F905E0"/>
    <w:rsid w:val="00F9641F"/>
    <w:rsid w:val="00FA6811"/>
    <w:rsid w:val="00FA6A61"/>
    <w:rsid w:val="00FB31F0"/>
    <w:rsid w:val="00FE1945"/>
    <w:rsid w:val="00FE365C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NumberedList">
    <w:name w:val="Numbered List"/>
    <w:basedOn w:val="Normal"/>
    <w:qFormat/>
    <w:rsid w:val="00A7528B"/>
    <w:pPr>
      <w:numPr>
        <w:numId w:val="17"/>
      </w:numPr>
      <w:ind w:left="357" w:hanging="357"/>
    </w:pPr>
  </w:style>
  <w:style w:type="paragraph" w:styleId="NoSpacing">
    <w:name w:val="No Spacing"/>
    <w:uiPriority w:val="1"/>
    <w:qFormat/>
    <w:rsid w:val="00BD4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0A571D"/>
    <w:rsid w:val="00115899"/>
    <w:rsid w:val="003D1F1C"/>
    <w:rsid w:val="00635B15"/>
    <w:rsid w:val="008B6DE0"/>
    <w:rsid w:val="008F4B21"/>
    <w:rsid w:val="00B050C0"/>
    <w:rsid w:val="00E5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BC6E-449A-4D1A-BFAF-A683989E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Briggs, David</cp:lastModifiedBy>
  <cp:revision>24</cp:revision>
  <cp:lastPrinted>2020-12-15T03:26:00Z</cp:lastPrinted>
  <dcterms:created xsi:type="dcterms:W3CDTF">2020-12-15T02:55:00Z</dcterms:created>
  <dcterms:modified xsi:type="dcterms:W3CDTF">2021-02-21T00:10:00Z</dcterms:modified>
</cp:coreProperties>
</file>