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1527EFCB" w:rsidR="00FE1945" w:rsidRPr="00563A3D" w:rsidRDefault="00CF5B94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Ngunnawal Primary School</w:t>
          </w:r>
        </w:p>
      </w:sdtContent>
    </w:sdt>
    <w:p w14:paraId="63330FCF" w14:textId="4CDBDBB3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CF5B94">
            <w:t>North Canberra/ Gungahlin</w:t>
          </w:r>
        </w:sdtContent>
      </w:sdt>
    </w:p>
    <w:p w14:paraId="38F253B0" w14:textId="4AB34F2E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262836">
        <w:t>2</w:t>
      </w:r>
      <w:r w:rsidR="00C75B43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6115067D" w:rsidR="00B10319" w:rsidRPr="00262836" w:rsidRDefault="00112FA7" w:rsidP="00132917">
      <w:pPr>
        <w:pStyle w:val="BodyText"/>
        <w:rPr>
          <w:bCs/>
        </w:rPr>
      </w:pPr>
      <w:r w:rsidRPr="00262836">
        <w:rPr>
          <w:bCs/>
        </w:rPr>
        <w:t>Due to a change in principal,</w:t>
      </w:r>
      <w:r w:rsidR="00B10319" w:rsidRPr="00262836">
        <w:rPr>
          <w:bCs/>
        </w:rPr>
        <w:t xml:space="preserve"> </w:t>
      </w:r>
      <w:r w:rsidRPr="00262836">
        <w:rPr>
          <w:bCs/>
        </w:rPr>
        <w:t xml:space="preserve">the </w:t>
      </w:r>
      <w:r w:rsidR="001B2E33" w:rsidRPr="00262836">
        <w:rPr>
          <w:bCs/>
        </w:rPr>
        <w:t>five-year</w:t>
      </w:r>
      <w:r w:rsidR="00B10319" w:rsidRPr="00262836">
        <w:rPr>
          <w:bCs/>
        </w:rPr>
        <w:t xml:space="preserve"> improvement cycle</w:t>
      </w:r>
      <w:r w:rsidRPr="00262836">
        <w:rPr>
          <w:bCs/>
        </w:rPr>
        <w:t xml:space="preserve"> has been redesigned</w:t>
      </w:r>
      <w:r w:rsidR="00B10319" w:rsidRPr="00262836">
        <w:rPr>
          <w:bCs/>
        </w:rPr>
        <w:t>.</w:t>
      </w:r>
      <w:r w:rsidRPr="00262836">
        <w:rPr>
          <w:bCs/>
        </w:rPr>
        <w:t xml:space="preserve"> The two priorities in th</w:t>
      </w:r>
      <w:r w:rsidR="00822F28" w:rsidRPr="00262836">
        <w:rPr>
          <w:bCs/>
        </w:rPr>
        <w:t>is</w:t>
      </w:r>
      <w:r w:rsidRPr="00262836">
        <w:rPr>
          <w:bCs/>
        </w:rPr>
        <w:t xml:space="preserve"> impact report reflect the priorities in the School Improvement Plan for 2020-2022. </w:t>
      </w:r>
      <w:r w:rsidR="00DA4480" w:rsidRPr="00262836">
        <w:rPr>
          <w:bCs/>
        </w:rPr>
        <w:t xml:space="preserve"> </w:t>
      </w:r>
    </w:p>
    <w:p w14:paraId="4204B080" w14:textId="3EEC228C" w:rsidR="00262836" w:rsidRPr="00262836" w:rsidRDefault="00262836" w:rsidP="00262836">
      <w:pPr>
        <w:pStyle w:val="PlainText"/>
        <w:rPr>
          <w:bCs/>
          <w:noProof/>
        </w:rPr>
      </w:pPr>
      <w:r w:rsidRPr="00262836">
        <w:rPr>
          <w:bCs/>
          <w:noProof/>
        </w:rPr>
        <w:t>Note: Due to the signficant disruptive events of 202</w:t>
      </w:r>
      <w:r w:rsidR="00B847A7">
        <w:rPr>
          <w:bCs/>
          <w:noProof/>
        </w:rPr>
        <w:t>1</w:t>
      </w:r>
      <w:r w:rsidRPr="00262836">
        <w:rPr>
          <w:bCs/>
          <w:noProof/>
        </w:rPr>
        <w:t xml:space="preserve"> the data collection cycles of some measures were interrupted. Where this has occurred an N/A entry has been used.</w:t>
      </w:r>
    </w:p>
    <w:p w14:paraId="4C974366" w14:textId="268A0E92" w:rsidR="00132917" w:rsidRPr="0058339C" w:rsidRDefault="00132917" w:rsidP="0058339C">
      <w:pPr>
        <w:pStyle w:val="BodyText"/>
      </w:pP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21F690AF" w14:textId="0EB16ADF" w:rsidR="004370EF" w:rsidRPr="00A422A6" w:rsidRDefault="00FE1945" w:rsidP="00300F72">
      <w:pPr>
        <w:pStyle w:val="BodyText"/>
        <w:rPr>
          <w:b/>
          <w:bCs/>
          <w:i/>
        </w:rPr>
      </w:pPr>
      <w:r w:rsidRPr="00A422A6">
        <w:rPr>
          <w:b/>
          <w:bCs/>
          <w:i/>
        </w:rPr>
        <w:t>To promote greater equity in learning outcomes in and across ACT public schools</w:t>
      </w:r>
    </w:p>
    <w:p w14:paraId="0E4AE3ED" w14:textId="1421A9A4" w:rsidR="00846E51" w:rsidRPr="00132917" w:rsidRDefault="00300F72" w:rsidP="00132917">
      <w:pPr>
        <w:pStyle w:val="BodyText"/>
      </w:pPr>
      <w:r w:rsidRPr="00132917">
        <w:t>In 20</w:t>
      </w:r>
      <w:r w:rsidR="00262836">
        <w:t>2</w:t>
      </w:r>
      <w:r w:rsidR="00B847A7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</w:t>
      </w:r>
      <w:r w:rsidR="004370EF">
        <w:t>:</w:t>
      </w:r>
    </w:p>
    <w:p w14:paraId="4237A615" w14:textId="7E110168" w:rsidR="00300F72" w:rsidRDefault="00B847A7" w:rsidP="009A7DB7">
      <w:pPr>
        <w:pStyle w:val="ListBullet"/>
      </w:pPr>
      <w:r>
        <w:t>Embedding</w:t>
      </w:r>
      <w:r w:rsidR="00262836">
        <w:t xml:space="preserve"> a Wellbeing Framework </w:t>
      </w:r>
      <w:r w:rsidR="00A422A6">
        <w:t>using a three-tier model to provide a holistic approach to student wellbeing</w:t>
      </w:r>
    </w:p>
    <w:p w14:paraId="132DD3AA" w14:textId="600D308E" w:rsidR="00A422A6" w:rsidRPr="00300F72" w:rsidRDefault="00B847A7" w:rsidP="00A422A6">
      <w:pPr>
        <w:pStyle w:val="ListBullet"/>
      </w:pPr>
      <w:r>
        <w:t>Embedding</w:t>
      </w:r>
      <w:r w:rsidR="00A422A6">
        <w:t xml:space="preserve"> the spiral of inquiry for staff to examine practice and improve student achievement</w:t>
      </w:r>
    </w:p>
    <w:p w14:paraId="7BC36CB2" w14:textId="223F30F2" w:rsidR="00A422A6" w:rsidRPr="00300F72" w:rsidRDefault="00B847A7" w:rsidP="009A7DB7">
      <w:pPr>
        <w:pStyle w:val="ListBullet"/>
      </w:pPr>
      <w:r>
        <w:t>Embedding</w:t>
      </w:r>
      <w:r w:rsidR="00A2708B">
        <w:t xml:space="preserve"> the Reader’s Workshop model K-6 and c</w:t>
      </w:r>
      <w:r w:rsidR="00A422A6">
        <w:t xml:space="preserve">ollaboratively developed quality criteria for the </w:t>
      </w:r>
      <w:r w:rsidR="00D63BF0">
        <w:t>consistent implementation of the model across the school</w:t>
      </w: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475D982C" w:rsidR="00300F72" w:rsidRPr="00A422A6" w:rsidRDefault="00B10319" w:rsidP="00300F72">
      <w:pPr>
        <w:pStyle w:val="BodyText"/>
        <w:rPr>
          <w:b/>
          <w:bCs/>
          <w:i/>
        </w:rPr>
      </w:pPr>
      <w:r w:rsidRPr="00A422A6">
        <w:rPr>
          <w:b/>
          <w:bCs/>
          <w:i/>
        </w:rPr>
        <w:t>To facilitate high quality teaching in ACT public schools and strengthen educational outcomes.</w:t>
      </w:r>
    </w:p>
    <w:p w14:paraId="3177CAF3" w14:textId="1EC3C927" w:rsidR="008233E6" w:rsidRDefault="00300F72" w:rsidP="008233E6">
      <w:pPr>
        <w:pStyle w:val="BodyText"/>
      </w:pPr>
      <w:r w:rsidRPr="00132917">
        <w:t>In 20</w:t>
      </w:r>
      <w:r w:rsidR="00262836">
        <w:t>2</w:t>
      </w:r>
      <w:r w:rsidR="00B847A7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</w:t>
      </w:r>
      <w:r w:rsidR="004370EF">
        <w:t>:</w:t>
      </w:r>
    </w:p>
    <w:p w14:paraId="569AFCCD" w14:textId="30423A5D" w:rsidR="004370EF" w:rsidRDefault="00B847A7" w:rsidP="004809A8">
      <w:pPr>
        <w:pStyle w:val="BodyText"/>
        <w:numPr>
          <w:ilvl w:val="0"/>
          <w:numId w:val="2"/>
        </w:numPr>
        <w:ind w:left="360"/>
      </w:pPr>
      <w:r>
        <w:t xml:space="preserve">Expanded </w:t>
      </w:r>
      <w:proofErr w:type="gramStart"/>
      <w:r w:rsidR="00262836">
        <w:t>a feedback</w:t>
      </w:r>
      <w:proofErr w:type="gramEnd"/>
      <w:r w:rsidR="00262836">
        <w:t xml:space="preserve"> on practice model </w:t>
      </w:r>
      <w:r w:rsidR="00A422A6">
        <w:t>to ensure all staff</w:t>
      </w:r>
      <w:r>
        <w:t xml:space="preserve"> give and receive</w:t>
      </w:r>
      <w:r w:rsidR="00A422A6">
        <w:t xml:space="preserve"> feedback</w:t>
      </w:r>
      <w:r>
        <w:t xml:space="preserve"> to improve</w:t>
      </w:r>
    </w:p>
    <w:p w14:paraId="283823B0" w14:textId="5E1A9EEF" w:rsidR="00461D07" w:rsidRPr="0066643F" w:rsidRDefault="00A422A6" w:rsidP="004809A8">
      <w:pPr>
        <w:pStyle w:val="ListParagraph"/>
        <w:numPr>
          <w:ilvl w:val="0"/>
          <w:numId w:val="2"/>
        </w:numPr>
        <w:ind w:left="360"/>
      </w:pPr>
      <w:r>
        <w:t>Embedded a</w:t>
      </w:r>
      <w:r w:rsidR="008233E6">
        <w:t xml:space="preserve"> deliberate approach to building a culture of collaboration and a focus on learning through the philosophies and practices of a Professional Learning Community</w:t>
      </w: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38DCB33A" w:rsidR="00300F72" w:rsidRPr="00A422A6" w:rsidRDefault="00B10319" w:rsidP="00300F72">
      <w:pPr>
        <w:pStyle w:val="BodyText"/>
        <w:rPr>
          <w:b/>
          <w:bCs/>
          <w:i/>
        </w:rPr>
      </w:pPr>
      <w:r w:rsidRPr="00A422A6">
        <w:rPr>
          <w:b/>
          <w:bCs/>
          <w:i/>
        </w:rPr>
        <w:t>To centre teaching and learning around students as individuals</w:t>
      </w:r>
    </w:p>
    <w:p w14:paraId="6B398A53" w14:textId="7BFD6100" w:rsidR="00300F72" w:rsidRPr="00132917" w:rsidRDefault="00300F72" w:rsidP="00132917">
      <w:pPr>
        <w:pStyle w:val="BodyText"/>
      </w:pPr>
      <w:r w:rsidRPr="00132917">
        <w:t>In 20</w:t>
      </w:r>
      <w:r w:rsidR="00A422A6">
        <w:t>2</w:t>
      </w:r>
      <w:r w:rsidR="00B847A7">
        <w:t>1</w:t>
      </w:r>
      <w:r w:rsidR="00A422A6">
        <w:t xml:space="preserve"> </w:t>
      </w:r>
      <w:r w:rsidRPr="00132917">
        <w:t xml:space="preserve">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>ndicator through</w:t>
      </w:r>
      <w:r w:rsidR="00DB1560">
        <w:t>:</w:t>
      </w:r>
      <w:r w:rsidRPr="00132917">
        <w:t xml:space="preserve"> </w:t>
      </w:r>
    </w:p>
    <w:p w14:paraId="200F6B8B" w14:textId="6CA39B6F" w:rsidR="0093040B" w:rsidRDefault="00A422A6" w:rsidP="001B26EA">
      <w:pPr>
        <w:pStyle w:val="ListBullet"/>
      </w:pPr>
      <w:r>
        <w:t>Embedding</w:t>
      </w:r>
      <w:r w:rsidR="008233E6">
        <w:t xml:space="preserve"> the philosophies and practices of a Professional Learning Community with students at the heart of decision making and evidence being used to drive collaborative improvement</w:t>
      </w:r>
    </w:p>
    <w:p w14:paraId="3E3CFBE0" w14:textId="24DA8422" w:rsidR="008233E6" w:rsidRDefault="008233E6" w:rsidP="001B26EA">
      <w:pPr>
        <w:pStyle w:val="ListBullet"/>
      </w:pPr>
      <w:r>
        <w:t xml:space="preserve">Strategic use of human and physical resources to provide alternative ways for all students to access quality education </w:t>
      </w:r>
    </w:p>
    <w:p w14:paraId="6E0BD687" w14:textId="2A424670" w:rsidR="008233E6" w:rsidRDefault="008233E6" w:rsidP="001B26EA">
      <w:pPr>
        <w:pStyle w:val="ListBullet"/>
      </w:pPr>
      <w:r>
        <w:t>Personalised learning opportunities in partnership with families to provide alternative ways for all students to access quality education</w:t>
      </w:r>
    </w:p>
    <w:p w14:paraId="3BEFF972" w14:textId="77777777" w:rsidR="002F73F6" w:rsidRPr="001B26EA" w:rsidRDefault="002F73F6" w:rsidP="008233E6">
      <w:pPr>
        <w:pStyle w:val="ListBullet"/>
        <w:numPr>
          <w:ilvl w:val="0"/>
          <w:numId w:val="0"/>
        </w:numPr>
      </w:pP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03E057C3" w:rsidR="00837137" w:rsidRPr="00D63BF0" w:rsidRDefault="00650C24" w:rsidP="00D63BF0">
      <w:pPr>
        <w:pStyle w:val="BodyText"/>
        <w:rPr>
          <w:rFonts w:ascii="Arial" w:eastAsiaTheme="majorEastAsia" w:hAnsi="Arial" w:cs="Arial"/>
          <w:color w:val="1F4E79" w:themeColor="accent1" w:themeShade="80"/>
          <w:sz w:val="24"/>
          <w:szCs w:val="24"/>
        </w:rPr>
      </w:pPr>
      <w:bookmarkStart w:id="0" w:name="_Hlk529190617"/>
      <w:r w:rsidRPr="00C36D05">
        <w:rPr>
          <w:rStyle w:val="Heading2Char"/>
        </w:rPr>
        <w:t>Priority 1:</w:t>
      </w:r>
      <w:bookmarkStart w:id="1" w:name="_Hlk527644593"/>
      <w:r>
        <w:rPr>
          <w:rStyle w:val="Heading2Char"/>
        </w:rPr>
        <w:t xml:space="preserve"> </w:t>
      </w:r>
      <w:bookmarkEnd w:id="1"/>
      <w:r>
        <w:rPr>
          <w:rStyle w:val="Heading2Char"/>
          <w:color w:val="1F4E79" w:themeColor="accent1" w:themeShade="80"/>
        </w:rPr>
        <w:t>A</w:t>
      </w:r>
      <w:r w:rsidRPr="0044623B">
        <w:rPr>
          <w:rStyle w:val="Heading2Char"/>
          <w:color w:val="1F4E79" w:themeColor="accent1" w:themeShade="80"/>
        </w:rPr>
        <w:t xml:space="preserve">ll students learn at a high level </w:t>
      </w:r>
      <w:r>
        <w:rPr>
          <w:rStyle w:val="Heading2Char"/>
          <w:color w:val="1F4E79" w:themeColor="accent1" w:themeShade="80"/>
        </w:rPr>
        <w:t>with</w:t>
      </w:r>
      <w:r w:rsidRPr="0044623B">
        <w:rPr>
          <w:rStyle w:val="Heading2Char"/>
          <w:color w:val="1F4E79" w:themeColor="accent1" w:themeShade="80"/>
        </w:rPr>
        <w:t>in a safe and supportive learning culture.</w:t>
      </w:r>
      <w:r w:rsidRPr="009A1B2B">
        <w:rPr>
          <w:rStyle w:val="Heading2Char"/>
        </w:rPr>
        <w:t xml:space="preserve"> </w:t>
      </w:r>
      <w:r>
        <w:rPr>
          <w:rStyle w:val="Heading2Char"/>
        </w:rPr>
        <w:t>The school equips students with the capabilities and dispositions to live and learn in the future world.</w:t>
      </w:r>
      <w:r w:rsidRPr="00037776">
        <w:rPr>
          <w:i/>
        </w:rPr>
        <w:tab/>
      </w:r>
      <w:bookmarkEnd w:id="0"/>
    </w:p>
    <w:p w14:paraId="255A28BA" w14:textId="0435E9FA" w:rsidR="004D5E45" w:rsidRPr="00752084" w:rsidRDefault="00647436" w:rsidP="00752084">
      <w:pPr>
        <w:pStyle w:val="Heading3"/>
      </w:pPr>
      <w:r>
        <w:t>Key Targets:</w:t>
      </w:r>
    </w:p>
    <w:p w14:paraId="44DFCF9F" w14:textId="37617266" w:rsidR="00D63BF0" w:rsidRDefault="00D63BF0" w:rsidP="00D63BF0">
      <w:pPr>
        <w:pStyle w:val="NumberedList"/>
        <w:numPr>
          <w:ilvl w:val="0"/>
          <w:numId w:val="0"/>
        </w:numPr>
        <w:ind w:left="357" w:hanging="357"/>
      </w:pPr>
      <w:r w:rsidRPr="00CB65DE">
        <w:rPr>
          <w:b/>
          <w:bCs/>
        </w:rPr>
        <w:t>Strategy 1</w:t>
      </w:r>
      <w:r>
        <w:t xml:space="preserve">: </w:t>
      </w:r>
      <w:r w:rsidR="00B847A7">
        <w:t>Embed a multimodal, universal approach to student wellbeing as outlined in the Wellbeing Framework.</w:t>
      </w:r>
    </w:p>
    <w:p w14:paraId="592CD955" w14:textId="33E5FA1C" w:rsidR="00D63BF0" w:rsidRDefault="00D63BF0" w:rsidP="00D63BF0">
      <w:pPr>
        <w:pStyle w:val="NumberedList"/>
        <w:numPr>
          <w:ilvl w:val="0"/>
          <w:numId w:val="0"/>
        </w:numPr>
        <w:ind w:left="357" w:hanging="357"/>
      </w:pPr>
      <w:r w:rsidRPr="00CB65DE">
        <w:rPr>
          <w:b/>
          <w:bCs/>
        </w:rPr>
        <w:t>Strategy 2</w:t>
      </w:r>
      <w:r>
        <w:t xml:space="preserve">: </w:t>
      </w:r>
      <w:r w:rsidR="00B847A7">
        <w:rPr>
          <w:rFonts w:cstheme="minorHAnsi"/>
          <w:color w:val="000000" w:themeColor="text1"/>
        </w:rPr>
        <w:t>Implement</w:t>
      </w:r>
      <w:r w:rsidR="00B847A7" w:rsidRPr="00853987">
        <w:rPr>
          <w:rFonts w:cstheme="minorHAnsi"/>
        </w:rPr>
        <w:t xml:space="preserve"> </w:t>
      </w:r>
      <w:r w:rsidR="00B847A7">
        <w:rPr>
          <w:rFonts w:cstheme="minorHAnsi"/>
        </w:rPr>
        <w:t>whole school approach to</w:t>
      </w:r>
      <w:r w:rsidR="00B847A7" w:rsidRPr="00853987">
        <w:rPr>
          <w:rFonts w:cstheme="minorHAnsi"/>
        </w:rPr>
        <w:t xml:space="preserve"> curriculum </w:t>
      </w:r>
      <w:r w:rsidR="00B847A7">
        <w:rPr>
          <w:rFonts w:cstheme="minorHAnsi"/>
        </w:rPr>
        <w:t xml:space="preserve">planning and delivery </w:t>
      </w:r>
      <w:r w:rsidR="00B847A7" w:rsidRPr="00853987">
        <w:rPr>
          <w:rFonts w:cstheme="minorHAnsi"/>
        </w:rPr>
        <w:t>which reflects high expectations based on relevant</w:t>
      </w:r>
      <w:r w:rsidR="00B847A7">
        <w:rPr>
          <w:rFonts w:cstheme="minorHAnsi"/>
        </w:rPr>
        <w:t>,</w:t>
      </w:r>
      <w:r w:rsidR="00B847A7" w:rsidRPr="00853987">
        <w:rPr>
          <w:rFonts w:cstheme="minorHAnsi"/>
        </w:rPr>
        <w:t xml:space="preserve"> contemporary skills</w:t>
      </w:r>
      <w:r w:rsidR="00B847A7">
        <w:rPr>
          <w:rFonts w:cstheme="minorHAnsi"/>
        </w:rPr>
        <w:t>.</w:t>
      </w:r>
    </w:p>
    <w:p w14:paraId="237E2070" w14:textId="372A6708" w:rsidR="00205BCE" w:rsidRPr="00CB65DE" w:rsidRDefault="00D63BF0" w:rsidP="00E53F0F">
      <w:pPr>
        <w:pStyle w:val="NumberedList"/>
        <w:numPr>
          <w:ilvl w:val="0"/>
          <w:numId w:val="0"/>
        </w:numPr>
        <w:ind w:left="357" w:hanging="357"/>
        <w:rPr>
          <w:b/>
          <w:bCs/>
        </w:rPr>
      </w:pPr>
      <w:r w:rsidRPr="00CB65DE">
        <w:rPr>
          <w:b/>
          <w:bCs/>
        </w:rPr>
        <w:t>Strategy 3</w:t>
      </w:r>
      <w:r>
        <w:t xml:space="preserve">: </w:t>
      </w:r>
      <w:r w:rsidR="00B847A7">
        <w:t>Deepen capacity of staff to incorporate Aboriginal and Torres Strait Islander perspectives across the curriculum using the 8 Ways of Learning Framework.</w:t>
      </w:r>
    </w:p>
    <w:p w14:paraId="435DA87B" w14:textId="1CAB95AA" w:rsidR="00CB65DE" w:rsidRPr="00CB65DE" w:rsidRDefault="00CB65DE" w:rsidP="00A1059D">
      <w:pPr>
        <w:pStyle w:val="Heading3"/>
      </w:pPr>
      <w:r>
        <w:t xml:space="preserve">Supporting </w:t>
      </w:r>
      <w:r w:rsidRPr="00CB65DE">
        <w:t>Evidence Sets:</w:t>
      </w:r>
    </w:p>
    <w:p w14:paraId="700A0566" w14:textId="0B33692A" w:rsidR="009948E7" w:rsidRDefault="009948E7" w:rsidP="002F13D5">
      <w:pPr>
        <w:pStyle w:val="NoSpacing"/>
        <w:numPr>
          <w:ilvl w:val="0"/>
          <w:numId w:val="29"/>
        </w:numPr>
      </w:pPr>
      <w:r>
        <w:t>PBL</w:t>
      </w:r>
    </w:p>
    <w:p w14:paraId="7BED1336" w14:textId="3E482040" w:rsidR="00CB65DE" w:rsidRDefault="00CB65DE" w:rsidP="002F13D5">
      <w:pPr>
        <w:pStyle w:val="NoSpacing"/>
        <w:numPr>
          <w:ilvl w:val="0"/>
          <w:numId w:val="29"/>
        </w:numPr>
      </w:pPr>
      <w:r>
        <w:t>Satisfaction Survey</w:t>
      </w:r>
    </w:p>
    <w:p w14:paraId="23FC52EF" w14:textId="15F2F0D9" w:rsidR="00752084" w:rsidRDefault="00EF62D5" w:rsidP="002F13D5">
      <w:pPr>
        <w:pStyle w:val="NoSpacing"/>
        <w:numPr>
          <w:ilvl w:val="0"/>
          <w:numId w:val="29"/>
        </w:numPr>
      </w:pPr>
      <w:r>
        <w:t>Major Incident/Suspension Data</w:t>
      </w:r>
      <w:r w:rsidR="00CB65DE">
        <w:t xml:space="preserve"> </w:t>
      </w:r>
    </w:p>
    <w:p w14:paraId="139DE5A0" w14:textId="5059E6E9" w:rsidR="003C69DC" w:rsidRPr="00752084" w:rsidRDefault="00997CD0" w:rsidP="00752084">
      <w:pPr>
        <w:pStyle w:val="Heading2"/>
        <w:rPr>
          <w:rFonts w:cstheme="minorHAnsi"/>
        </w:rPr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948E7">
        <w:trPr>
          <w:trHeight w:val="401"/>
        </w:trPr>
        <w:tc>
          <w:tcPr>
            <w:tcW w:w="9027" w:type="dxa"/>
            <w:shd w:val="clear" w:color="auto" w:fill="FFFFFF" w:themeFill="background1"/>
          </w:tcPr>
          <w:tbl>
            <w:tblPr>
              <w:tblStyle w:val="GridTable1Light-Accent1"/>
              <w:tblpPr w:leftFromText="180" w:rightFromText="180" w:horzAnchor="margin" w:tblpXSpec="center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1776"/>
              <w:gridCol w:w="1904"/>
              <w:gridCol w:w="1708"/>
            </w:tblGrid>
            <w:tr w:rsidR="009948E7" w14:paraId="21ABD838" w14:textId="77777777" w:rsidTr="009948E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9" w:type="dxa"/>
                </w:tcPr>
                <w:p w14:paraId="54D0C070" w14:textId="77777777" w:rsidR="009948E7" w:rsidRDefault="009948E7" w:rsidP="009948E7"/>
              </w:tc>
              <w:tc>
                <w:tcPr>
                  <w:tcW w:w="1776" w:type="dxa"/>
                  <w:hideMark/>
                </w:tcPr>
                <w:p w14:paraId="53944450" w14:textId="062ECE02" w:rsidR="009948E7" w:rsidRPr="009948E7" w:rsidRDefault="009948E7" w:rsidP="009948E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009948E7">
                    <w:rPr>
                      <w:b w:val="0"/>
                      <w:bCs w:val="0"/>
                    </w:rPr>
                    <w:t>Total Negative</w:t>
                  </w:r>
                  <w:r>
                    <w:rPr>
                      <w:b w:val="0"/>
                      <w:bCs w:val="0"/>
                    </w:rPr>
                    <w:t xml:space="preserve"> Incidents</w:t>
                  </w:r>
                </w:p>
              </w:tc>
              <w:tc>
                <w:tcPr>
                  <w:tcW w:w="1904" w:type="dxa"/>
                  <w:hideMark/>
                </w:tcPr>
                <w:p w14:paraId="7A0D9AC8" w14:textId="77777777" w:rsidR="009948E7" w:rsidRPr="009948E7" w:rsidRDefault="009948E7" w:rsidP="009948E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009948E7">
                    <w:rPr>
                      <w:b w:val="0"/>
                      <w:bCs w:val="0"/>
                    </w:rPr>
                    <w:t>Suspensions</w:t>
                  </w:r>
                </w:p>
              </w:tc>
              <w:tc>
                <w:tcPr>
                  <w:tcW w:w="1708" w:type="dxa"/>
                  <w:hideMark/>
                </w:tcPr>
                <w:p w14:paraId="76F7F62B" w14:textId="090B435C" w:rsidR="009948E7" w:rsidRPr="009948E7" w:rsidRDefault="009948E7" w:rsidP="009948E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 w:rsidRPr="009948E7">
                    <w:rPr>
                      <w:b w:val="0"/>
                      <w:bCs w:val="0"/>
                    </w:rPr>
                    <w:t>PBL Tokens</w:t>
                  </w:r>
                </w:p>
              </w:tc>
            </w:tr>
            <w:tr w:rsidR="009948E7" w14:paraId="4C8F180E" w14:textId="77777777" w:rsidTr="009948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9" w:type="dxa"/>
                  <w:hideMark/>
                </w:tcPr>
                <w:p w14:paraId="589294EA" w14:textId="77777777" w:rsidR="009948E7" w:rsidRDefault="009948E7" w:rsidP="009948E7">
                  <w:r>
                    <w:t>2020</w:t>
                  </w:r>
                </w:p>
              </w:tc>
              <w:tc>
                <w:tcPr>
                  <w:tcW w:w="1776" w:type="dxa"/>
                  <w:hideMark/>
                </w:tcPr>
                <w:p w14:paraId="4777A352" w14:textId="77777777" w:rsidR="009948E7" w:rsidRDefault="009948E7" w:rsidP="009948E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1336</w:t>
                  </w:r>
                </w:p>
              </w:tc>
              <w:tc>
                <w:tcPr>
                  <w:tcW w:w="1904" w:type="dxa"/>
                  <w:hideMark/>
                </w:tcPr>
                <w:p w14:paraId="53C1687D" w14:textId="77777777" w:rsidR="009948E7" w:rsidRDefault="009948E7" w:rsidP="009948E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15</w:t>
                  </w:r>
                </w:p>
              </w:tc>
              <w:tc>
                <w:tcPr>
                  <w:tcW w:w="1708" w:type="dxa"/>
                  <w:hideMark/>
                </w:tcPr>
                <w:p w14:paraId="3DD26C3C" w14:textId="77777777" w:rsidR="009948E7" w:rsidRDefault="009948E7" w:rsidP="009948E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52 095</w:t>
                  </w:r>
                </w:p>
              </w:tc>
            </w:tr>
            <w:tr w:rsidR="009948E7" w14:paraId="5B37AC46" w14:textId="77777777" w:rsidTr="009948E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9" w:type="dxa"/>
                  <w:hideMark/>
                </w:tcPr>
                <w:p w14:paraId="289ABE42" w14:textId="77777777" w:rsidR="009948E7" w:rsidRDefault="009948E7" w:rsidP="009948E7">
                  <w:r>
                    <w:t>2021</w:t>
                  </w:r>
                </w:p>
              </w:tc>
              <w:tc>
                <w:tcPr>
                  <w:tcW w:w="1776" w:type="dxa"/>
                  <w:hideMark/>
                </w:tcPr>
                <w:p w14:paraId="323F71C0" w14:textId="77777777" w:rsidR="009948E7" w:rsidRDefault="009948E7" w:rsidP="009948E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1206</w:t>
                  </w:r>
                </w:p>
              </w:tc>
              <w:tc>
                <w:tcPr>
                  <w:tcW w:w="1904" w:type="dxa"/>
                  <w:hideMark/>
                </w:tcPr>
                <w:p w14:paraId="46FB8E8B" w14:textId="77777777" w:rsidR="009948E7" w:rsidRDefault="009948E7" w:rsidP="009948E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</w:t>
                  </w:r>
                </w:p>
              </w:tc>
              <w:tc>
                <w:tcPr>
                  <w:tcW w:w="1708" w:type="dxa"/>
                  <w:hideMark/>
                </w:tcPr>
                <w:p w14:paraId="3B984263" w14:textId="785B45F8" w:rsidR="009948E7" w:rsidRDefault="009948E7" w:rsidP="009948E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71 9</w:t>
                  </w:r>
                  <w:r w:rsidR="009973CB">
                    <w:t>0</w:t>
                  </w:r>
                  <w:r>
                    <w:t>3</w:t>
                  </w:r>
                </w:p>
              </w:tc>
            </w:tr>
          </w:tbl>
          <w:p w14:paraId="4993AC0F" w14:textId="77777777" w:rsidR="009948E7" w:rsidRDefault="009948E7" w:rsidP="009948E7">
            <w:pPr>
              <w:pStyle w:val="BodyText"/>
              <w:rPr>
                <w:b/>
                <w:bCs/>
              </w:rPr>
            </w:pPr>
          </w:p>
          <w:p w14:paraId="4BE077E0" w14:textId="1468B752" w:rsidR="001A217C" w:rsidRPr="009948E7" w:rsidRDefault="009A5F16" w:rsidP="009948E7">
            <w:pPr>
              <w:pStyle w:val="BodyText"/>
              <w:numPr>
                <w:ilvl w:val="0"/>
                <w:numId w:val="27"/>
              </w:numPr>
              <w:rPr>
                <w:b/>
                <w:bCs/>
              </w:rPr>
            </w:pPr>
            <w:r w:rsidRPr="009A5F16">
              <w:rPr>
                <w:b/>
                <w:bCs/>
              </w:rPr>
              <w:t>202</w:t>
            </w:r>
            <w:r w:rsidR="009948E7">
              <w:rPr>
                <w:b/>
                <w:bCs/>
              </w:rPr>
              <w:t>1</w:t>
            </w:r>
            <w:r w:rsidRPr="009A5F16">
              <w:rPr>
                <w:b/>
                <w:bCs/>
              </w:rPr>
              <w:t xml:space="preserve"> Positive Behaviours for Learning (PBL) </w:t>
            </w:r>
          </w:p>
          <w:p w14:paraId="079209E2" w14:textId="558D5BC1" w:rsidR="00513913" w:rsidRDefault="00513913" w:rsidP="00513913">
            <w:pPr>
              <w:pStyle w:val="BodyText"/>
              <w:spacing w:after="0"/>
              <w:ind w:left="720"/>
            </w:pPr>
            <w:r>
              <w:t>71,903 positive acknowledgements were given to students in 2021. An increase from 52, 095 in 2020.</w:t>
            </w:r>
            <w:r w:rsidR="00B40B99">
              <w:t xml:space="preserve"> This is a 38% increase in acknowledging positive behaviours</w:t>
            </w:r>
            <w:r w:rsidR="005648D7">
              <w:t xml:space="preserve"> for students</w:t>
            </w:r>
            <w:r w:rsidR="00B40B99">
              <w:t>.</w:t>
            </w:r>
          </w:p>
          <w:p w14:paraId="53C6ACD3" w14:textId="77777777" w:rsidR="00513913" w:rsidRDefault="00513913" w:rsidP="00513913">
            <w:pPr>
              <w:pStyle w:val="BodyText"/>
              <w:spacing w:after="0"/>
              <w:ind w:left="720"/>
            </w:pPr>
          </w:p>
          <w:p w14:paraId="3CB86E04" w14:textId="59538005" w:rsidR="009A5F16" w:rsidRPr="009A5F16" w:rsidRDefault="00EF62D5" w:rsidP="00513913">
            <w:pPr>
              <w:pStyle w:val="NumberedList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Student </w:t>
            </w:r>
            <w:r w:rsidR="009A5F16" w:rsidRPr="009A5F16">
              <w:rPr>
                <w:rFonts w:cstheme="minorHAnsi"/>
                <w:b/>
                <w:bCs/>
              </w:rPr>
              <w:t>Satisfaction Survey</w:t>
            </w:r>
            <w:r w:rsidR="00CA13D7">
              <w:rPr>
                <w:rFonts w:cstheme="minorHAnsi"/>
                <w:b/>
                <w:bCs/>
              </w:rPr>
              <w:t xml:space="preserve"> Years 4-6</w:t>
            </w:r>
          </w:p>
          <w:p w14:paraId="235981F0" w14:textId="310C985A" w:rsidR="009A5F16" w:rsidRDefault="00E22F0C" w:rsidP="009A5F1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89% of students agree teachers want every student to do their best. 75% of students believe </w:t>
            </w:r>
            <w:r w:rsidR="00CA13D7">
              <w:rPr>
                <w:rFonts w:cstheme="minorHAnsi"/>
              </w:rPr>
              <w:t xml:space="preserve">that every student can be a success. 72% of students believe they are getting a good education at this school. </w:t>
            </w:r>
          </w:p>
          <w:p w14:paraId="5CC8EDD9" w14:textId="77777777" w:rsidR="009A5F16" w:rsidRDefault="009A5F16" w:rsidP="009A5F16">
            <w:pPr>
              <w:pStyle w:val="NumberedList"/>
              <w:numPr>
                <w:ilvl w:val="0"/>
                <w:numId w:val="0"/>
              </w:numPr>
              <w:ind w:left="720"/>
              <w:rPr>
                <w:rFonts w:cstheme="minorHAnsi"/>
              </w:rPr>
            </w:pPr>
          </w:p>
          <w:p w14:paraId="52F66609" w14:textId="1FF30F23" w:rsidR="00E43061" w:rsidRPr="00E43061" w:rsidRDefault="00E43061" w:rsidP="00513913">
            <w:pPr>
              <w:pStyle w:val="NumberedList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 w:rsidRPr="00E43061">
              <w:rPr>
                <w:rFonts w:cstheme="minorHAnsi"/>
                <w:b/>
                <w:bCs/>
              </w:rPr>
              <w:t>Suspension Data</w:t>
            </w:r>
          </w:p>
          <w:p w14:paraId="2DFB70DA" w14:textId="104D859B" w:rsidR="00E43061" w:rsidRPr="00EF62D5" w:rsidRDefault="00EF62D5" w:rsidP="009948E7">
            <w:pPr>
              <w:pStyle w:val="NumberedList"/>
              <w:numPr>
                <w:ilvl w:val="0"/>
                <w:numId w:val="0"/>
              </w:numPr>
              <w:ind w:left="720"/>
              <w:rPr>
                <w:rFonts w:cstheme="minorHAnsi"/>
              </w:rPr>
            </w:pPr>
            <w:r w:rsidRPr="00EF62D5">
              <w:rPr>
                <w:rFonts w:cstheme="minorHAnsi"/>
              </w:rPr>
              <w:t>The school has continued to decrease the frequency of major incidents and suspensions. In</w:t>
            </w:r>
            <w:r>
              <w:rPr>
                <w:rFonts w:cstheme="minorHAnsi"/>
              </w:rPr>
              <w:t xml:space="preserve"> </w:t>
            </w:r>
            <w:r w:rsidRPr="00EF62D5">
              <w:rPr>
                <w:rFonts w:cstheme="minorHAnsi"/>
              </w:rPr>
              <w:t>2019 there were 37 suspensions, decreasing to 15 in 2020 and 6 in 2021.</w:t>
            </w:r>
            <w:r>
              <w:rPr>
                <w:rFonts w:cstheme="minorHAnsi"/>
              </w:rPr>
              <w:t xml:space="preserve"> This reflects observation of the school environment in which more students are actively engaged in learning and Tier 2 and 3 supports are effective for students with additional needs. </w:t>
            </w:r>
          </w:p>
        </w:tc>
      </w:tr>
    </w:tbl>
    <w:p w14:paraId="2C475ECA" w14:textId="5C8DECC4" w:rsidR="005611F4" w:rsidRPr="005611F4" w:rsidRDefault="00937D6F" w:rsidP="008607DB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17504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331598DD" w14:textId="6033F0A7" w:rsidR="0013611F" w:rsidRPr="00B40B99" w:rsidRDefault="001467B4" w:rsidP="00B40B99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513913">
              <w:rPr>
                <w:b/>
                <w:bCs/>
              </w:rPr>
              <w:t xml:space="preserve">Strategy 1: </w:t>
            </w:r>
            <w:r w:rsidR="00D72B48" w:rsidRPr="00513913">
              <w:rPr>
                <w:b/>
                <w:bCs/>
              </w:rPr>
              <w:t>Embed a multimodal, universal approach to student wellbeing as outlined in the Wellbeing Framework.</w:t>
            </w:r>
          </w:p>
          <w:p w14:paraId="237074C7" w14:textId="6526E01E" w:rsidR="00B40B99" w:rsidRDefault="00B40B99" w:rsidP="00BF7E09">
            <w:pPr>
              <w:pStyle w:val="BodyText"/>
              <w:numPr>
                <w:ilvl w:val="0"/>
                <w:numId w:val="9"/>
              </w:numPr>
              <w:spacing w:after="0"/>
            </w:pPr>
            <w:r>
              <w:t>The data reflects an increased take up of positive acknowledge systems. A 38% increase in recognising students has seen more students reach the highest level of the PBL</w:t>
            </w:r>
            <w:r w:rsidR="007C3420">
              <w:t xml:space="preserve"> ackno</w:t>
            </w:r>
            <w:r w:rsidR="004875BA">
              <w:t>wl</w:t>
            </w:r>
            <w:r w:rsidR="007C3420">
              <w:t>edgment</w:t>
            </w:r>
            <w:r>
              <w:t xml:space="preserve"> tiers. </w:t>
            </w:r>
          </w:p>
          <w:p w14:paraId="68293C59" w14:textId="35E994E0" w:rsidR="00752084" w:rsidRDefault="00752084" w:rsidP="00BF7E09">
            <w:pPr>
              <w:pStyle w:val="BodyText"/>
              <w:numPr>
                <w:ilvl w:val="0"/>
                <w:numId w:val="9"/>
              </w:numPr>
              <w:spacing w:after="0"/>
            </w:pPr>
            <w:r>
              <w:lastRenderedPageBreak/>
              <w:t xml:space="preserve">The school created a </w:t>
            </w:r>
            <w:r w:rsidR="00513913">
              <w:t>third</w:t>
            </w:r>
            <w:r>
              <w:t xml:space="preserve"> Learning Support Unit and uses this resourcing flexibly to meet the needs of a range of students who wouldn’t otherwise have access to a small group program. This has been highly successful in reducing major incidents, reengaging students with learning and creating a safe learning environment for all.</w:t>
            </w:r>
          </w:p>
          <w:p w14:paraId="5D0137C1" w14:textId="4FC63AE3" w:rsidR="00B40B99" w:rsidRDefault="00B40B99" w:rsidP="00BF7E09">
            <w:pPr>
              <w:pStyle w:val="BodyText"/>
              <w:numPr>
                <w:ilvl w:val="0"/>
                <w:numId w:val="9"/>
              </w:numPr>
              <w:spacing w:after="0"/>
            </w:pPr>
            <w:r>
              <w:t xml:space="preserve">Collective efficacy of the team </w:t>
            </w:r>
            <w:r w:rsidR="007C3420">
              <w:t>delivering the Disability Education program has been prioritised reflecting improved processes and individualised planning</w:t>
            </w:r>
          </w:p>
          <w:p w14:paraId="740AA2D0" w14:textId="77777777" w:rsidR="00D72B48" w:rsidRDefault="00D72B48" w:rsidP="00D72B48">
            <w:pPr>
              <w:pStyle w:val="BodyText"/>
              <w:spacing w:after="0"/>
              <w:ind w:left="720"/>
            </w:pPr>
          </w:p>
          <w:p w14:paraId="20242FC2" w14:textId="20FD59FA" w:rsidR="009A7DB7" w:rsidRPr="00D72B48" w:rsidRDefault="00D72B48" w:rsidP="00D72B48">
            <w:pPr>
              <w:pStyle w:val="PlainText"/>
              <w:rPr>
                <w:b/>
                <w:bCs/>
              </w:rPr>
            </w:pPr>
            <w:r w:rsidRPr="00D72B48">
              <w:rPr>
                <w:b/>
                <w:bCs/>
              </w:rPr>
              <w:t xml:space="preserve">Strategy 2: </w:t>
            </w:r>
            <w:r w:rsidRPr="00D72B48">
              <w:rPr>
                <w:rFonts w:cstheme="minorHAnsi"/>
                <w:b/>
                <w:bCs/>
                <w:color w:val="000000" w:themeColor="text1"/>
              </w:rPr>
              <w:t>Implement</w:t>
            </w:r>
            <w:r w:rsidRPr="00D72B48">
              <w:rPr>
                <w:rFonts w:cstheme="minorHAnsi"/>
                <w:b/>
                <w:bCs/>
              </w:rPr>
              <w:t xml:space="preserve"> whole school approach to curriculum planning and delivery which reflects high expectations based on relevant, contemporary skills</w:t>
            </w:r>
          </w:p>
          <w:p w14:paraId="58E2C32D" w14:textId="7E53BE77" w:rsidR="00E708BD" w:rsidRPr="00E708BD" w:rsidRDefault="00E708BD" w:rsidP="006D0873">
            <w:pPr>
              <w:pStyle w:val="PlainText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A Curriculum Framework was developed reflecting current levels of practice</w:t>
            </w:r>
          </w:p>
          <w:p w14:paraId="17290C32" w14:textId="3ADA0446" w:rsidR="00D72B48" w:rsidRPr="00D72B48" w:rsidRDefault="00D72B48" w:rsidP="006D0873">
            <w:pPr>
              <w:pStyle w:val="PlainText"/>
              <w:numPr>
                <w:ilvl w:val="0"/>
                <w:numId w:val="12"/>
              </w:numPr>
              <w:rPr>
                <w:bCs/>
              </w:rPr>
            </w:pPr>
            <w:r>
              <w:rPr>
                <w:rFonts w:cstheme="minorHAnsi"/>
              </w:rPr>
              <w:t>The school has developed consistent curriculum planners for learning units.</w:t>
            </w:r>
          </w:p>
          <w:p w14:paraId="4C918AD8" w14:textId="265A3390" w:rsidR="00D72B48" w:rsidRPr="00D72B48" w:rsidRDefault="00D72B48" w:rsidP="006D0873">
            <w:pPr>
              <w:pStyle w:val="PlainText"/>
              <w:numPr>
                <w:ilvl w:val="0"/>
                <w:numId w:val="12"/>
              </w:numPr>
              <w:rPr>
                <w:bCs/>
              </w:rPr>
            </w:pPr>
            <w:r>
              <w:rPr>
                <w:rFonts w:cstheme="minorHAnsi"/>
              </w:rPr>
              <w:t>A process for prioritising curriculum has been implemented with this information reflected in a whole school curriculum tracker.</w:t>
            </w:r>
          </w:p>
          <w:p w14:paraId="6D78F12E" w14:textId="2A105636" w:rsidR="00D72B48" w:rsidRPr="00D72B48" w:rsidRDefault="00D72B48" w:rsidP="00D72B48">
            <w:pPr>
              <w:pStyle w:val="ListBullet"/>
              <w:numPr>
                <w:ilvl w:val="0"/>
                <w:numId w:val="12"/>
              </w:numPr>
            </w:pPr>
            <w:r>
              <w:rPr>
                <w:rFonts w:cstheme="minorHAnsi"/>
              </w:rPr>
              <w:t>Most unit planners P-6 incorporate the 8 Ways of Learning model.</w:t>
            </w:r>
          </w:p>
          <w:p w14:paraId="6A25EAEF" w14:textId="1212A1C8" w:rsidR="009A7DB7" w:rsidRDefault="009A7DB7" w:rsidP="006D0873">
            <w:pPr>
              <w:pStyle w:val="PlainText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Unit planner checklist </w:t>
            </w:r>
            <w:r w:rsidR="00B40B99">
              <w:rPr>
                <w:bCs/>
              </w:rPr>
              <w:t>utilised</w:t>
            </w:r>
            <w:r>
              <w:rPr>
                <w:bCs/>
              </w:rPr>
              <w:t xml:space="preserve"> to enhance consistency across the school</w:t>
            </w:r>
            <w:r w:rsidR="00513913">
              <w:rPr>
                <w:bCs/>
              </w:rPr>
              <w:t>.</w:t>
            </w:r>
          </w:p>
          <w:p w14:paraId="6489D27E" w14:textId="77777777" w:rsidR="001467B4" w:rsidRDefault="001467B4" w:rsidP="001467B4">
            <w:pPr>
              <w:pStyle w:val="PlainText"/>
              <w:ind w:left="1"/>
              <w:rPr>
                <w:b/>
              </w:rPr>
            </w:pPr>
          </w:p>
          <w:p w14:paraId="0A0645B4" w14:textId="23ED3C08" w:rsidR="001467B4" w:rsidRDefault="001467B4" w:rsidP="001467B4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1467B4">
              <w:rPr>
                <w:b/>
                <w:bCs/>
              </w:rPr>
              <w:t>Strategy 3: De</w:t>
            </w:r>
            <w:r w:rsidR="00D72B48">
              <w:rPr>
                <w:b/>
                <w:bCs/>
              </w:rPr>
              <w:t>epen</w:t>
            </w:r>
            <w:r w:rsidRPr="001467B4">
              <w:rPr>
                <w:b/>
                <w:bCs/>
              </w:rPr>
              <w:t xml:space="preserve"> capacity of staff to deepen Aboriginal and Torres Strait Islander perspectives across the curriculum</w:t>
            </w:r>
          </w:p>
          <w:p w14:paraId="5505B5F4" w14:textId="77777777" w:rsidR="001467B4" w:rsidRPr="001467B4" w:rsidRDefault="001467B4" w:rsidP="001467B4">
            <w:pPr>
              <w:pStyle w:val="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</w:p>
          <w:p w14:paraId="7E0A650F" w14:textId="3004757B" w:rsidR="001467B4" w:rsidRDefault="001467B4" w:rsidP="001467B4">
            <w:pPr>
              <w:pStyle w:val="PlainText"/>
              <w:numPr>
                <w:ilvl w:val="0"/>
                <w:numId w:val="4"/>
              </w:numPr>
            </w:pPr>
            <w:r>
              <w:t xml:space="preserve">Whole staff professional learning with </w:t>
            </w:r>
            <w:r w:rsidR="00513913">
              <w:t xml:space="preserve">Sally Lawrence in January </w:t>
            </w:r>
            <w:r w:rsidR="009948E7">
              <w:t>focused</w:t>
            </w:r>
            <w:r w:rsidR="00513913">
              <w:t xml:space="preserve"> on 8 Ways</w:t>
            </w:r>
          </w:p>
          <w:p w14:paraId="3087AB35" w14:textId="77777777" w:rsidR="001467B4" w:rsidRDefault="001467B4" w:rsidP="001467B4">
            <w:pPr>
              <w:pStyle w:val="PlainText"/>
              <w:numPr>
                <w:ilvl w:val="0"/>
                <w:numId w:val="4"/>
              </w:numPr>
            </w:pPr>
            <w:r>
              <w:t>Staff Performance Development Plans include goals linked to teaching with integrity</w:t>
            </w:r>
          </w:p>
          <w:p w14:paraId="5ED96B6F" w14:textId="77777777" w:rsidR="00513913" w:rsidRDefault="001467B4" w:rsidP="00513913">
            <w:pPr>
              <w:pStyle w:val="PlainText"/>
              <w:numPr>
                <w:ilvl w:val="0"/>
                <w:numId w:val="4"/>
              </w:numPr>
            </w:pPr>
            <w:r>
              <w:t>Feedback to teams on learning units with a focus on embedding perspectives</w:t>
            </w:r>
          </w:p>
          <w:p w14:paraId="48C5D032" w14:textId="5C18CB9D" w:rsidR="00253A83" w:rsidRPr="009A7DB7" w:rsidRDefault="00513913" w:rsidP="009948E7">
            <w:pPr>
              <w:pStyle w:val="PlainText"/>
              <w:numPr>
                <w:ilvl w:val="0"/>
                <w:numId w:val="4"/>
              </w:numPr>
            </w:pPr>
            <w:r>
              <w:t>Personalised NPS 8 ways symbols to include in curriculum documentation and communication with families</w:t>
            </w:r>
            <w:r w:rsidR="00253A83" w:rsidRPr="009A7DB7">
              <w:t xml:space="preserve">   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4A075FF9" w:rsidR="005611F4" w:rsidRPr="005611F4" w:rsidRDefault="00937D6F" w:rsidP="00E83727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175049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275B47BE" w14:textId="4B901B1A" w:rsidR="00ED64FB" w:rsidRPr="00494E8D" w:rsidRDefault="00D72B48" w:rsidP="0013611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Wellbeing Framework: Universal Programs</w:t>
            </w:r>
          </w:p>
          <w:p w14:paraId="7CB4E349" w14:textId="3227A4CA" w:rsidR="00F55D6A" w:rsidRDefault="00F55D6A" w:rsidP="006D0873">
            <w:pPr>
              <w:pStyle w:val="PlainText"/>
              <w:numPr>
                <w:ilvl w:val="0"/>
                <w:numId w:val="5"/>
              </w:numPr>
            </w:pPr>
            <w:r>
              <w:t>In 2021,</w:t>
            </w:r>
            <w:r w:rsidR="00B40B99">
              <w:t xml:space="preserve"> the sequence of delivery for the 4 universal programs was disrupted. </w:t>
            </w:r>
            <w:r>
              <w:t>This includes Bounce Back, Protective Behaviours, Zones of Regulation and PBL</w:t>
            </w:r>
            <w:r w:rsidR="00B40B99">
              <w:t xml:space="preserve">. Some modules will be prioritised in 2022.  </w:t>
            </w:r>
          </w:p>
          <w:p w14:paraId="1008DBA9" w14:textId="77777777" w:rsidR="007D227E" w:rsidRPr="00DE33E2" w:rsidRDefault="007D227E" w:rsidP="007D227E">
            <w:pPr>
              <w:pStyle w:val="PlainText"/>
              <w:ind w:left="720"/>
            </w:pPr>
          </w:p>
          <w:p w14:paraId="44180814" w14:textId="3796A8EA" w:rsidR="00ED64FB" w:rsidRPr="00494E8D" w:rsidRDefault="00ED64FB" w:rsidP="00ED64FB">
            <w:pPr>
              <w:pStyle w:val="PlainText"/>
              <w:ind w:left="1"/>
              <w:rPr>
                <w:b/>
              </w:rPr>
            </w:pPr>
            <w:r w:rsidRPr="00494E8D">
              <w:rPr>
                <w:b/>
              </w:rPr>
              <w:t>Cultural Integrity</w:t>
            </w:r>
          </w:p>
          <w:p w14:paraId="6173A961" w14:textId="2273EB5C" w:rsidR="00E62D0F" w:rsidRDefault="00E62D0F" w:rsidP="006D0873">
            <w:pPr>
              <w:pStyle w:val="ListBullet"/>
              <w:numPr>
                <w:ilvl w:val="0"/>
                <w:numId w:val="5"/>
              </w:numPr>
            </w:pPr>
            <w:r>
              <w:t xml:space="preserve">Reconnect with community </w:t>
            </w:r>
            <w:r w:rsidR="00E83727">
              <w:t>after COVID19</w:t>
            </w:r>
          </w:p>
          <w:p w14:paraId="055007D6" w14:textId="0769E51F" w:rsidR="00E62D0F" w:rsidRDefault="00E62D0F" w:rsidP="006D0873">
            <w:pPr>
              <w:pStyle w:val="ListBullet"/>
              <w:numPr>
                <w:ilvl w:val="0"/>
                <w:numId w:val="5"/>
              </w:numPr>
            </w:pPr>
            <w:r>
              <w:t xml:space="preserve">Koori Preschool Program – </w:t>
            </w:r>
            <w:r w:rsidR="009948E7">
              <w:t>ACT</w:t>
            </w:r>
            <w:r w:rsidR="007C3420">
              <w:t xml:space="preserve"> network and implement framework </w:t>
            </w:r>
            <w:r w:rsidR="009948E7">
              <w:t>recommendations</w:t>
            </w:r>
          </w:p>
          <w:p w14:paraId="048782B3" w14:textId="5373F28F" w:rsidR="00F405A4" w:rsidRDefault="00F405A4" w:rsidP="006D0873">
            <w:pPr>
              <w:pStyle w:val="ListBullet"/>
              <w:numPr>
                <w:ilvl w:val="0"/>
                <w:numId w:val="5"/>
              </w:numPr>
            </w:pPr>
            <w:r>
              <w:t>How can I amplify First Nations voices in my sphere of influence? (PDP goals)</w:t>
            </w:r>
          </w:p>
          <w:p w14:paraId="2FAB95E8" w14:textId="64A2AEDC" w:rsidR="009A7DB7" w:rsidRDefault="009A7DB7" w:rsidP="009A7DB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3A27BCF1" w14:textId="77777777" w:rsidR="009A7DB7" w:rsidRDefault="009A7DB7" w:rsidP="009A7DB7">
            <w:pPr>
              <w:pStyle w:val="PlainText"/>
              <w:ind w:left="1"/>
              <w:rPr>
                <w:b/>
              </w:rPr>
            </w:pPr>
            <w:r w:rsidRPr="00494E8D">
              <w:rPr>
                <w:b/>
              </w:rPr>
              <w:t>Curriculum</w:t>
            </w:r>
          </w:p>
          <w:p w14:paraId="5BA6907E" w14:textId="364473CE" w:rsidR="009948E7" w:rsidRPr="009948E7" w:rsidRDefault="009948E7" w:rsidP="006D0873">
            <w:pPr>
              <w:pStyle w:val="ListBullet"/>
              <w:numPr>
                <w:ilvl w:val="0"/>
                <w:numId w:val="13"/>
              </w:numPr>
              <w:rPr>
                <w:bCs/>
              </w:rPr>
            </w:pPr>
            <w:r w:rsidRPr="009948E7">
              <w:rPr>
                <w:bCs/>
              </w:rPr>
              <w:t>Prioritising curriculum in banded subjects</w:t>
            </w:r>
          </w:p>
          <w:p w14:paraId="21E0E2F9" w14:textId="2FB39E35" w:rsidR="00987345" w:rsidRDefault="00987345" w:rsidP="006D0873">
            <w:pPr>
              <w:pStyle w:val="ListBullet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Professional Learning </w:t>
            </w:r>
            <w:r w:rsidR="00752084">
              <w:rPr>
                <w:bCs/>
              </w:rPr>
              <w:t>Teams</w:t>
            </w:r>
            <w:r>
              <w:rPr>
                <w:bCs/>
              </w:rPr>
              <w:t xml:space="preserve"> focus on:</w:t>
            </w:r>
          </w:p>
          <w:p w14:paraId="5AB64A4D" w14:textId="77777777" w:rsidR="00987345" w:rsidRDefault="00987345" w:rsidP="006D0873">
            <w:pPr>
              <w:pStyle w:val="ListBullet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Pre assessment to inform planning</w:t>
            </w:r>
          </w:p>
          <w:p w14:paraId="6864C240" w14:textId="77777777" w:rsidR="00987345" w:rsidRDefault="00987345" w:rsidP="006D0873">
            <w:pPr>
              <w:pStyle w:val="ListBullet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Common formative checks throughout the learning unit</w:t>
            </w:r>
          </w:p>
          <w:p w14:paraId="21501890" w14:textId="72DF908D" w:rsidR="001467B4" w:rsidRPr="002F13D5" w:rsidRDefault="00987345" w:rsidP="002F13D5">
            <w:pPr>
              <w:pStyle w:val="ListBullet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Responsiveness to formative checks</w:t>
            </w:r>
            <w:r w:rsidRPr="002F13D5">
              <w:rPr>
                <w:bCs/>
              </w:rPr>
              <w:t xml:space="preserve"> </w:t>
            </w:r>
          </w:p>
        </w:tc>
      </w:tr>
    </w:tbl>
    <w:p w14:paraId="5C7C6C75" w14:textId="05B956E7" w:rsidR="00CB65DE" w:rsidRDefault="00CB65DE" w:rsidP="00E53F0F">
      <w:pPr>
        <w:rPr>
          <w:rStyle w:val="Heading2Char"/>
        </w:rPr>
      </w:pPr>
    </w:p>
    <w:p w14:paraId="3247A220" w14:textId="01238709" w:rsidR="002F13D5" w:rsidRDefault="002F13D5" w:rsidP="00E53F0F">
      <w:pPr>
        <w:rPr>
          <w:rStyle w:val="Heading2Char"/>
        </w:rPr>
      </w:pPr>
    </w:p>
    <w:p w14:paraId="4B001CD7" w14:textId="77777777" w:rsidR="002F13D5" w:rsidRDefault="002F13D5" w:rsidP="00E53F0F">
      <w:pPr>
        <w:rPr>
          <w:rStyle w:val="Heading2Char"/>
        </w:rPr>
      </w:pPr>
    </w:p>
    <w:p w14:paraId="70A5DEEF" w14:textId="6B8EB32B" w:rsidR="004047C0" w:rsidRPr="00E53F0F" w:rsidRDefault="00650C24" w:rsidP="00E53F0F">
      <w:pPr>
        <w:rPr>
          <w:b/>
        </w:rPr>
      </w:pPr>
      <w:r w:rsidRPr="00C36D05">
        <w:rPr>
          <w:rStyle w:val="Heading2Char"/>
        </w:rPr>
        <w:lastRenderedPageBreak/>
        <w:t xml:space="preserve">Priority </w:t>
      </w:r>
      <w:r>
        <w:rPr>
          <w:rStyle w:val="Heading2Char"/>
        </w:rPr>
        <w:t>2</w:t>
      </w:r>
      <w:r w:rsidRPr="00C36D05">
        <w:rPr>
          <w:rStyle w:val="Heading2Char"/>
        </w:rPr>
        <w:t>:</w:t>
      </w:r>
      <w:r>
        <w:rPr>
          <w:rStyle w:val="Heading2Char"/>
        </w:rPr>
        <w:t xml:space="preserve"> To improve reading outcomes for students through a whole school, evidence-based approach to reading. This is reflected in high levels of ongoing reading growth and achievement across the school.</w:t>
      </w:r>
    </w:p>
    <w:p w14:paraId="516A240E" w14:textId="28E9EDF2" w:rsidR="00EB70CE" w:rsidRPr="00837137" w:rsidRDefault="00CB65DE" w:rsidP="00A1059D">
      <w:pPr>
        <w:pStyle w:val="Heading2"/>
      </w:pPr>
      <w:r>
        <w:t xml:space="preserve">Key </w:t>
      </w:r>
      <w:r w:rsidR="00647436">
        <w:t>Targets</w:t>
      </w:r>
      <w:r>
        <w:t>:</w:t>
      </w:r>
    </w:p>
    <w:p w14:paraId="6E509F2F" w14:textId="77777777" w:rsidR="00E53F0F" w:rsidRPr="00F0116D" w:rsidRDefault="00E53F0F" w:rsidP="00E53F0F">
      <w:pPr>
        <w:pStyle w:val="CommentText"/>
        <w:spacing w:line="276" w:lineRule="auto"/>
        <w:rPr>
          <w:rFonts w:cstheme="minorHAnsi"/>
          <w:sz w:val="22"/>
          <w:szCs w:val="22"/>
        </w:rPr>
      </w:pPr>
      <w:bookmarkStart w:id="2" w:name="_Hlk29819222"/>
      <w:r w:rsidRPr="00CB65DE">
        <w:rPr>
          <w:rFonts w:cstheme="minorHAnsi"/>
          <w:b/>
          <w:bCs/>
          <w:sz w:val="22"/>
          <w:szCs w:val="22"/>
        </w:rPr>
        <w:t>Strategy 1</w:t>
      </w:r>
      <w:r w:rsidRPr="00F0116D">
        <w:rPr>
          <w:rFonts w:cstheme="minorHAnsi"/>
          <w:sz w:val="22"/>
          <w:szCs w:val="22"/>
        </w:rPr>
        <w:t>: Embed</w:t>
      </w:r>
      <w:r>
        <w:rPr>
          <w:rFonts w:cstheme="minorHAnsi"/>
          <w:sz w:val="22"/>
          <w:szCs w:val="22"/>
        </w:rPr>
        <w:t xml:space="preserve"> the 10 Essential Literacy Practices and </w:t>
      </w:r>
      <w:r w:rsidRPr="00F0116D">
        <w:rPr>
          <w:rFonts w:cstheme="minorHAnsi"/>
          <w:sz w:val="22"/>
          <w:szCs w:val="22"/>
        </w:rPr>
        <w:t>Reader’s Workshop as the whole school approach to teaching reading</w:t>
      </w:r>
    </w:p>
    <w:p w14:paraId="25F7AF7C" w14:textId="77777777" w:rsidR="00E53F0F" w:rsidRDefault="00E53F0F" w:rsidP="00E53F0F">
      <w:pPr>
        <w:pStyle w:val="CommentText"/>
        <w:spacing w:line="276" w:lineRule="auto"/>
        <w:rPr>
          <w:rFonts w:cstheme="minorHAnsi"/>
          <w:sz w:val="22"/>
          <w:szCs w:val="22"/>
        </w:rPr>
      </w:pPr>
      <w:r w:rsidRPr="00CB65DE">
        <w:rPr>
          <w:rFonts w:cstheme="minorHAnsi"/>
          <w:b/>
          <w:bCs/>
          <w:sz w:val="22"/>
          <w:szCs w:val="22"/>
        </w:rPr>
        <w:t>Strategy 2:</w:t>
      </w:r>
      <w:r w:rsidRPr="00F0116D">
        <w:rPr>
          <w:rFonts w:cstheme="minorHAnsi"/>
          <w:sz w:val="22"/>
          <w:szCs w:val="22"/>
        </w:rPr>
        <w:t xml:space="preserve"> </w:t>
      </w:r>
      <w:bookmarkEnd w:id="2"/>
      <w:r>
        <w:rPr>
          <w:rFonts w:cstheme="minorHAnsi"/>
          <w:sz w:val="22"/>
          <w:szCs w:val="22"/>
        </w:rPr>
        <w:t>Establish a feedback on practice coaching model aligned to the school’s priorities: Essential Literacy Practices and the Classroom Practice Continuum (CPC).</w:t>
      </w:r>
    </w:p>
    <w:p w14:paraId="2A13E09F" w14:textId="77777777" w:rsidR="00E53F0F" w:rsidRPr="004809A8" w:rsidRDefault="00E53F0F" w:rsidP="00E53F0F">
      <w:pPr>
        <w:pStyle w:val="CommentText"/>
        <w:spacing w:line="276" w:lineRule="auto"/>
        <w:rPr>
          <w:rFonts w:cstheme="minorHAnsi"/>
          <w:b/>
          <w:bCs/>
          <w:sz w:val="22"/>
          <w:szCs w:val="22"/>
        </w:rPr>
      </w:pPr>
      <w:r w:rsidRPr="00CB65DE">
        <w:rPr>
          <w:rFonts w:cstheme="minorHAnsi"/>
          <w:b/>
          <w:bCs/>
          <w:sz w:val="22"/>
          <w:szCs w:val="22"/>
        </w:rPr>
        <w:t>Strategy 3:</w:t>
      </w:r>
      <w:r>
        <w:rPr>
          <w:rFonts w:cstheme="minorHAnsi"/>
          <w:sz w:val="22"/>
          <w:szCs w:val="22"/>
        </w:rPr>
        <w:t xml:space="preserve"> Further evolve and embed the philosophies and practices of Professional Learning </w:t>
      </w:r>
      <w:r w:rsidRPr="00647436">
        <w:rPr>
          <w:rFonts w:cstheme="minorHAnsi"/>
          <w:sz w:val="22"/>
          <w:szCs w:val="22"/>
        </w:rPr>
        <w:t>Communities</w:t>
      </w:r>
    </w:p>
    <w:p w14:paraId="18A3827B" w14:textId="7BA9F937" w:rsidR="00E92E8C" w:rsidRPr="004809A8" w:rsidRDefault="00CB65DE" w:rsidP="00A1059D">
      <w:pPr>
        <w:pStyle w:val="Heading2"/>
      </w:pPr>
      <w:r w:rsidRPr="004809A8">
        <w:t>Supporting Evidence Sets:</w:t>
      </w:r>
    </w:p>
    <w:p w14:paraId="42CA9ECD" w14:textId="5DD86D1D" w:rsidR="00CB65DE" w:rsidRPr="004809A8" w:rsidRDefault="00CB65DE" w:rsidP="006D0873">
      <w:pPr>
        <w:pStyle w:val="PlainText"/>
        <w:numPr>
          <w:ilvl w:val="0"/>
          <w:numId w:val="7"/>
        </w:numPr>
        <w:rPr>
          <w:iCs/>
        </w:rPr>
      </w:pPr>
      <w:r w:rsidRPr="004809A8">
        <w:rPr>
          <w:iCs/>
        </w:rPr>
        <w:t xml:space="preserve">School </w:t>
      </w:r>
      <w:r w:rsidR="00AD2449">
        <w:rPr>
          <w:iCs/>
        </w:rPr>
        <w:t xml:space="preserve">Reading </w:t>
      </w:r>
      <w:r w:rsidRPr="004809A8">
        <w:rPr>
          <w:iCs/>
        </w:rPr>
        <w:t>Benchmark Data</w:t>
      </w:r>
    </w:p>
    <w:p w14:paraId="5C2BCE28" w14:textId="04C72612" w:rsidR="00CB65DE" w:rsidRPr="004809A8" w:rsidRDefault="00CB65DE" w:rsidP="006D0873">
      <w:pPr>
        <w:pStyle w:val="PlainText"/>
        <w:numPr>
          <w:ilvl w:val="0"/>
          <w:numId w:val="7"/>
        </w:numPr>
        <w:rPr>
          <w:iCs/>
        </w:rPr>
      </w:pPr>
      <w:r w:rsidRPr="004809A8">
        <w:rPr>
          <w:iCs/>
        </w:rPr>
        <w:t>BASE Assessment</w:t>
      </w:r>
    </w:p>
    <w:p w14:paraId="3E27A58B" w14:textId="4019F683" w:rsidR="00CB7044" w:rsidRDefault="004809A8" w:rsidP="006D0873">
      <w:pPr>
        <w:pStyle w:val="PlainText"/>
        <w:numPr>
          <w:ilvl w:val="0"/>
          <w:numId w:val="7"/>
        </w:numPr>
        <w:rPr>
          <w:iCs/>
        </w:rPr>
      </w:pPr>
      <w:r w:rsidRPr="004809A8">
        <w:rPr>
          <w:iCs/>
        </w:rPr>
        <w:t xml:space="preserve">NAPLAN </w:t>
      </w:r>
      <w:r w:rsidR="00AD2449">
        <w:rPr>
          <w:iCs/>
        </w:rPr>
        <w:t xml:space="preserve"> 202</w:t>
      </w:r>
      <w:r w:rsidR="00B847A7">
        <w:rPr>
          <w:iCs/>
        </w:rPr>
        <w:t>1</w:t>
      </w:r>
    </w:p>
    <w:p w14:paraId="62DDE55A" w14:textId="77777777" w:rsidR="00A1059D" w:rsidRPr="00647436" w:rsidRDefault="00A1059D" w:rsidP="00A1059D">
      <w:pPr>
        <w:pStyle w:val="PlainText"/>
        <w:ind w:left="720"/>
        <w:rPr>
          <w:iCs/>
        </w:rPr>
      </w:pPr>
    </w:p>
    <w:p w14:paraId="05EC0CAB" w14:textId="77777777" w:rsidR="00EB70CE" w:rsidRPr="00E061B8" w:rsidRDefault="00EB70CE" w:rsidP="00A1059D">
      <w:pPr>
        <w:pStyle w:val="Heading2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3A87EAEA" w14:textId="7E07B07C" w:rsidR="00D6726C" w:rsidRPr="007108E8" w:rsidRDefault="007D227E" w:rsidP="007108E8">
            <w:pPr>
              <w:pStyle w:val="PlainText"/>
              <w:numPr>
                <w:ilvl w:val="0"/>
                <w:numId w:val="16"/>
              </w:numPr>
              <w:rPr>
                <w:b/>
                <w:bCs/>
                <w:iCs/>
              </w:rPr>
            </w:pPr>
            <w:r w:rsidRPr="007D227E">
              <w:rPr>
                <w:b/>
                <w:bCs/>
                <w:iCs/>
              </w:rPr>
              <w:t>School Reading Benchmark Data</w:t>
            </w:r>
          </w:p>
          <w:p w14:paraId="32714F31" w14:textId="56444898" w:rsidR="007108E8" w:rsidRDefault="007108E8" w:rsidP="007108E8">
            <w:pPr>
              <w:pStyle w:val="PlainText"/>
              <w:rPr>
                <w:iCs/>
              </w:rPr>
            </w:pPr>
            <w:r>
              <w:rPr>
                <w:iCs/>
              </w:rPr>
              <w:t>In 2021 our cohorts reading at expected levels ranged from 74% to 84% for the end of year. In 2020 the range was 81% to 87%. In 2019 the range was 58% to 85%.</w:t>
            </w:r>
            <w:r w:rsidR="005648D7">
              <w:rPr>
                <w:iCs/>
              </w:rPr>
              <w:t xml:space="preserve"> A disrupted 2021 with lockdown may have influenced growth over the course of the year. </w:t>
            </w:r>
          </w:p>
          <w:p w14:paraId="2B9F3CAC" w14:textId="77777777" w:rsidR="007108E8" w:rsidRPr="004809A8" w:rsidRDefault="007108E8" w:rsidP="007108E8">
            <w:pPr>
              <w:pStyle w:val="PlainText"/>
              <w:rPr>
                <w:iCs/>
              </w:rPr>
            </w:pPr>
          </w:p>
          <w:p w14:paraId="35E333CE" w14:textId="07A460DF" w:rsidR="007D227E" w:rsidRDefault="007D227E" w:rsidP="006D0873">
            <w:pPr>
              <w:pStyle w:val="PlainText"/>
              <w:numPr>
                <w:ilvl w:val="0"/>
                <w:numId w:val="16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Kindergarten </w:t>
            </w:r>
            <w:r w:rsidRPr="007D227E">
              <w:rPr>
                <w:b/>
                <w:bCs/>
                <w:iCs/>
              </w:rPr>
              <w:t>BASE Assessment</w:t>
            </w:r>
          </w:p>
          <w:p w14:paraId="48250455" w14:textId="3479E97E" w:rsidR="002F13D5" w:rsidRPr="002F13D5" w:rsidRDefault="002F13D5" w:rsidP="002F13D5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Not available </w:t>
            </w:r>
            <w:proofErr w:type="gramStart"/>
            <w:r>
              <w:rPr>
                <w:rFonts w:cstheme="minorHAnsi"/>
              </w:rPr>
              <w:t>at this time</w:t>
            </w:r>
            <w:proofErr w:type="gramEnd"/>
          </w:p>
          <w:p w14:paraId="2102E552" w14:textId="77777777" w:rsidR="009948E7" w:rsidRDefault="009948E7" w:rsidP="009948E7">
            <w:pPr>
              <w:pStyle w:val="PlainText"/>
              <w:ind w:left="720"/>
              <w:rPr>
                <w:b/>
                <w:bCs/>
                <w:iCs/>
              </w:rPr>
            </w:pPr>
          </w:p>
          <w:p w14:paraId="17AB6F09" w14:textId="443E57F1" w:rsidR="00CA70E4" w:rsidRPr="007108E8" w:rsidRDefault="009948E7" w:rsidP="007108E8">
            <w:pPr>
              <w:pStyle w:val="PlainText"/>
              <w:numPr>
                <w:ilvl w:val="0"/>
                <w:numId w:val="16"/>
              </w:num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NAPLAN</w:t>
            </w:r>
            <w:r w:rsidR="005648D7">
              <w:rPr>
                <w:b/>
                <w:bCs/>
                <w:iCs/>
              </w:rPr>
              <w:t xml:space="preserve"> Growth</w:t>
            </w:r>
          </w:p>
          <w:p w14:paraId="0CFE6D15" w14:textId="0BEF3AE6" w:rsidR="00CA70E4" w:rsidRPr="00CA70E4" w:rsidRDefault="00CA70E4" w:rsidP="00CA70E4">
            <w:pPr>
              <w:pStyle w:val="PlainText"/>
              <w:rPr>
                <w:iCs/>
              </w:rPr>
            </w:pPr>
            <w:r w:rsidRPr="00CA70E4">
              <w:rPr>
                <w:iCs/>
              </w:rPr>
              <w:t xml:space="preserve">Year 3 to 5 </w:t>
            </w:r>
            <w:r w:rsidR="007108E8">
              <w:rPr>
                <w:iCs/>
              </w:rPr>
              <w:t>g</w:t>
            </w:r>
            <w:r w:rsidRPr="00CA70E4">
              <w:rPr>
                <w:iCs/>
              </w:rPr>
              <w:t xml:space="preserve">rowth tracking in NAPLAN 2021 demonstrates 78% of students achieving at expected levels. </w:t>
            </w:r>
            <w:r>
              <w:rPr>
                <w:iCs/>
              </w:rPr>
              <w:t xml:space="preserve">This is consistent with 81% of students in Year </w:t>
            </w:r>
            <w:r w:rsidR="007108E8">
              <w:rPr>
                <w:iCs/>
              </w:rPr>
              <w:t>5 2021</w:t>
            </w:r>
            <w:r>
              <w:rPr>
                <w:iCs/>
              </w:rPr>
              <w:t xml:space="preserve"> reading at expected benchmark levels. </w:t>
            </w:r>
            <w:r w:rsidR="005648D7">
              <w:rPr>
                <w:iCs/>
              </w:rPr>
              <w:t xml:space="preserve">Student growth trends are indicating a reduced number of students not achieving expected growth and increased number of students achieving expected growth. </w:t>
            </w:r>
          </w:p>
          <w:p w14:paraId="2BDCC470" w14:textId="77777777" w:rsidR="00CA70E4" w:rsidRDefault="00CA70E4" w:rsidP="00CA70E4">
            <w:pPr>
              <w:pStyle w:val="ListParagraph"/>
              <w:rPr>
                <w:b/>
                <w:bCs/>
                <w:i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0"/>
              <w:gridCol w:w="2203"/>
              <w:gridCol w:w="2204"/>
              <w:gridCol w:w="2204"/>
            </w:tblGrid>
            <w:tr w:rsidR="00CA70E4" w14:paraId="06F004BB" w14:textId="77777777" w:rsidTr="007E2735">
              <w:tc>
                <w:tcPr>
                  <w:tcW w:w="2254" w:type="dxa"/>
                </w:tcPr>
                <w:p w14:paraId="4F68D2A1" w14:textId="77777777" w:rsidR="00CA70E4" w:rsidRDefault="00CA70E4" w:rsidP="00CA70E4">
                  <w:pPr>
                    <w:jc w:val="center"/>
                  </w:pPr>
                </w:p>
              </w:tc>
              <w:tc>
                <w:tcPr>
                  <w:tcW w:w="2254" w:type="dxa"/>
                  <w:shd w:val="clear" w:color="auto" w:fill="FF9966"/>
                </w:tcPr>
                <w:p w14:paraId="03655172" w14:textId="77777777" w:rsidR="00CA70E4" w:rsidRDefault="00CA70E4" w:rsidP="00CA70E4">
                  <w:pPr>
                    <w:jc w:val="center"/>
                  </w:pPr>
                  <w:r>
                    <w:t>Negative Growth</w:t>
                  </w:r>
                </w:p>
              </w:tc>
              <w:tc>
                <w:tcPr>
                  <w:tcW w:w="2254" w:type="dxa"/>
                  <w:shd w:val="clear" w:color="auto" w:fill="FFD966" w:themeFill="accent4" w:themeFillTint="99"/>
                </w:tcPr>
                <w:p w14:paraId="60F2258E" w14:textId="77777777" w:rsidR="00CA70E4" w:rsidRDefault="00CA70E4" w:rsidP="00CA70E4">
                  <w:pPr>
                    <w:jc w:val="center"/>
                  </w:pPr>
                  <w:r>
                    <w:t>Below Expected Growth</w:t>
                  </w:r>
                </w:p>
              </w:tc>
              <w:tc>
                <w:tcPr>
                  <w:tcW w:w="2254" w:type="dxa"/>
                  <w:shd w:val="clear" w:color="auto" w:fill="92D050"/>
                </w:tcPr>
                <w:p w14:paraId="449799B1" w14:textId="77777777" w:rsidR="00CA70E4" w:rsidRDefault="00CA70E4" w:rsidP="00CA70E4">
                  <w:pPr>
                    <w:jc w:val="center"/>
                  </w:pPr>
                  <w:r>
                    <w:t>At or Above Expected Growth</w:t>
                  </w:r>
                </w:p>
              </w:tc>
            </w:tr>
            <w:tr w:rsidR="00CA70E4" w14:paraId="1716B3E0" w14:textId="77777777" w:rsidTr="007E2735">
              <w:tc>
                <w:tcPr>
                  <w:tcW w:w="2254" w:type="dxa"/>
                </w:tcPr>
                <w:p w14:paraId="40F21CDA" w14:textId="77777777" w:rsidR="00CA70E4" w:rsidRDefault="00CA70E4" w:rsidP="00CA70E4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2254" w:type="dxa"/>
                  <w:shd w:val="clear" w:color="auto" w:fill="FF9966"/>
                </w:tcPr>
                <w:p w14:paraId="2349A366" w14:textId="77777777" w:rsidR="00CA70E4" w:rsidRDefault="00CA70E4" w:rsidP="00CA70E4">
                  <w:pPr>
                    <w:jc w:val="center"/>
                  </w:pPr>
                  <w:r>
                    <w:t>1%</w:t>
                  </w:r>
                </w:p>
              </w:tc>
              <w:tc>
                <w:tcPr>
                  <w:tcW w:w="2254" w:type="dxa"/>
                  <w:shd w:val="clear" w:color="auto" w:fill="FFD966" w:themeFill="accent4" w:themeFillTint="99"/>
                </w:tcPr>
                <w:p w14:paraId="5B0E4F7A" w14:textId="77777777" w:rsidR="00CA70E4" w:rsidRDefault="00CA70E4" w:rsidP="00CA70E4">
                  <w:pPr>
                    <w:jc w:val="center"/>
                  </w:pPr>
                  <w:r>
                    <w:t>21%</w:t>
                  </w:r>
                </w:p>
              </w:tc>
              <w:tc>
                <w:tcPr>
                  <w:tcW w:w="2254" w:type="dxa"/>
                  <w:shd w:val="clear" w:color="auto" w:fill="92D050"/>
                </w:tcPr>
                <w:p w14:paraId="4F0BE9D7" w14:textId="77777777" w:rsidR="00CA70E4" w:rsidRDefault="00CA70E4" w:rsidP="00CA70E4">
                  <w:pPr>
                    <w:jc w:val="center"/>
                  </w:pPr>
                  <w:r>
                    <w:t>78%</w:t>
                  </w:r>
                </w:p>
              </w:tc>
            </w:tr>
            <w:tr w:rsidR="00CA70E4" w14:paraId="1DD853E2" w14:textId="77777777" w:rsidTr="007E2735">
              <w:tc>
                <w:tcPr>
                  <w:tcW w:w="2254" w:type="dxa"/>
                </w:tcPr>
                <w:p w14:paraId="5CFF58E3" w14:textId="77777777" w:rsidR="00CA70E4" w:rsidRDefault="00CA70E4" w:rsidP="00CA70E4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2254" w:type="dxa"/>
                  <w:shd w:val="clear" w:color="auto" w:fill="FF9966"/>
                </w:tcPr>
                <w:p w14:paraId="4B01E55D" w14:textId="77777777" w:rsidR="00CA70E4" w:rsidRDefault="00CA70E4" w:rsidP="00CA70E4">
                  <w:pPr>
                    <w:jc w:val="center"/>
                  </w:pPr>
                  <w:r>
                    <w:t>COVID</w:t>
                  </w:r>
                </w:p>
              </w:tc>
              <w:tc>
                <w:tcPr>
                  <w:tcW w:w="2254" w:type="dxa"/>
                  <w:shd w:val="clear" w:color="auto" w:fill="FFD966" w:themeFill="accent4" w:themeFillTint="99"/>
                </w:tcPr>
                <w:p w14:paraId="22C90604" w14:textId="77777777" w:rsidR="00CA70E4" w:rsidRDefault="00CA70E4" w:rsidP="00CA70E4">
                  <w:pPr>
                    <w:jc w:val="center"/>
                  </w:pPr>
                  <w:r>
                    <w:t>COVID</w:t>
                  </w:r>
                </w:p>
              </w:tc>
              <w:tc>
                <w:tcPr>
                  <w:tcW w:w="2254" w:type="dxa"/>
                  <w:shd w:val="clear" w:color="auto" w:fill="92D050"/>
                </w:tcPr>
                <w:p w14:paraId="14F88A24" w14:textId="77777777" w:rsidR="00CA70E4" w:rsidRDefault="00CA70E4" w:rsidP="00CA70E4">
                  <w:pPr>
                    <w:jc w:val="center"/>
                  </w:pPr>
                  <w:r>
                    <w:t>COVID</w:t>
                  </w:r>
                </w:p>
              </w:tc>
            </w:tr>
            <w:tr w:rsidR="00CA70E4" w14:paraId="3B188896" w14:textId="77777777" w:rsidTr="007E2735">
              <w:tc>
                <w:tcPr>
                  <w:tcW w:w="2254" w:type="dxa"/>
                </w:tcPr>
                <w:p w14:paraId="0F16BF8D" w14:textId="77777777" w:rsidR="00CA70E4" w:rsidRDefault="00CA70E4" w:rsidP="00CA70E4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2254" w:type="dxa"/>
                  <w:shd w:val="clear" w:color="auto" w:fill="FF9966"/>
                </w:tcPr>
                <w:p w14:paraId="76BF2B68" w14:textId="77777777" w:rsidR="00CA70E4" w:rsidRDefault="00CA70E4" w:rsidP="00CA70E4">
                  <w:pPr>
                    <w:jc w:val="center"/>
                  </w:pPr>
                  <w:r>
                    <w:t>10%</w:t>
                  </w:r>
                </w:p>
              </w:tc>
              <w:tc>
                <w:tcPr>
                  <w:tcW w:w="2254" w:type="dxa"/>
                  <w:shd w:val="clear" w:color="auto" w:fill="FFD966" w:themeFill="accent4" w:themeFillTint="99"/>
                </w:tcPr>
                <w:p w14:paraId="1EF134E9" w14:textId="77777777" w:rsidR="00CA70E4" w:rsidRDefault="00CA70E4" w:rsidP="00CA70E4">
                  <w:pPr>
                    <w:jc w:val="center"/>
                  </w:pPr>
                  <w:r>
                    <w:t>28%</w:t>
                  </w:r>
                </w:p>
              </w:tc>
              <w:tc>
                <w:tcPr>
                  <w:tcW w:w="2254" w:type="dxa"/>
                  <w:shd w:val="clear" w:color="auto" w:fill="92D050"/>
                </w:tcPr>
                <w:p w14:paraId="26879980" w14:textId="77777777" w:rsidR="00CA70E4" w:rsidRDefault="00CA70E4" w:rsidP="00CA70E4">
                  <w:pPr>
                    <w:jc w:val="center"/>
                  </w:pPr>
                  <w:r>
                    <w:t>62%</w:t>
                  </w:r>
                </w:p>
              </w:tc>
            </w:tr>
            <w:tr w:rsidR="00CA70E4" w14:paraId="582D1D76" w14:textId="77777777" w:rsidTr="007E2735">
              <w:tc>
                <w:tcPr>
                  <w:tcW w:w="2254" w:type="dxa"/>
                </w:tcPr>
                <w:p w14:paraId="373CA81A" w14:textId="77777777" w:rsidR="00CA70E4" w:rsidRDefault="00CA70E4" w:rsidP="00CA70E4">
                  <w:pPr>
                    <w:jc w:val="center"/>
                  </w:pPr>
                  <w:r>
                    <w:t>2018</w:t>
                  </w:r>
                </w:p>
              </w:tc>
              <w:tc>
                <w:tcPr>
                  <w:tcW w:w="2254" w:type="dxa"/>
                  <w:shd w:val="clear" w:color="auto" w:fill="FF9966"/>
                </w:tcPr>
                <w:p w14:paraId="2D09BD78" w14:textId="77777777" w:rsidR="00CA70E4" w:rsidRDefault="00CA70E4" w:rsidP="00CA70E4">
                  <w:pPr>
                    <w:jc w:val="center"/>
                  </w:pPr>
                  <w:r>
                    <w:t>10%</w:t>
                  </w:r>
                </w:p>
              </w:tc>
              <w:tc>
                <w:tcPr>
                  <w:tcW w:w="2254" w:type="dxa"/>
                  <w:shd w:val="clear" w:color="auto" w:fill="FFD966" w:themeFill="accent4" w:themeFillTint="99"/>
                </w:tcPr>
                <w:p w14:paraId="69B67E21" w14:textId="77777777" w:rsidR="00CA70E4" w:rsidRDefault="00CA70E4" w:rsidP="00CA70E4">
                  <w:pPr>
                    <w:jc w:val="center"/>
                  </w:pPr>
                  <w:r>
                    <w:t>31%</w:t>
                  </w:r>
                </w:p>
              </w:tc>
              <w:tc>
                <w:tcPr>
                  <w:tcW w:w="2254" w:type="dxa"/>
                  <w:shd w:val="clear" w:color="auto" w:fill="92D050"/>
                </w:tcPr>
                <w:p w14:paraId="1911BA84" w14:textId="77777777" w:rsidR="00CA70E4" w:rsidRDefault="00CA70E4" w:rsidP="00CA70E4">
                  <w:pPr>
                    <w:jc w:val="center"/>
                  </w:pPr>
                  <w:r>
                    <w:t>58%</w:t>
                  </w:r>
                </w:p>
              </w:tc>
            </w:tr>
            <w:tr w:rsidR="00CA70E4" w14:paraId="292E19D2" w14:textId="77777777" w:rsidTr="007E2735">
              <w:tc>
                <w:tcPr>
                  <w:tcW w:w="2254" w:type="dxa"/>
                </w:tcPr>
                <w:p w14:paraId="55D02AF5" w14:textId="77777777" w:rsidR="00CA70E4" w:rsidRDefault="00CA70E4" w:rsidP="00CA70E4">
                  <w:pPr>
                    <w:jc w:val="center"/>
                  </w:pPr>
                  <w:r>
                    <w:t>2017</w:t>
                  </w:r>
                </w:p>
              </w:tc>
              <w:tc>
                <w:tcPr>
                  <w:tcW w:w="2254" w:type="dxa"/>
                  <w:shd w:val="clear" w:color="auto" w:fill="FF9966"/>
                </w:tcPr>
                <w:p w14:paraId="2E0CD2D8" w14:textId="77777777" w:rsidR="00CA70E4" w:rsidRDefault="00CA70E4" w:rsidP="00CA70E4">
                  <w:pPr>
                    <w:jc w:val="center"/>
                  </w:pPr>
                  <w:r>
                    <w:t>14%</w:t>
                  </w:r>
                </w:p>
              </w:tc>
              <w:tc>
                <w:tcPr>
                  <w:tcW w:w="2254" w:type="dxa"/>
                  <w:shd w:val="clear" w:color="auto" w:fill="FFD966" w:themeFill="accent4" w:themeFillTint="99"/>
                </w:tcPr>
                <w:p w14:paraId="3D017A24" w14:textId="77777777" w:rsidR="00CA70E4" w:rsidRDefault="00CA70E4" w:rsidP="00CA70E4">
                  <w:pPr>
                    <w:jc w:val="center"/>
                  </w:pPr>
                  <w:r>
                    <w:t>32%</w:t>
                  </w:r>
                </w:p>
              </w:tc>
              <w:tc>
                <w:tcPr>
                  <w:tcW w:w="2254" w:type="dxa"/>
                  <w:shd w:val="clear" w:color="auto" w:fill="92D050"/>
                </w:tcPr>
                <w:p w14:paraId="7CB79077" w14:textId="77777777" w:rsidR="00CA70E4" w:rsidRDefault="00CA70E4" w:rsidP="00CA70E4">
                  <w:pPr>
                    <w:jc w:val="center"/>
                  </w:pPr>
                  <w:r>
                    <w:t>54%</w:t>
                  </w:r>
                </w:p>
              </w:tc>
            </w:tr>
          </w:tbl>
          <w:p w14:paraId="17DDC188" w14:textId="07244A11" w:rsidR="001249BB" w:rsidRPr="006E5752" w:rsidRDefault="001249BB" w:rsidP="006E5752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2EEAA8F4" w14:textId="77777777" w:rsidR="00A1059D" w:rsidRDefault="00A1059D" w:rsidP="00A1059D">
      <w:pPr>
        <w:pStyle w:val="Heading2"/>
      </w:pPr>
    </w:p>
    <w:p w14:paraId="7A877F34" w14:textId="75B4AA00" w:rsidR="005611F4" w:rsidRPr="005611F4" w:rsidRDefault="00937D6F" w:rsidP="00A1059D">
      <w:pPr>
        <w:pStyle w:val="Heading2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17504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6314EBF8" w14:textId="236FB4A1" w:rsidR="001467B4" w:rsidRDefault="001467B4" w:rsidP="001467B4">
            <w:pPr>
              <w:pStyle w:val="CommentText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467B4">
              <w:rPr>
                <w:rFonts w:cstheme="minorHAnsi"/>
                <w:b/>
                <w:bCs/>
                <w:sz w:val="22"/>
                <w:szCs w:val="22"/>
              </w:rPr>
              <w:t>Strategy 1: Embed the 10 Essential Literacy Practices and Reader’s Workshop as the whole school approach to teaching reading</w:t>
            </w:r>
          </w:p>
          <w:p w14:paraId="1ADB3925" w14:textId="330350FA" w:rsidR="002F5360" w:rsidRDefault="009973CB" w:rsidP="006D0873">
            <w:pPr>
              <w:pStyle w:val="CommentText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Embed</w:t>
            </w:r>
            <w:r w:rsidR="00DF4BA5">
              <w:rPr>
                <w:rFonts w:cstheme="minorHAnsi"/>
                <w:sz w:val="22"/>
                <w:szCs w:val="22"/>
              </w:rPr>
              <w:t>ded the</w:t>
            </w:r>
            <w:r w:rsidR="002F5360">
              <w:rPr>
                <w:rFonts w:cstheme="minorHAnsi"/>
                <w:sz w:val="22"/>
                <w:szCs w:val="22"/>
              </w:rPr>
              <w:t xml:space="preserve"> Reader’s Workshop</w:t>
            </w:r>
            <w:r w:rsidR="00DF4BA5">
              <w:rPr>
                <w:rFonts w:cstheme="minorHAnsi"/>
                <w:sz w:val="22"/>
                <w:szCs w:val="22"/>
              </w:rPr>
              <w:t xml:space="preserve"> model and an NPS</w:t>
            </w:r>
            <w:r w:rsidR="002F5360">
              <w:rPr>
                <w:rFonts w:cstheme="minorHAnsi"/>
                <w:sz w:val="22"/>
                <w:szCs w:val="22"/>
              </w:rPr>
              <w:t xml:space="preserve"> planner</w:t>
            </w:r>
          </w:p>
          <w:p w14:paraId="2B4B90C3" w14:textId="425B0B09" w:rsidR="009973CB" w:rsidRDefault="009973CB" w:rsidP="006D0873">
            <w:pPr>
              <w:pStyle w:val="CommentText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Feedback given to all staff with a focus on Reader’s Workshop </w:t>
            </w:r>
          </w:p>
          <w:p w14:paraId="39C3370E" w14:textId="030D4A3A" w:rsidR="00E708BD" w:rsidRDefault="00E708BD" w:rsidP="006D0873">
            <w:pPr>
              <w:pStyle w:val="CommentText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Evidence Informed Practice Guide and Pedagogical Framework developed reflecting current levels of practice</w:t>
            </w:r>
          </w:p>
          <w:p w14:paraId="2FE5364A" w14:textId="430ADD68" w:rsidR="00E708BD" w:rsidRDefault="00E708BD" w:rsidP="006D0873">
            <w:pPr>
              <w:pStyle w:val="CommentText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Improved systems for tracking the achievements of students</w:t>
            </w:r>
            <w:r w:rsidR="007108E8">
              <w:rPr>
                <w:rFonts w:cstheme="minorHAnsi"/>
                <w:sz w:val="22"/>
                <w:szCs w:val="22"/>
              </w:rPr>
              <w:t xml:space="preserve"> and accuracy of data collected.</w:t>
            </w:r>
          </w:p>
          <w:p w14:paraId="39E0A419" w14:textId="77777777" w:rsidR="001467B4" w:rsidRPr="00F0116D" w:rsidRDefault="001467B4" w:rsidP="001467B4">
            <w:pPr>
              <w:pStyle w:val="CommentText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34AD754B" w14:textId="559CA703" w:rsidR="001467B4" w:rsidRDefault="001467B4" w:rsidP="001467B4">
            <w:pPr>
              <w:pStyle w:val="CommentText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467B4">
              <w:rPr>
                <w:rFonts w:cstheme="minorHAnsi"/>
                <w:b/>
                <w:bCs/>
                <w:sz w:val="22"/>
                <w:szCs w:val="22"/>
              </w:rPr>
              <w:t xml:space="preserve">Strategy 2: Establish </w:t>
            </w:r>
            <w:r w:rsidR="002F13D5" w:rsidRPr="001467B4">
              <w:rPr>
                <w:rFonts w:cstheme="minorHAnsi"/>
                <w:b/>
                <w:bCs/>
                <w:sz w:val="22"/>
                <w:szCs w:val="22"/>
              </w:rPr>
              <w:t>feedback</w:t>
            </w:r>
            <w:r w:rsidRPr="001467B4">
              <w:rPr>
                <w:rFonts w:cstheme="minorHAnsi"/>
                <w:b/>
                <w:bCs/>
                <w:sz w:val="22"/>
                <w:szCs w:val="22"/>
              </w:rPr>
              <w:t xml:space="preserve"> on practice coaching model aligned to the school’s priorities: Essential Literacy Practices and the Classroom Practice Continuum (CPC).</w:t>
            </w:r>
          </w:p>
          <w:p w14:paraId="2C52881D" w14:textId="46A49560" w:rsidR="009973CB" w:rsidRPr="009973CB" w:rsidRDefault="008207CC" w:rsidP="008207CC">
            <w:pPr>
              <w:pStyle w:val="CommentTex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staff have reflected on practice using the Classroom Practice Continuum</w:t>
            </w:r>
          </w:p>
          <w:p w14:paraId="721736B4" w14:textId="21465D24" w:rsidR="008207CC" w:rsidRPr="00E708BD" w:rsidRDefault="008207CC" w:rsidP="008207CC">
            <w:pPr>
              <w:pStyle w:val="CommentText"/>
              <w:numPr>
                <w:ilvl w:val="0"/>
                <w:numId w:val="25"/>
              </w:numPr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staff have received feedback on practice through walkthroughs, coaching and mentoring</w:t>
            </w:r>
          </w:p>
          <w:p w14:paraId="236FEB26" w14:textId="3EC80EE0" w:rsidR="00E708BD" w:rsidRPr="00E708BD" w:rsidRDefault="00E708BD" w:rsidP="008207CC">
            <w:pPr>
              <w:pStyle w:val="CommentText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708BD">
              <w:rPr>
                <w:rFonts w:cstheme="minorHAnsi"/>
                <w:sz w:val="22"/>
                <w:szCs w:val="22"/>
              </w:rPr>
              <w:t xml:space="preserve">Building Capacity Guide and Early Career </w:t>
            </w:r>
            <w:r w:rsidR="003274F4">
              <w:rPr>
                <w:rFonts w:cstheme="minorHAnsi"/>
                <w:sz w:val="22"/>
                <w:szCs w:val="22"/>
              </w:rPr>
              <w:t>E</w:t>
            </w:r>
            <w:r w:rsidRPr="00E708BD">
              <w:rPr>
                <w:rFonts w:cstheme="minorHAnsi"/>
                <w:sz w:val="22"/>
                <w:szCs w:val="22"/>
              </w:rPr>
              <w:t>ducator Guide developed</w:t>
            </w:r>
          </w:p>
          <w:p w14:paraId="1AEAF238" w14:textId="77777777" w:rsidR="00E708BD" w:rsidRPr="008207CC" w:rsidRDefault="00E708BD" w:rsidP="00E708BD">
            <w:pPr>
              <w:pStyle w:val="CommentText"/>
              <w:spacing w:line="276" w:lineRule="auto"/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D797CCF" w14:textId="419A865E" w:rsidR="001467B4" w:rsidRDefault="001467B4" w:rsidP="001467B4">
            <w:pPr>
              <w:pStyle w:val="CommentText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467B4">
              <w:rPr>
                <w:rFonts w:cstheme="minorHAnsi"/>
                <w:b/>
                <w:bCs/>
                <w:sz w:val="22"/>
                <w:szCs w:val="22"/>
              </w:rPr>
              <w:t>Strategy 3: Further evolve and embed the philosophies and practices of Professional Learning Communities</w:t>
            </w:r>
          </w:p>
          <w:p w14:paraId="01B7471E" w14:textId="240DB9D8" w:rsidR="00611CB6" w:rsidRDefault="00E708BD" w:rsidP="00611CB6">
            <w:pPr>
              <w:pStyle w:val="CommentText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Increased responsiveness to the needs of students through the spiral of inquiry</w:t>
            </w:r>
          </w:p>
          <w:p w14:paraId="4F19C6D9" w14:textId="48DBEA3C" w:rsidR="00937D6F" w:rsidRPr="001A217C" w:rsidRDefault="00DF4BA5" w:rsidP="001A217C">
            <w:pPr>
              <w:pStyle w:val="CommentText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Developed a process for coaching school leaders and evaluating spirals of inquiry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3AFB40F2" w:rsidR="005611F4" w:rsidRPr="005611F4" w:rsidRDefault="00937D6F" w:rsidP="001A217C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175049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382AC2DE" w14:textId="0570EBD1" w:rsidR="007108E8" w:rsidRDefault="007108E8" w:rsidP="002F18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Consistent, high levels of achievement will remain a priority in 2022. </w:t>
            </w:r>
          </w:p>
          <w:p w14:paraId="3940E631" w14:textId="77777777" w:rsidR="007108E8" w:rsidRDefault="007108E8" w:rsidP="002F1844">
            <w:pPr>
              <w:rPr>
                <w:b/>
                <w:bCs/>
              </w:rPr>
            </w:pPr>
          </w:p>
          <w:p w14:paraId="60795E1B" w14:textId="12DCB57A" w:rsidR="00E83727" w:rsidRPr="0068298B" w:rsidRDefault="00E83727" w:rsidP="002F1844">
            <w:pPr>
              <w:rPr>
                <w:b/>
                <w:bCs/>
              </w:rPr>
            </w:pPr>
            <w:r w:rsidRPr="0068298B">
              <w:rPr>
                <w:b/>
                <w:bCs/>
              </w:rPr>
              <w:t>Deepening Pedagogical Content Knowledge</w:t>
            </w:r>
          </w:p>
          <w:p w14:paraId="2EA35487" w14:textId="7971A80C" w:rsidR="0068298B" w:rsidRDefault="00DF4BA5" w:rsidP="006D0873">
            <w:pPr>
              <w:pStyle w:val="DotPointLVL1"/>
              <w:numPr>
                <w:ilvl w:val="0"/>
                <w:numId w:val="2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Expand the workshop model to include writing</w:t>
            </w:r>
          </w:p>
          <w:p w14:paraId="2DF9F734" w14:textId="6B7A7A67" w:rsidR="00DF4BA5" w:rsidRPr="0068298B" w:rsidRDefault="00DF4BA5" w:rsidP="006D0873">
            <w:pPr>
              <w:pStyle w:val="DotPointLVL1"/>
              <w:numPr>
                <w:ilvl w:val="0"/>
                <w:numId w:val="2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Streamline planning for learning with a focus on integrating literacy and other learning areas to create a purpose for</w:t>
            </w:r>
            <w:r w:rsidR="007108E8">
              <w:rPr>
                <w:rFonts w:eastAsia="Calibri"/>
                <w:bCs/>
              </w:rPr>
              <w:t xml:space="preserve"> reading and</w:t>
            </w:r>
            <w:r>
              <w:rPr>
                <w:rFonts w:eastAsia="Calibri"/>
                <w:bCs/>
              </w:rPr>
              <w:t xml:space="preserve"> writing</w:t>
            </w:r>
          </w:p>
          <w:p w14:paraId="668654B9" w14:textId="4A6D3ADD" w:rsidR="00E83727" w:rsidRDefault="00E83727" w:rsidP="002F1844"/>
          <w:p w14:paraId="5B781237" w14:textId="2181553C" w:rsidR="00E83727" w:rsidRPr="0068298B" w:rsidRDefault="00E83727" w:rsidP="002F1844">
            <w:pPr>
              <w:rPr>
                <w:b/>
                <w:bCs/>
              </w:rPr>
            </w:pPr>
            <w:r w:rsidRPr="0068298B">
              <w:rPr>
                <w:b/>
                <w:bCs/>
              </w:rPr>
              <w:t>Consistency across Professional Learning Teams (PLTs)</w:t>
            </w:r>
          </w:p>
          <w:p w14:paraId="79AFADEB" w14:textId="78ACCAB5" w:rsidR="00E83727" w:rsidRDefault="00DF4BA5" w:rsidP="006D0873">
            <w:pPr>
              <w:pStyle w:val="ListParagraph"/>
              <w:numPr>
                <w:ilvl w:val="0"/>
                <w:numId w:val="20"/>
              </w:numPr>
            </w:pPr>
            <w:r>
              <w:t>Expand the use of formative checks</w:t>
            </w:r>
            <w:r w:rsidR="007108E8">
              <w:t xml:space="preserve"> (conferencing)</w:t>
            </w:r>
            <w:r>
              <w:t xml:space="preserve"> to shape learning plans</w:t>
            </w:r>
          </w:p>
          <w:p w14:paraId="2F7A14C5" w14:textId="6DBEE206" w:rsidR="00E83727" w:rsidRPr="00E708BD" w:rsidRDefault="00DF4BA5" w:rsidP="00FC7486">
            <w:pPr>
              <w:pStyle w:val="ListParagraph"/>
              <w:numPr>
                <w:ilvl w:val="0"/>
                <w:numId w:val="20"/>
              </w:numPr>
            </w:pPr>
            <w:r>
              <w:t>Deepen</w:t>
            </w:r>
            <w:r w:rsidR="00E83727">
              <w:t xml:space="preserve"> the use of the spiral of inquiry</w:t>
            </w:r>
            <w:r>
              <w:t xml:space="preserve"> to </w:t>
            </w:r>
            <w:r>
              <w:rPr>
                <w:rFonts w:cstheme="minorHAnsi"/>
              </w:rPr>
              <w:t>ensure all students are successful</w:t>
            </w:r>
          </w:p>
          <w:p w14:paraId="4EF1F7B1" w14:textId="1FE082F9" w:rsidR="00E708BD" w:rsidRDefault="00E708BD" w:rsidP="00FC7486">
            <w:pPr>
              <w:pStyle w:val="ListParagraph"/>
              <w:numPr>
                <w:ilvl w:val="0"/>
                <w:numId w:val="20"/>
              </w:numPr>
            </w:pPr>
            <w:r>
              <w:t>Finalise Response to Need Guide</w:t>
            </w:r>
          </w:p>
          <w:p w14:paraId="7182752B" w14:textId="77777777" w:rsidR="00DF4BA5" w:rsidRDefault="00DF4BA5" w:rsidP="002F1844">
            <w:pPr>
              <w:rPr>
                <w:b/>
                <w:bCs/>
              </w:rPr>
            </w:pPr>
          </w:p>
          <w:p w14:paraId="181BB43D" w14:textId="1407277C" w:rsidR="00E83727" w:rsidRPr="0068298B" w:rsidRDefault="00E83727" w:rsidP="002F1844">
            <w:pPr>
              <w:rPr>
                <w:b/>
                <w:bCs/>
              </w:rPr>
            </w:pPr>
            <w:r w:rsidRPr="0068298B">
              <w:rPr>
                <w:b/>
                <w:bCs/>
              </w:rPr>
              <w:t>Feedback on Practice</w:t>
            </w:r>
          </w:p>
          <w:p w14:paraId="3C9C1A93" w14:textId="2070AA53" w:rsidR="00E83727" w:rsidRDefault="00E83727" w:rsidP="006D0873">
            <w:pPr>
              <w:pStyle w:val="ListParagraph"/>
              <w:numPr>
                <w:ilvl w:val="0"/>
                <w:numId w:val="20"/>
              </w:numPr>
            </w:pPr>
            <w:r>
              <w:t>Introduce peer to peer feedback on practi</w:t>
            </w:r>
            <w:r w:rsidR="0068298B">
              <w:t>c</w:t>
            </w:r>
            <w:r>
              <w:t>e</w:t>
            </w:r>
            <w:r w:rsidR="00DF4BA5">
              <w:t xml:space="preserve"> as this was impacted due to lockdown inn 2021</w:t>
            </w:r>
          </w:p>
          <w:p w14:paraId="166FC25E" w14:textId="5506495C" w:rsidR="00E83727" w:rsidRDefault="00DF4BA5" w:rsidP="006D0873">
            <w:pPr>
              <w:pStyle w:val="ListParagraph"/>
              <w:numPr>
                <w:ilvl w:val="0"/>
                <w:numId w:val="20"/>
              </w:numPr>
            </w:pPr>
            <w:r>
              <w:t>Continue to p</w:t>
            </w:r>
            <w:r w:rsidR="00E83727">
              <w:t>rioritise Reader’s</w:t>
            </w:r>
            <w:r>
              <w:t>/Writer’s</w:t>
            </w:r>
            <w:r w:rsidR="00E83727">
              <w:t xml:space="preserve"> Workshop and the 10</w:t>
            </w:r>
            <w:r w:rsidR="0068298B">
              <w:t xml:space="preserve"> Essential</w:t>
            </w:r>
            <w:r w:rsidR="00E83727">
              <w:t xml:space="preserve"> Literacy Practices as the criteria for feedback</w:t>
            </w:r>
          </w:p>
          <w:p w14:paraId="4D0D0527" w14:textId="6D392F3A" w:rsidR="0068298B" w:rsidRPr="001A217C" w:rsidRDefault="0068298B" w:rsidP="004D6AEE">
            <w:pPr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2DAB64CB" w14:textId="77777777" w:rsidR="00647436" w:rsidRDefault="00647436" w:rsidP="00E53F0F"/>
    <w:sectPr w:rsidR="00647436" w:rsidSect="00C77B0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5A95" w14:textId="77777777" w:rsidR="009A7DB7" w:rsidRDefault="009A7DB7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9A7DB7" w:rsidRDefault="009A7DB7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33374D4C" w:rsidR="009A7DB7" w:rsidRPr="00BF488D" w:rsidRDefault="009A7DB7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9A7DB7" w:rsidRPr="008679D5" w:rsidRDefault="009A7DB7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3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3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382C" w14:textId="77777777" w:rsidR="009A7DB7" w:rsidRDefault="009A7DB7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9A7DB7" w:rsidRDefault="009A7DB7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9A7DB7" w:rsidRDefault="009A7DB7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9A7DB7" w:rsidRDefault="009A7DB7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D47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32F40"/>
    <w:multiLevelType w:val="hybridMultilevel"/>
    <w:tmpl w:val="D1506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776"/>
    <w:multiLevelType w:val="hybridMultilevel"/>
    <w:tmpl w:val="B2620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775C1"/>
    <w:multiLevelType w:val="hybridMultilevel"/>
    <w:tmpl w:val="5F62B522"/>
    <w:lvl w:ilvl="0" w:tplc="A51E2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0121"/>
    <w:multiLevelType w:val="hybridMultilevel"/>
    <w:tmpl w:val="96DE5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35D6"/>
    <w:multiLevelType w:val="hybridMultilevel"/>
    <w:tmpl w:val="4CD03ED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29432C0C"/>
    <w:multiLevelType w:val="hybridMultilevel"/>
    <w:tmpl w:val="1F1E2D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86ACE"/>
    <w:multiLevelType w:val="hybridMultilevel"/>
    <w:tmpl w:val="71D6A596"/>
    <w:lvl w:ilvl="0" w:tplc="0C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1430A15"/>
    <w:multiLevelType w:val="hybridMultilevel"/>
    <w:tmpl w:val="7AB63694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65F86"/>
    <w:multiLevelType w:val="hybridMultilevel"/>
    <w:tmpl w:val="B37E6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824E6"/>
    <w:multiLevelType w:val="hybridMultilevel"/>
    <w:tmpl w:val="51A6C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5876"/>
    <w:multiLevelType w:val="hybridMultilevel"/>
    <w:tmpl w:val="77E88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791"/>
    <w:multiLevelType w:val="hybridMultilevel"/>
    <w:tmpl w:val="4F805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69DB"/>
    <w:multiLevelType w:val="hybridMultilevel"/>
    <w:tmpl w:val="F170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017D5"/>
    <w:multiLevelType w:val="hybridMultilevel"/>
    <w:tmpl w:val="2306057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674727"/>
    <w:multiLevelType w:val="hybridMultilevel"/>
    <w:tmpl w:val="E5C8ECE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820E7"/>
    <w:multiLevelType w:val="hybridMultilevel"/>
    <w:tmpl w:val="CA12B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464F6"/>
    <w:multiLevelType w:val="hybridMultilevel"/>
    <w:tmpl w:val="5F62B522"/>
    <w:lvl w:ilvl="0" w:tplc="A51E24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57142"/>
    <w:multiLevelType w:val="hybridMultilevel"/>
    <w:tmpl w:val="7306397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0593"/>
    <w:multiLevelType w:val="hybridMultilevel"/>
    <w:tmpl w:val="21F4DA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E05D07"/>
    <w:multiLevelType w:val="hybridMultilevel"/>
    <w:tmpl w:val="27D214D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93702"/>
    <w:multiLevelType w:val="hybridMultilevel"/>
    <w:tmpl w:val="FB603EF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E12BD"/>
    <w:multiLevelType w:val="hybridMultilevel"/>
    <w:tmpl w:val="8C62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06FE"/>
    <w:multiLevelType w:val="hybridMultilevel"/>
    <w:tmpl w:val="C5920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1C8A"/>
    <w:multiLevelType w:val="hybridMultilevel"/>
    <w:tmpl w:val="3C6EC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3785F"/>
    <w:multiLevelType w:val="hybridMultilevel"/>
    <w:tmpl w:val="424CC1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21F32"/>
    <w:multiLevelType w:val="hybridMultilevel"/>
    <w:tmpl w:val="4F805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96931"/>
    <w:multiLevelType w:val="hybridMultilevel"/>
    <w:tmpl w:val="80C2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12"/>
  </w:num>
  <w:num w:numId="8">
    <w:abstractNumId w:val="3"/>
  </w:num>
  <w:num w:numId="9">
    <w:abstractNumId w:val="14"/>
  </w:num>
  <w:num w:numId="10">
    <w:abstractNumId w:val="16"/>
  </w:num>
  <w:num w:numId="11">
    <w:abstractNumId w:val="22"/>
  </w:num>
  <w:num w:numId="12">
    <w:abstractNumId w:val="5"/>
  </w:num>
  <w:num w:numId="13">
    <w:abstractNumId w:val="4"/>
  </w:num>
  <w:num w:numId="14">
    <w:abstractNumId w:val="15"/>
  </w:num>
  <w:num w:numId="15">
    <w:abstractNumId w:val="25"/>
  </w:num>
  <w:num w:numId="16">
    <w:abstractNumId w:val="27"/>
  </w:num>
  <w:num w:numId="17">
    <w:abstractNumId w:val="20"/>
  </w:num>
  <w:num w:numId="18">
    <w:abstractNumId w:val="6"/>
  </w:num>
  <w:num w:numId="19">
    <w:abstractNumId w:val="7"/>
  </w:num>
  <w:num w:numId="20">
    <w:abstractNumId w:val="23"/>
  </w:num>
  <w:num w:numId="21">
    <w:abstractNumId w:val="26"/>
  </w:num>
  <w:num w:numId="22">
    <w:abstractNumId w:val="24"/>
  </w:num>
  <w:num w:numId="23">
    <w:abstractNumId w:val="21"/>
  </w:num>
  <w:num w:numId="24">
    <w:abstractNumId w:val="2"/>
  </w:num>
  <w:num w:numId="25">
    <w:abstractNumId w:val="28"/>
  </w:num>
  <w:num w:numId="26">
    <w:abstractNumId w:val="0"/>
  </w:num>
  <w:num w:numId="27">
    <w:abstractNumId w:val="11"/>
  </w:num>
  <w:num w:numId="28">
    <w:abstractNumId w:val="9"/>
  </w:num>
  <w:num w:numId="2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21CD"/>
    <w:rsid w:val="000031B5"/>
    <w:rsid w:val="00032619"/>
    <w:rsid w:val="00057DAD"/>
    <w:rsid w:val="000F6B61"/>
    <w:rsid w:val="000F7E7C"/>
    <w:rsid w:val="00107AE2"/>
    <w:rsid w:val="00112FA7"/>
    <w:rsid w:val="00115AA9"/>
    <w:rsid w:val="00116F29"/>
    <w:rsid w:val="001249BB"/>
    <w:rsid w:val="00132917"/>
    <w:rsid w:val="00134761"/>
    <w:rsid w:val="0013611F"/>
    <w:rsid w:val="00144C7A"/>
    <w:rsid w:val="001467B4"/>
    <w:rsid w:val="00150C22"/>
    <w:rsid w:val="00161E50"/>
    <w:rsid w:val="00163579"/>
    <w:rsid w:val="00175049"/>
    <w:rsid w:val="00183DE5"/>
    <w:rsid w:val="001A217C"/>
    <w:rsid w:val="001A7BAA"/>
    <w:rsid w:val="001B26EA"/>
    <w:rsid w:val="001B2E33"/>
    <w:rsid w:val="00205BCE"/>
    <w:rsid w:val="00212FA4"/>
    <w:rsid w:val="002145F7"/>
    <w:rsid w:val="00222F74"/>
    <w:rsid w:val="0024781C"/>
    <w:rsid w:val="0025061A"/>
    <w:rsid w:val="00253A83"/>
    <w:rsid w:val="00262836"/>
    <w:rsid w:val="00266E77"/>
    <w:rsid w:val="00271528"/>
    <w:rsid w:val="002718BA"/>
    <w:rsid w:val="002F13D5"/>
    <w:rsid w:val="002F1844"/>
    <w:rsid w:val="002F2C6F"/>
    <w:rsid w:val="002F4184"/>
    <w:rsid w:val="002F5360"/>
    <w:rsid w:val="002F73F6"/>
    <w:rsid w:val="00300F72"/>
    <w:rsid w:val="003274F4"/>
    <w:rsid w:val="00334BBF"/>
    <w:rsid w:val="00342B3F"/>
    <w:rsid w:val="0036563F"/>
    <w:rsid w:val="00365890"/>
    <w:rsid w:val="00365A1C"/>
    <w:rsid w:val="00373DC0"/>
    <w:rsid w:val="00377F0F"/>
    <w:rsid w:val="0038328D"/>
    <w:rsid w:val="0039642F"/>
    <w:rsid w:val="003B5E3D"/>
    <w:rsid w:val="003C2864"/>
    <w:rsid w:val="003C69DC"/>
    <w:rsid w:val="003E1EFB"/>
    <w:rsid w:val="003E5598"/>
    <w:rsid w:val="004047C0"/>
    <w:rsid w:val="00413987"/>
    <w:rsid w:val="00435AB7"/>
    <w:rsid w:val="00435C6B"/>
    <w:rsid w:val="00436626"/>
    <w:rsid w:val="004370EF"/>
    <w:rsid w:val="00461D07"/>
    <w:rsid w:val="004809A8"/>
    <w:rsid w:val="00481BD2"/>
    <w:rsid w:val="004875BA"/>
    <w:rsid w:val="00492440"/>
    <w:rsid w:val="00494E8D"/>
    <w:rsid w:val="004C32E2"/>
    <w:rsid w:val="004C399F"/>
    <w:rsid w:val="004D00F4"/>
    <w:rsid w:val="004D5E45"/>
    <w:rsid w:val="004D6AEE"/>
    <w:rsid w:val="00512482"/>
    <w:rsid w:val="00513913"/>
    <w:rsid w:val="00520A86"/>
    <w:rsid w:val="00522344"/>
    <w:rsid w:val="00557F65"/>
    <w:rsid w:val="005611F4"/>
    <w:rsid w:val="005648D7"/>
    <w:rsid w:val="0057672E"/>
    <w:rsid w:val="0058339C"/>
    <w:rsid w:val="00585660"/>
    <w:rsid w:val="0059350F"/>
    <w:rsid w:val="005A4749"/>
    <w:rsid w:val="005C7432"/>
    <w:rsid w:val="005E76E4"/>
    <w:rsid w:val="005F3B55"/>
    <w:rsid w:val="006075B0"/>
    <w:rsid w:val="00610A38"/>
    <w:rsid w:val="00611CB6"/>
    <w:rsid w:val="00627DF3"/>
    <w:rsid w:val="00631663"/>
    <w:rsid w:val="00647436"/>
    <w:rsid w:val="00650C24"/>
    <w:rsid w:val="006608C1"/>
    <w:rsid w:val="0066643F"/>
    <w:rsid w:val="00674E1D"/>
    <w:rsid w:val="0068298B"/>
    <w:rsid w:val="006830C3"/>
    <w:rsid w:val="00694E55"/>
    <w:rsid w:val="006A31D6"/>
    <w:rsid w:val="006A5062"/>
    <w:rsid w:val="006D0873"/>
    <w:rsid w:val="006D2F6B"/>
    <w:rsid w:val="006E5752"/>
    <w:rsid w:val="006F3FAF"/>
    <w:rsid w:val="007053C7"/>
    <w:rsid w:val="007108E8"/>
    <w:rsid w:val="007347A7"/>
    <w:rsid w:val="007375B4"/>
    <w:rsid w:val="007401AB"/>
    <w:rsid w:val="00752084"/>
    <w:rsid w:val="00752390"/>
    <w:rsid w:val="007B0189"/>
    <w:rsid w:val="007B24C1"/>
    <w:rsid w:val="007C3420"/>
    <w:rsid w:val="007C7EFE"/>
    <w:rsid w:val="007D227E"/>
    <w:rsid w:val="007D407C"/>
    <w:rsid w:val="008207CC"/>
    <w:rsid w:val="00822F28"/>
    <w:rsid w:val="008233E6"/>
    <w:rsid w:val="008300DD"/>
    <w:rsid w:val="0083135E"/>
    <w:rsid w:val="00837137"/>
    <w:rsid w:val="00846E51"/>
    <w:rsid w:val="008607DB"/>
    <w:rsid w:val="008679D5"/>
    <w:rsid w:val="00880148"/>
    <w:rsid w:val="0088488A"/>
    <w:rsid w:val="00885480"/>
    <w:rsid w:val="00896B58"/>
    <w:rsid w:val="008A01DA"/>
    <w:rsid w:val="008D6D32"/>
    <w:rsid w:val="009130AF"/>
    <w:rsid w:val="00915ADE"/>
    <w:rsid w:val="00915E5C"/>
    <w:rsid w:val="0093040B"/>
    <w:rsid w:val="009325C0"/>
    <w:rsid w:val="00932E67"/>
    <w:rsid w:val="00937D6F"/>
    <w:rsid w:val="00987345"/>
    <w:rsid w:val="009948E7"/>
    <w:rsid w:val="009973CB"/>
    <w:rsid w:val="00997CD0"/>
    <w:rsid w:val="009A5F16"/>
    <w:rsid w:val="009A7DB7"/>
    <w:rsid w:val="009B17E5"/>
    <w:rsid w:val="009B454E"/>
    <w:rsid w:val="009B7107"/>
    <w:rsid w:val="009E2D26"/>
    <w:rsid w:val="00A1059D"/>
    <w:rsid w:val="00A112C4"/>
    <w:rsid w:val="00A113A0"/>
    <w:rsid w:val="00A1525D"/>
    <w:rsid w:val="00A2708B"/>
    <w:rsid w:val="00A422A6"/>
    <w:rsid w:val="00A44A4F"/>
    <w:rsid w:val="00A779BC"/>
    <w:rsid w:val="00A857B0"/>
    <w:rsid w:val="00A967A3"/>
    <w:rsid w:val="00AA1558"/>
    <w:rsid w:val="00AB1F8D"/>
    <w:rsid w:val="00AB3505"/>
    <w:rsid w:val="00AD2449"/>
    <w:rsid w:val="00AD7D38"/>
    <w:rsid w:val="00AE1CAD"/>
    <w:rsid w:val="00AE2FBD"/>
    <w:rsid w:val="00AE3C70"/>
    <w:rsid w:val="00B06296"/>
    <w:rsid w:val="00B10319"/>
    <w:rsid w:val="00B36A72"/>
    <w:rsid w:val="00B36AF4"/>
    <w:rsid w:val="00B40B99"/>
    <w:rsid w:val="00B41802"/>
    <w:rsid w:val="00B53B59"/>
    <w:rsid w:val="00B734D8"/>
    <w:rsid w:val="00B807A6"/>
    <w:rsid w:val="00B847A7"/>
    <w:rsid w:val="00BA0DA0"/>
    <w:rsid w:val="00BF73E8"/>
    <w:rsid w:val="00BF7E09"/>
    <w:rsid w:val="00C0648C"/>
    <w:rsid w:val="00C06492"/>
    <w:rsid w:val="00C0737B"/>
    <w:rsid w:val="00C36B48"/>
    <w:rsid w:val="00C455DA"/>
    <w:rsid w:val="00C63CC4"/>
    <w:rsid w:val="00C75B43"/>
    <w:rsid w:val="00C77B0A"/>
    <w:rsid w:val="00C91C8E"/>
    <w:rsid w:val="00CA0BAD"/>
    <w:rsid w:val="00CA13D7"/>
    <w:rsid w:val="00CA26FB"/>
    <w:rsid w:val="00CA70E4"/>
    <w:rsid w:val="00CB65DE"/>
    <w:rsid w:val="00CB7044"/>
    <w:rsid w:val="00CD32EB"/>
    <w:rsid w:val="00CF3F40"/>
    <w:rsid w:val="00CF5B94"/>
    <w:rsid w:val="00CF777C"/>
    <w:rsid w:val="00D03B0C"/>
    <w:rsid w:val="00D21886"/>
    <w:rsid w:val="00D37620"/>
    <w:rsid w:val="00D56F59"/>
    <w:rsid w:val="00D63BF0"/>
    <w:rsid w:val="00D66148"/>
    <w:rsid w:val="00D6726C"/>
    <w:rsid w:val="00D72B48"/>
    <w:rsid w:val="00D731BD"/>
    <w:rsid w:val="00D74CC0"/>
    <w:rsid w:val="00DA09ED"/>
    <w:rsid w:val="00DA4480"/>
    <w:rsid w:val="00DB037A"/>
    <w:rsid w:val="00DB1560"/>
    <w:rsid w:val="00DE33E2"/>
    <w:rsid w:val="00DE43E6"/>
    <w:rsid w:val="00DE75EB"/>
    <w:rsid w:val="00DF0245"/>
    <w:rsid w:val="00DF4BA5"/>
    <w:rsid w:val="00DF695B"/>
    <w:rsid w:val="00E061B8"/>
    <w:rsid w:val="00E14A54"/>
    <w:rsid w:val="00E22F0C"/>
    <w:rsid w:val="00E43061"/>
    <w:rsid w:val="00E434FA"/>
    <w:rsid w:val="00E53F0F"/>
    <w:rsid w:val="00E541C0"/>
    <w:rsid w:val="00E62D0F"/>
    <w:rsid w:val="00E708BD"/>
    <w:rsid w:val="00E7479A"/>
    <w:rsid w:val="00E83727"/>
    <w:rsid w:val="00E92E8C"/>
    <w:rsid w:val="00EA1B8A"/>
    <w:rsid w:val="00EB70CE"/>
    <w:rsid w:val="00ED64FB"/>
    <w:rsid w:val="00EF2574"/>
    <w:rsid w:val="00EF2B40"/>
    <w:rsid w:val="00EF62D5"/>
    <w:rsid w:val="00F05C79"/>
    <w:rsid w:val="00F1552C"/>
    <w:rsid w:val="00F348FB"/>
    <w:rsid w:val="00F405A4"/>
    <w:rsid w:val="00F536D7"/>
    <w:rsid w:val="00F54887"/>
    <w:rsid w:val="00F55D6A"/>
    <w:rsid w:val="00F87A19"/>
    <w:rsid w:val="00F97FC1"/>
    <w:rsid w:val="00FA5E48"/>
    <w:rsid w:val="00FA6811"/>
    <w:rsid w:val="00FA6A61"/>
    <w:rsid w:val="00FB31F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88488A"/>
    <w:pPr>
      <w:numPr>
        <w:numId w:val="3"/>
      </w:numPr>
      <w:ind w:left="357" w:hanging="357"/>
    </w:pPr>
  </w:style>
  <w:style w:type="paragraph" w:customStyle="1" w:styleId="DotPointLVL1">
    <w:name w:val="Dot Point LVL1"/>
    <w:basedOn w:val="Normal"/>
    <w:qFormat/>
    <w:rsid w:val="00BA0DA0"/>
    <w:pPr>
      <w:ind w:left="720" w:hanging="360"/>
      <w:contextualSpacing/>
    </w:pPr>
  </w:style>
  <w:style w:type="paragraph" w:customStyle="1" w:styleId="DotPointLVL2">
    <w:name w:val="Dot Point LVL2"/>
    <w:basedOn w:val="Normal"/>
    <w:qFormat/>
    <w:rsid w:val="00BA0DA0"/>
    <w:pPr>
      <w:ind w:left="714" w:hanging="357"/>
      <w:contextualSpacing/>
    </w:pPr>
    <w:rPr>
      <w:rFonts w:ascii="Calibri" w:eastAsia="Calibri" w:hAnsi="Calibri" w:cs="Calibri"/>
      <w:i/>
      <w:lang w:eastAsia="en-AU" w:bidi="en-AU"/>
    </w:rPr>
  </w:style>
  <w:style w:type="paragraph" w:customStyle="1" w:styleId="TableBodyLeft">
    <w:name w:val="TableBodyLeft"/>
    <w:uiPriority w:val="99"/>
    <w:rsid w:val="00BA0DA0"/>
    <w:rPr>
      <w:rFonts w:eastAsia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8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68298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table" w:styleId="GridTable1Light-Accent1">
    <w:name w:val="Grid Table 1 Light Accent 1"/>
    <w:basedOn w:val="TableNormal"/>
    <w:uiPriority w:val="46"/>
    <w:rsid w:val="009948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F1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A4D99"/>
    <w:rsid w:val="008B6DE0"/>
    <w:rsid w:val="008F4B21"/>
    <w:rsid w:val="00AF08D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16C0-E6AB-40D7-BC0D-6239332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Turner, Rebecca</cp:lastModifiedBy>
  <cp:revision>6</cp:revision>
  <cp:lastPrinted>2020-11-24T03:40:00Z</cp:lastPrinted>
  <dcterms:created xsi:type="dcterms:W3CDTF">2022-02-10T23:11:00Z</dcterms:created>
  <dcterms:modified xsi:type="dcterms:W3CDTF">2022-03-03T00:30:00Z</dcterms:modified>
</cp:coreProperties>
</file>