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:rsidR="00BA52B3" w:rsidRPr="0029006B" w:rsidRDefault="00296334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Torrens Primary School</w:t>
          </w:r>
        </w:p>
      </w:sdtContent>
    </w:sdt>
    <w:p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296334">
            <w:t>South Canberra/ Weston</w:t>
          </w:r>
        </w:sdtContent>
      </w:sdt>
    </w:p>
    <w:p w:rsidR="00BA52B3" w:rsidRDefault="002A177D" w:rsidP="000A207B">
      <w:pPr>
        <w:pStyle w:val="Title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296334">
        <w:t>19</w:t>
      </w:r>
    </w:p>
    <w:p w:rsidR="00460F6D" w:rsidRPr="00E140FA" w:rsidRDefault="00460F6D" w:rsidP="00BC589B">
      <w:pPr>
        <w:pStyle w:val="Heading1"/>
      </w:pPr>
      <w:r w:rsidRPr="00E140FA">
        <w:t>The purpose of this document</w:t>
      </w:r>
    </w:p>
    <w:p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:rsidR="000C1B4B" w:rsidRDefault="000C1B4B" w:rsidP="000A207B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:rsidR="000C1B4B" w:rsidRDefault="003C346B" w:rsidP="000A207B">
      <w:pPr>
        <w:pStyle w:val="DotPointLVL1"/>
      </w:pPr>
      <w:r>
        <w:t xml:space="preserve">our </w:t>
      </w:r>
      <w:r w:rsidR="000C1B4B">
        <w:t>priorit</w:t>
      </w:r>
      <w:r w:rsidR="00131A59">
        <w:t>y</w:t>
      </w:r>
      <w:r w:rsidR="000C1B4B">
        <w:t>, as informed by the Directorate</w:t>
      </w:r>
      <w:r w:rsidR="00A214B7">
        <w:t>’</w:t>
      </w:r>
      <w:r w:rsidR="000C1B4B">
        <w:t xml:space="preserve">s Strategic Indicators, School Review findings and analysis of multiple sources of </w:t>
      </w:r>
      <w:r w:rsidR="00217CF8">
        <w:t>evidence</w:t>
      </w:r>
      <w:r w:rsidR="0080461F">
        <w:t xml:space="preserve"> </w:t>
      </w:r>
      <w:r w:rsidR="00131A59">
        <w:t>is</w:t>
      </w:r>
      <w:r w:rsidR="0080461F">
        <w:t>:</w:t>
      </w:r>
    </w:p>
    <w:p w:rsidR="000C1B4B" w:rsidRPr="000A207B" w:rsidRDefault="00131A59" w:rsidP="000A207B">
      <w:pPr>
        <w:pStyle w:val="DotPointLVL2"/>
        <w:rPr>
          <w:i w:val="0"/>
        </w:rPr>
      </w:pPr>
      <w:r>
        <w:rPr>
          <w:i w:val="0"/>
        </w:rPr>
        <w:t>to improve growth in writing</w:t>
      </w:r>
    </w:p>
    <w:p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F129F8">
        <w:t>five-year</w:t>
      </w:r>
      <w:r w:rsidR="000C1B4B">
        <w:t xml:space="preserve"> school improvement cycle, continuing the emphasis on:</w:t>
      </w:r>
    </w:p>
    <w:p w:rsidR="000C1B4B" w:rsidRDefault="000C1B4B" w:rsidP="000A207B">
      <w:pPr>
        <w:pStyle w:val="DotPointLVL1"/>
      </w:pPr>
      <w:r>
        <w:t>improving student outcomes</w:t>
      </w:r>
    </w:p>
    <w:p w:rsidR="000C1B4B" w:rsidRDefault="000C1B4B" w:rsidP="000A207B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:rsidR="000C1B4B" w:rsidRDefault="000C1B4B" w:rsidP="000A207B">
      <w:pPr>
        <w:pStyle w:val="DotPointLVL1"/>
      </w:pPr>
      <w:r>
        <w:t>monitoring and inquiry to inform daily teaching</w:t>
      </w:r>
    </w:p>
    <w:p w:rsidR="00AF3B67" w:rsidRDefault="00AF3B67" w:rsidP="000A207B">
      <w:pPr>
        <w:pStyle w:val="DotPointLVL1"/>
      </w:pPr>
      <w:r>
        <w:t xml:space="preserve">identification and mitigation of risks to the delivery of our five-year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:rsidR="00757C87" w:rsidRPr="002728BA" w:rsidRDefault="00757C87" w:rsidP="00BC589B">
      <w:pPr>
        <w:pStyle w:val="Heading1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:rsidR="00F22811" w:rsidRPr="00C674C3" w:rsidRDefault="0006248D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</w:pP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January stand down PL</w:t>
      </w:r>
      <w:r w:rsidR="00DE5CAE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on </w:t>
      </w:r>
      <w:r w:rsidR="00DE5CAE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Professional Learning Communities</w:t>
      </w:r>
      <w:r w:rsidR="00DE5CAE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– TQI accredited 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(</w:t>
      </w:r>
      <w:r w:rsidR="00DE5CAE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Solution Tree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)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.</w:t>
      </w:r>
    </w:p>
    <w:p w:rsidR="00C674C3" w:rsidRPr="00C674C3" w:rsidRDefault="00DE5CAE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</w:pP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Team PLCs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,</w:t>
      </w: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guided by exec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, 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using </w:t>
      </w:r>
      <w:r w:rsid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Helen 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Timperley’s </w:t>
      </w:r>
      <w:r w:rsidR="00C674C3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Spiral of Inquiry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to improve writing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.</w:t>
      </w:r>
    </w:p>
    <w:p w:rsidR="00DE5CAE" w:rsidRPr="00C674C3" w:rsidRDefault="00DE5CAE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</w:pP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Staff meeting schedule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revised to allow for PLC sharing about writing every 3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  <w:vertAlign w:val="superscript"/>
        </w:rPr>
        <w:t>rd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meeting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as well as time for the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Curriculum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,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Data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and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Pedagogy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Committees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to meet.  Each week 10 meeting is a reflection and celebration on our goal “improve growth in writing”.</w:t>
      </w:r>
    </w:p>
    <w:p w:rsidR="00DE5CAE" w:rsidRPr="00C674C3" w:rsidRDefault="0032584D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</w:pPr>
      <w:r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All About Writers</w:t>
      </w: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(</w:t>
      </w:r>
      <w:r w:rsidR="00DE5CAE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Catherine Nash</w:t>
      </w: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)</w:t>
      </w:r>
      <w:r w:rsidR="00DE5CAE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leading TQI accredited workshops on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The Qualities of Great Writing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and </w:t>
      </w:r>
      <w:r w:rsidR="00917C5C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The Essential Elements of the Writers Workshop</w:t>
      </w:r>
      <w:r w:rsidR="00917C5C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.  Catherine is working in with all PLCs 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during 2019 guiding them in planning, modelling lessons and improving teacher practice.</w:t>
      </w:r>
    </w:p>
    <w:p w:rsidR="00DE5CAE" w:rsidRPr="00C674C3" w:rsidRDefault="00DE5CAE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</w:pP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lastRenderedPageBreak/>
        <w:t xml:space="preserve">Unite </w:t>
      </w:r>
      <w:r w:rsidR="0032584D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Early Years Literacy Initiative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(Christine </w:t>
      </w:r>
      <w:proofErr w:type="spellStart"/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Topfer</w:t>
      </w:r>
      <w:proofErr w:type="spellEnd"/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) with</w:t>
      </w: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</w:t>
      </w:r>
      <w:r w:rsidR="0032584D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T</w:t>
      </w:r>
      <w:r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 xml:space="preserve">he Writing </w:t>
      </w:r>
      <w:r w:rsidR="0032584D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P</w:t>
      </w:r>
      <w:r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roject</w:t>
      </w:r>
      <w:r w:rsidR="0032584D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(Jo Padgham)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.</w:t>
      </w:r>
    </w:p>
    <w:p w:rsidR="005A7B0D" w:rsidRPr="00C674C3" w:rsidRDefault="00DE5CAE" w:rsidP="00C674C3">
      <w:pPr>
        <w:pStyle w:val="ListParagraph"/>
        <w:numPr>
          <w:ilvl w:val="0"/>
          <w:numId w:val="25"/>
        </w:numPr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sectPr w:rsidR="005A7B0D" w:rsidRPr="00C674C3" w:rsidSect="00F228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3 Coaches </w:t>
      </w:r>
      <w:proofErr w:type="spellStart"/>
      <w:r w:rsidR="004D6F6F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offlined</w:t>
      </w:r>
      <w:proofErr w:type="spellEnd"/>
      <w:r w:rsidR="004D6F6F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 </w:t>
      </w:r>
      <w:bookmarkStart w:id="1" w:name="_GoBack"/>
      <w:bookmarkEnd w:id="1"/>
      <w:r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to improve writing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 xml:space="preserve">, who are all active participants in the </w:t>
      </w:r>
      <w:r w:rsidR="0032584D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 xml:space="preserve">2019 Primary Leader </w:t>
      </w:r>
      <w:r w:rsidR="005A7B0D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 xml:space="preserve">Writing </w:t>
      </w:r>
      <w:r w:rsidR="00C674C3" w:rsidRPr="00C674C3">
        <w:rPr>
          <w:rFonts w:ascii="Arial" w:eastAsiaTheme="majorEastAsia" w:hAnsi="Arial" w:cs="Arial"/>
          <w:i/>
          <w:color w:val="1F4E79" w:themeColor="accent1" w:themeShade="80"/>
          <w:sz w:val="28"/>
          <w:szCs w:val="32"/>
        </w:rPr>
        <w:t>Inquiry</w:t>
      </w:r>
      <w:r w:rsidR="00C674C3" w:rsidRPr="00C674C3"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t>, along with the Deputy Principal and Principal.</w:t>
      </w:r>
    </w:p>
    <w:p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:rsidR="000F0410" w:rsidRPr="000F0410" w:rsidRDefault="000F0410" w:rsidP="000F0410">
      <w:pPr>
        <w:pStyle w:val="Heading2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DE5CAE">
        <w:rPr>
          <w:color w:val="auto"/>
        </w:rPr>
        <w:t>Improve growth in writing</w:t>
      </w:r>
    </w:p>
    <w:p w:rsidR="000C1B4B" w:rsidRDefault="00882120" w:rsidP="00BC589B">
      <w:pPr>
        <w:pStyle w:val="Heading3"/>
      </w:pPr>
      <w:r>
        <w:t>Strategies</w:t>
      </w:r>
    </w:p>
    <w:p w:rsidR="005B5C27" w:rsidRDefault="005B5C27" w:rsidP="005B5C27">
      <w:pPr>
        <w:pStyle w:val="NumberedList"/>
      </w:pPr>
      <w:r w:rsidRPr="00000E59">
        <w:t>Explore writing successful practice</w:t>
      </w:r>
      <w:r>
        <w:t xml:space="preserve"> </w:t>
      </w:r>
    </w:p>
    <w:p w:rsidR="005B5C27" w:rsidRDefault="005B5C27" w:rsidP="005B5C27">
      <w:pPr>
        <w:pStyle w:val="NumberedList"/>
      </w:pPr>
      <w:r>
        <w:t>Establish a Writing plan</w:t>
      </w:r>
    </w:p>
    <w:p w:rsidR="005B5C27" w:rsidRPr="00000E59" w:rsidRDefault="005B5C27" w:rsidP="005B5C27">
      <w:pPr>
        <w:pStyle w:val="NumberedList"/>
      </w:pPr>
      <w:r>
        <w:t>Enact aspects of writing plan through PLCs</w:t>
      </w:r>
    </w:p>
    <w:p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47385D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:rsidR="0047385D" w:rsidRPr="00882120" w:rsidRDefault="0047385D" w:rsidP="001904EF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:rsidR="0047385D" w:rsidRPr="00882120" w:rsidRDefault="0047385D" w:rsidP="001904EF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:rsidR="0047385D" w:rsidRPr="00247B71" w:rsidRDefault="0047385D" w:rsidP="001904EF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:rsidR="0047385D" w:rsidRPr="002E73E5" w:rsidRDefault="0047385D" w:rsidP="001904EF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94DF6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194DF6" w:rsidRDefault="00194DF6" w:rsidP="009371B7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3D30FD">
              <w:rPr>
                <w:color w:val="000000" w:themeColor="text1"/>
              </w:rPr>
              <w:t>Establish effective PLCs</w:t>
            </w:r>
          </w:p>
        </w:tc>
      </w:tr>
      <w:tr w:rsidR="00194DF6" w:rsidTr="00162782">
        <w:trPr>
          <w:jc w:val="center"/>
        </w:trPr>
        <w:tc>
          <w:tcPr>
            <w:tcW w:w="3524" w:type="dxa"/>
            <w:shd w:val="clear" w:color="auto" w:fill="auto"/>
          </w:tcPr>
          <w:p w:rsidR="005A7B0D" w:rsidRDefault="003D30FD" w:rsidP="00E814BD">
            <w:pPr>
              <w:pStyle w:val="TableBodyLeft"/>
              <w:numPr>
                <w:ilvl w:val="0"/>
                <w:numId w:val="24"/>
              </w:numPr>
            </w:pPr>
            <w:r>
              <w:t xml:space="preserve">Stand down TQI </w:t>
            </w:r>
            <w:r w:rsidR="0067050A">
              <w:t xml:space="preserve">accredited </w:t>
            </w:r>
            <w:r>
              <w:t>professional learning on PLCs with Solution Tree Australia</w:t>
            </w:r>
          </w:p>
          <w:p w:rsidR="0067050A" w:rsidRPr="000F0410" w:rsidRDefault="0067050A" w:rsidP="00E814BD">
            <w:pPr>
              <w:pStyle w:val="TableBodyLeft"/>
              <w:numPr>
                <w:ilvl w:val="0"/>
                <w:numId w:val="24"/>
              </w:numPr>
            </w:pPr>
            <w:r>
              <w:t>Each PLC is guided by a member of the leadership team</w:t>
            </w:r>
          </w:p>
        </w:tc>
        <w:tc>
          <w:tcPr>
            <w:tcW w:w="3524" w:type="dxa"/>
            <w:shd w:val="clear" w:color="auto" w:fill="auto"/>
          </w:tcPr>
          <w:p w:rsidR="00194DF6" w:rsidRPr="000F0410" w:rsidRDefault="005B5C27" w:rsidP="000F0410">
            <w:pPr>
              <w:pStyle w:val="TableBodyLeft"/>
            </w:pPr>
            <w:r>
              <w:t>Deputy Principal</w:t>
            </w:r>
          </w:p>
        </w:tc>
        <w:tc>
          <w:tcPr>
            <w:tcW w:w="3524" w:type="dxa"/>
            <w:shd w:val="clear" w:color="auto" w:fill="auto"/>
          </w:tcPr>
          <w:p w:rsidR="00194DF6" w:rsidRPr="000F0410" w:rsidRDefault="005B5C27" w:rsidP="000F0410">
            <w:pPr>
              <w:pStyle w:val="TableBodyLeft"/>
            </w:pPr>
            <w:r>
              <w:t>Writing Plan</w:t>
            </w:r>
          </w:p>
        </w:tc>
        <w:tc>
          <w:tcPr>
            <w:tcW w:w="3524" w:type="dxa"/>
            <w:shd w:val="clear" w:color="auto" w:fill="auto"/>
          </w:tcPr>
          <w:p w:rsidR="00194DF6" w:rsidRPr="000F0410" w:rsidRDefault="00E814BD" w:rsidP="000F0410">
            <w:pPr>
              <w:pStyle w:val="TableBodyLeft"/>
            </w:pPr>
            <w:r>
              <w:t>Staff will use Timperley’s Spiral of Inquiry in PLCs.  Each student’s writing will improve.</w:t>
            </w:r>
          </w:p>
        </w:tc>
      </w:tr>
      <w:tr w:rsidR="003D30FD" w:rsidTr="00064204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3D30FD" w:rsidRDefault="003D30FD" w:rsidP="00064204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Target professional learning to PLCs</w:t>
            </w:r>
          </w:p>
        </w:tc>
      </w:tr>
      <w:tr w:rsidR="003D30FD" w:rsidTr="00064204">
        <w:trPr>
          <w:jc w:val="center"/>
        </w:trPr>
        <w:tc>
          <w:tcPr>
            <w:tcW w:w="3524" w:type="dxa"/>
            <w:shd w:val="clear" w:color="auto" w:fill="auto"/>
          </w:tcPr>
          <w:p w:rsidR="003D30FD" w:rsidRDefault="003D30FD" w:rsidP="00064204">
            <w:pPr>
              <w:pStyle w:val="TableBodyLeft"/>
              <w:numPr>
                <w:ilvl w:val="0"/>
                <w:numId w:val="24"/>
              </w:numPr>
            </w:pPr>
            <w:r>
              <w:t>Engage Catherine Nash as a writing consultant to work within PLCs</w:t>
            </w:r>
          </w:p>
          <w:p w:rsidR="003D30FD" w:rsidRDefault="003D30FD" w:rsidP="00064204">
            <w:pPr>
              <w:pStyle w:val="TableBodyLeft"/>
              <w:numPr>
                <w:ilvl w:val="0"/>
                <w:numId w:val="24"/>
              </w:numPr>
            </w:pPr>
            <w:r>
              <w:t xml:space="preserve">Increase staff knowledge through 2 TQI accredited workshops </w:t>
            </w:r>
            <w:r w:rsidRPr="005A7B0D">
              <w:rPr>
                <w:i/>
              </w:rPr>
              <w:t>The Qualities of Great Writing</w:t>
            </w:r>
            <w:r>
              <w:t xml:space="preserve"> and </w:t>
            </w:r>
            <w:r w:rsidRPr="005A7B0D">
              <w:rPr>
                <w:i/>
              </w:rPr>
              <w:t xml:space="preserve">The </w:t>
            </w:r>
            <w:r w:rsidRPr="005A7B0D">
              <w:rPr>
                <w:i/>
              </w:rPr>
              <w:lastRenderedPageBreak/>
              <w:t>Essential Elements of the Writers Workshop</w:t>
            </w:r>
          </w:p>
          <w:p w:rsidR="003D30FD" w:rsidRPr="000F0410" w:rsidRDefault="003D30FD" w:rsidP="00064204">
            <w:pPr>
              <w:pStyle w:val="TableBodyLeft"/>
              <w:numPr>
                <w:ilvl w:val="0"/>
                <w:numId w:val="24"/>
              </w:numPr>
            </w:pPr>
            <w:r>
              <w:t>Complete</w:t>
            </w:r>
            <w:r w:rsidR="00560C06">
              <w:t xml:space="preserve"> </w:t>
            </w:r>
            <w:r w:rsidR="00560C06" w:rsidRPr="00560C06">
              <w:rPr>
                <w:i/>
              </w:rPr>
              <w:t>Early Years Literacy Initiative</w:t>
            </w:r>
            <w:r>
              <w:t xml:space="preserve"> with Christine </w:t>
            </w:r>
            <w:proofErr w:type="spellStart"/>
            <w:r>
              <w:t>Topfer</w:t>
            </w:r>
            <w:proofErr w:type="spellEnd"/>
          </w:p>
        </w:tc>
        <w:tc>
          <w:tcPr>
            <w:tcW w:w="3524" w:type="dxa"/>
            <w:shd w:val="clear" w:color="auto" w:fill="auto"/>
          </w:tcPr>
          <w:p w:rsidR="003D30FD" w:rsidRPr="000F0410" w:rsidRDefault="003D30FD" w:rsidP="00064204">
            <w:pPr>
              <w:pStyle w:val="TableBodyLeft"/>
            </w:pPr>
            <w:r>
              <w:lastRenderedPageBreak/>
              <w:t>Deputy Principal</w:t>
            </w:r>
          </w:p>
        </w:tc>
        <w:tc>
          <w:tcPr>
            <w:tcW w:w="3524" w:type="dxa"/>
            <w:shd w:val="clear" w:color="auto" w:fill="auto"/>
          </w:tcPr>
          <w:p w:rsidR="003D30FD" w:rsidRPr="000F0410" w:rsidRDefault="003D30FD" w:rsidP="00064204">
            <w:pPr>
              <w:pStyle w:val="TableBodyLeft"/>
            </w:pPr>
            <w:r>
              <w:t xml:space="preserve">Writing Plan </w:t>
            </w:r>
          </w:p>
        </w:tc>
        <w:tc>
          <w:tcPr>
            <w:tcW w:w="3524" w:type="dxa"/>
            <w:shd w:val="clear" w:color="auto" w:fill="auto"/>
          </w:tcPr>
          <w:p w:rsidR="003D30FD" w:rsidRPr="000F0410" w:rsidRDefault="00F279D4" w:rsidP="00064204">
            <w:pPr>
              <w:pStyle w:val="TableBodyLeft"/>
            </w:pPr>
            <w:r>
              <w:t>Students will write every day.  Each student’s writing will improve.</w:t>
            </w:r>
          </w:p>
        </w:tc>
      </w:tr>
      <w:tr w:rsidR="003D30FD" w:rsidTr="00064204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:rsidR="003D30FD" w:rsidRDefault="003D30FD" w:rsidP="00064204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Implement coaching model</w:t>
            </w:r>
          </w:p>
        </w:tc>
      </w:tr>
      <w:tr w:rsidR="003D30FD" w:rsidTr="00064204">
        <w:trPr>
          <w:jc w:val="center"/>
        </w:trPr>
        <w:tc>
          <w:tcPr>
            <w:tcW w:w="3524" w:type="dxa"/>
            <w:shd w:val="clear" w:color="auto" w:fill="auto"/>
          </w:tcPr>
          <w:p w:rsidR="003D30FD" w:rsidRDefault="003D30FD" w:rsidP="00064204">
            <w:pPr>
              <w:pStyle w:val="TableBodyLeft"/>
              <w:numPr>
                <w:ilvl w:val="0"/>
                <w:numId w:val="24"/>
              </w:numPr>
            </w:pPr>
            <w:r>
              <w:t>Budget for SLCs to be offline to coach</w:t>
            </w:r>
          </w:p>
          <w:p w:rsidR="003D30FD" w:rsidRDefault="003D30FD" w:rsidP="00F279D4">
            <w:pPr>
              <w:pStyle w:val="TableBodyLeft"/>
              <w:numPr>
                <w:ilvl w:val="0"/>
                <w:numId w:val="24"/>
              </w:numPr>
            </w:pPr>
            <w:r>
              <w:t>Budget for a third part-time literacy coach</w:t>
            </w:r>
          </w:p>
          <w:p w:rsidR="00560C06" w:rsidRPr="000F0410" w:rsidRDefault="00560C06" w:rsidP="00F279D4">
            <w:pPr>
              <w:pStyle w:val="TableBodyLeft"/>
              <w:numPr>
                <w:ilvl w:val="0"/>
                <w:numId w:val="24"/>
              </w:numPr>
            </w:pPr>
            <w:r>
              <w:t xml:space="preserve">Coaches active participants in the </w:t>
            </w:r>
            <w:r w:rsidRPr="00560C06">
              <w:rPr>
                <w:i/>
              </w:rPr>
              <w:t>2019 Primary Leader Writing Inquiry</w:t>
            </w:r>
          </w:p>
        </w:tc>
        <w:tc>
          <w:tcPr>
            <w:tcW w:w="3524" w:type="dxa"/>
            <w:shd w:val="clear" w:color="auto" w:fill="auto"/>
          </w:tcPr>
          <w:p w:rsidR="003D30FD" w:rsidRPr="000F0410" w:rsidRDefault="003D30FD" w:rsidP="00064204">
            <w:pPr>
              <w:pStyle w:val="TableBodyLeft"/>
            </w:pPr>
            <w:r>
              <w:t>Deputy Principal</w:t>
            </w:r>
          </w:p>
        </w:tc>
        <w:tc>
          <w:tcPr>
            <w:tcW w:w="3524" w:type="dxa"/>
            <w:shd w:val="clear" w:color="auto" w:fill="auto"/>
          </w:tcPr>
          <w:p w:rsidR="003D30FD" w:rsidRPr="000F0410" w:rsidRDefault="00F279D4" w:rsidP="00064204">
            <w:pPr>
              <w:pStyle w:val="TableBodyLeft"/>
            </w:pPr>
            <w:r>
              <w:t>Classroom teacher literacy planning</w:t>
            </w:r>
          </w:p>
        </w:tc>
        <w:tc>
          <w:tcPr>
            <w:tcW w:w="3524" w:type="dxa"/>
            <w:shd w:val="clear" w:color="auto" w:fill="auto"/>
          </w:tcPr>
          <w:p w:rsidR="003D30FD" w:rsidRPr="000F0410" w:rsidRDefault="00F279D4" w:rsidP="00064204">
            <w:pPr>
              <w:pStyle w:val="TableBodyLeft"/>
            </w:pPr>
            <w:r>
              <w:t xml:space="preserve">Teachers will reflect on lessons which will inform next lesson.  Feedback will be effective.  Each </w:t>
            </w:r>
            <w:r w:rsidR="00BF2071">
              <w:t>student will know where they are at with writing and what they need to do to improve.</w:t>
            </w:r>
          </w:p>
        </w:tc>
      </w:tr>
    </w:tbl>
    <w:p w:rsidR="008E63DF" w:rsidRPr="00574285" w:rsidRDefault="008E63DF" w:rsidP="007E47ED">
      <w:pPr>
        <w:pStyle w:val="BodyText"/>
      </w:pPr>
    </w:p>
    <w:sectPr w:rsidR="008E63DF" w:rsidRPr="00574285" w:rsidSect="004C0FD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4F" w:rsidRDefault="009371B7">
      <w:pPr>
        <w:spacing w:after="0" w:line="240" w:lineRule="auto"/>
      </w:pPr>
      <w:r>
        <w:separator/>
      </w:r>
    </w:p>
  </w:endnote>
  <w:endnote w:type="continuationSeparator" w:id="0">
    <w:p w:rsidR="00162D4F" w:rsidRDefault="0093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32584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Monday, 25 February 2019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4F" w:rsidRDefault="009371B7">
      <w:pPr>
        <w:spacing w:after="0" w:line="240" w:lineRule="auto"/>
      </w:pPr>
      <w:r>
        <w:separator/>
      </w:r>
    </w:p>
  </w:footnote>
  <w:footnote w:type="continuationSeparator" w:id="0">
    <w:p w:rsidR="00162D4F" w:rsidRDefault="0093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23" w:rsidRDefault="002122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CF0"/>
    <w:multiLevelType w:val="hybridMultilevel"/>
    <w:tmpl w:val="2D1E56AA"/>
    <w:lvl w:ilvl="0" w:tplc="0A4EAE10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81"/>
    <w:multiLevelType w:val="hybridMultilevel"/>
    <w:tmpl w:val="7C30AD2A"/>
    <w:lvl w:ilvl="0" w:tplc="F238DC50">
      <w:numFmt w:val="bullet"/>
      <w:lvlText w:val="-"/>
      <w:lvlJc w:val="left"/>
      <w:pPr>
        <w:ind w:left="4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5120962"/>
    <w:multiLevelType w:val="hybridMultilevel"/>
    <w:tmpl w:val="5188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345A8"/>
    <w:multiLevelType w:val="hybridMultilevel"/>
    <w:tmpl w:val="1E342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9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  <w:num w:numId="19">
    <w:abstractNumId w:val="0"/>
  </w:num>
  <w:num w:numId="20">
    <w:abstractNumId w:val="22"/>
  </w:num>
  <w:num w:numId="21">
    <w:abstractNumId w:val="6"/>
  </w:num>
  <w:num w:numId="22">
    <w:abstractNumId w:val="6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365E8"/>
    <w:rsid w:val="00054BEB"/>
    <w:rsid w:val="0006248D"/>
    <w:rsid w:val="000747CE"/>
    <w:rsid w:val="000976F3"/>
    <w:rsid w:val="000A207B"/>
    <w:rsid w:val="000C1B4B"/>
    <w:rsid w:val="000F0410"/>
    <w:rsid w:val="001114A9"/>
    <w:rsid w:val="00111DEF"/>
    <w:rsid w:val="00131A59"/>
    <w:rsid w:val="00141602"/>
    <w:rsid w:val="00152E6A"/>
    <w:rsid w:val="00155F05"/>
    <w:rsid w:val="00162782"/>
    <w:rsid w:val="00162D4F"/>
    <w:rsid w:val="00167147"/>
    <w:rsid w:val="00176EC3"/>
    <w:rsid w:val="00194DF6"/>
    <w:rsid w:val="001F66F7"/>
    <w:rsid w:val="00202220"/>
    <w:rsid w:val="00212223"/>
    <w:rsid w:val="00217CF8"/>
    <w:rsid w:val="00235B19"/>
    <w:rsid w:val="0024064C"/>
    <w:rsid w:val="0029006B"/>
    <w:rsid w:val="00296334"/>
    <w:rsid w:val="002A177D"/>
    <w:rsid w:val="002D23A5"/>
    <w:rsid w:val="00316F41"/>
    <w:rsid w:val="0032584D"/>
    <w:rsid w:val="00360329"/>
    <w:rsid w:val="00366E12"/>
    <w:rsid w:val="00381B03"/>
    <w:rsid w:val="003C0EEB"/>
    <w:rsid w:val="003C346B"/>
    <w:rsid w:val="003D30FD"/>
    <w:rsid w:val="003D70FC"/>
    <w:rsid w:val="003E745B"/>
    <w:rsid w:val="00430D77"/>
    <w:rsid w:val="00460F6D"/>
    <w:rsid w:val="0047385D"/>
    <w:rsid w:val="004746DD"/>
    <w:rsid w:val="00490804"/>
    <w:rsid w:val="004B386E"/>
    <w:rsid w:val="004D6F6F"/>
    <w:rsid w:val="004E3289"/>
    <w:rsid w:val="00541E37"/>
    <w:rsid w:val="00560C06"/>
    <w:rsid w:val="00566883"/>
    <w:rsid w:val="00574285"/>
    <w:rsid w:val="005834C3"/>
    <w:rsid w:val="0058561F"/>
    <w:rsid w:val="005A7B0D"/>
    <w:rsid w:val="005B5C27"/>
    <w:rsid w:val="005D3A8D"/>
    <w:rsid w:val="005E4EB7"/>
    <w:rsid w:val="005F3E84"/>
    <w:rsid w:val="006006D3"/>
    <w:rsid w:val="00616AD7"/>
    <w:rsid w:val="0067050A"/>
    <w:rsid w:val="006D7615"/>
    <w:rsid w:val="006E3C0D"/>
    <w:rsid w:val="006F350C"/>
    <w:rsid w:val="0070399A"/>
    <w:rsid w:val="007235B1"/>
    <w:rsid w:val="00757C87"/>
    <w:rsid w:val="00777436"/>
    <w:rsid w:val="007C347E"/>
    <w:rsid w:val="007E3835"/>
    <w:rsid w:val="007E47ED"/>
    <w:rsid w:val="0080461F"/>
    <w:rsid w:val="00816FBD"/>
    <w:rsid w:val="00825280"/>
    <w:rsid w:val="00834B80"/>
    <w:rsid w:val="00861FB6"/>
    <w:rsid w:val="00882120"/>
    <w:rsid w:val="008A5E4E"/>
    <w:rsid w:val="008B1932"/>
    <w:rsid w:val="008D1D8D"/>
    <w:rsid w:val="008D6735"/>
    <w:rsid w:val="008E2285"/>
    <w:rsid w:val="008E63DF"/>
    <w:rsid w:val="00917C5C"/>
    <w:rsid w:val="009238BE"/>
    <w:rsid w:val="009371B7"/>
    <w:rsid w:val="00966686"/>
    <w:rsid w:val="0098551B"/>
    <w:rsid w:val="009B3523"/>
    <w:rsid w:val="009E25F2"/>
    <w:rsid w:val="00A214B7"/>
    <w:rsid w:val="00A76993"/>
    <w:rsid w:val="00AF3B67"/>
    <w:rsid w:val="00AF4CC4"/>
    <w:rsid w:val="00B72D30"/>
    <w:rsid w:val="00BA52B3"/>
    <w:rsid w:val="00BC158B"/>
    <w:rsid w:val="00BC589B"/>
    <w:rsid w:val="00BD0F87"/>
    <w:rsid w:val="00BD2FF6"/>
    <w:rsid w:val="00BF2071"/>
    <w:rsid w:val="00BF488D"/>
    <w:rsid w:val="00C43589"/>
    <w:rsid w:val="00C674C3"/>
    <w:rsid w:val="00CE0B5D"/>
    <w:rsid w:val="00D22B30"/>
    <w:rsid w:val="00D76FF4"/>
    <w:rsid w:val="00DA0B62"/>
    <w:rsid w:val="00DC2AD7"/>
    <w:rsid w:val="00DE5CAE"/>
    <w:rsid w:val="00E140FA"/>
    <w:rsid w:val="00E417F3"/>
    <w:rsid w:val="00E557F0"/>
    <w:rsid w:val="00E64890"/>
    <w:rsid w:val="00E814BD"/>
    <w:rsid w:val="00EA7896"/>
    <w:rsid w:val="00ED7FAF"/>
    <w:rsid w:val="00EE3B84"/>
    <w:rsid w:val="00F129F8"/>
    <w:rsid w:val="00F22811"/>
    <w:rsid w:val="00F279D4"/>
    <w:rsid w:val="00F42BBB"/>
    <w:rsid w:val="00F70E5D"/>
    <w:rsid w:val="00FA1F8E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86657A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0A207B"/>
    <w:pPr>
      <w:numPr>
        <w:numId w:val="1"/>
      </w:numPr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16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7665F4"/>
    <w:rsid w:val="00BC1A81"/>
    <w:rsid w:val="00E40337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Matthews, Rachel</cp:lastModifiedBy>
  <cp:revision>8</cp:revision>
  <cp:lastPrinted>2018-11-05T22:09:00Z</cp:lastPrinted>
  <dcterms:created xsi:type="dcterms:W3CDTF">2019-02-18T05:07:00Z</dcterms:created>
  <dcterms:modified xsi:type="dcterms:W3CDTF">2019-04-08T04:58:00Z</dcterms:modified>
</cp:coreProperties>
</file>