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0709FB61" w:rsidR="00FE1945" w:rsidRPr="00563A3D" w:rsidRDefault="00A12F70" w:rsidP="00FE1945">
          <w:pPr>
            <w:rPr>
              <w:rStyle w:val="SchoolName"/>
              <w:color w:val="1F4E79"/>
            </w:rPr>
          </w:pPr>
          <w:r>
            <w:rPr>
              <w:rStyle w:val="SchoolName"/>
              <w:color w:val="1F4E79"/>
            </w:rPr>
            <w:t>Chapman Primary School</w:t>
          </w:r>
        </w:p>
      </w:sdtContent>
    </w:sdt>
    <w:p w14:paraId="63330FCF" w14:textId="07898F7B"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A12F70">
            <w:t>South Canberra/ Weston</w:t>
          </w:r>
        </w:sdtContent>
      </w:sdt>
    </w:p>
    <w:p w14:paraId="38F253B0" w14:textId="70D3ACAE" w:rsidR="00FE1945" w:rsidRDefault="00846E51" w:rsidP="00FE1945">
      <w:pPr>
        <w:pStyle w:val="Title"/>
        <w:jc w:val="left"/>
      </w:pPr>
      <w:r>
        <w:t>Impact</w:t>
      </w:r>
      <w:r w:rsidR="00FE1945" w:rsidRPr="005F3926">
        <w:t xml:space="preserve"> </w:t>
      </w:r>
      <w:r w:rsidR="00B10319">
        <w:t xml:space="preserve">Report </w:t>
      </w:r>
      <w:r w:rsidR="00FE1945">
        <w:t>20</w:t>
      </w:r>
      <w:r w:rsidR="00A12F70">
        <w:t>19</w:t>
      </w:r>
    </w:p>
    <w:p w14:paraId="43815876" w14:textId="77777777" w:rsidR="00E434FA" w:rsidRPr="001B2E33" w:rsidRDefault="00E434FA" w:rsidP="001B2E33">
      <w:pPr>
        <w:pStyle w:val="Heading1"/>
      </w:pPr>
      <w:r w:rsidRPr="001B2E33">
        <w:t>The purpose of this document</w:t>
      </w:r>
    </w:p>
    <w:p w14:paraId="542B7252" w14:textId="22C4FC06"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476D710B" w14:textId="77777777" w:rsidR="00F05C79" w:rsidRDefault="00F05C79" w:rsidP="0058339C">
      <w:pPr>
        <w:pStyle w:val="BodyText"/>
        <w:rPr>
          <w:i/>
        </w:rPr>
      </w:pPr>
    </w:p>
    <w:p w14:paraId="3D29C09E" w14:textId="2D5D6465" w:rsidR="00F05C79" w:rsidRPr="00F05C79" w:rsidRDefault="00F05C79" w:rsidP="0058339C">
      <w:pPr>
        <w:pStyle w:val="BodyText"/>
        <w:rPr>
          <w:i/>
        </w:rPr>
      </w:pPr>
      <w:r w:rsidRPr="00F05C79">
        <w:rPr>
          <w:i/>
        </w:rPr>
        <w:t>Please note that from 2019 the section below - ‘Our school’s contribution to whole-of-system Strategic Indicators’ - will be populated by the Education Directorate and the school. The Directorate’s new Strategic Plan was launched mid-2018 and as such relevant</w:t>
      </w:r>
      <w:r w:rsidR="00D21886">
        <w:rPr>
          <w:i/>
        </w:rPr>
        <w:t xml:space="preserve"> system-level</w:t>
      </w:r>
      <w:r w:rsidRPr="00F05C79">
        <w:rPr>
          <w:i/>
        </w:rPr>
        <w:t xml:space="preserve"> data </w:t>
      </w:r>
      <w:r w:rsidR="00D21886">
        <w:rPr>
          <w:i/>
        </w:rPr>
        <w:t>has not been finalised</w:t>
      </w:r>
      <w:r w:rsidRPr="00F05C79">
        <w:rPr>
          <w:i/>
        </w:rPr>
        <w:t>.</w:t>
      </w:r>
    </w:p>
    <w:p w14:paraId="21CD8A42" w14:textId="77777777" w:rsidR="001B2E33" w:rsidRPr="0058339C" w:rsidRDefault="001B2E33" w:rsidP="0058339C">
      <w:pPr>
        <w:pStyle w:val="BodyText"/>
      </w:pPr>
    </w:p>
    <w:p w14:paraId="653DD0FA" w14:textId="77777777"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39F7E605" w14:textId="77777777" w:rsidTr="009B454E">
        <w:trPr>
          <w:trHeight w:val="1158"/>
        </w:trPr>
        <w:tc>
          <w:tcPr>
            <w:tcW w:w="9016" w:type="dxa"/>
            <w:shd w:val="clear" w:color="auto" w:fill="auto"/>
            <w:vAlign w:val="center"/>
          </w:tcPr>
          <w:p w14:paraId="5F7ADA88" w14:textId="646DB989" w:rsidR="00461D07" w:rsidRPr="00C46F66" w:rsidRDefault="00461D07" w:rsidP="00C46F66">
            <w:pPr>
              <w:pStyle w:val="BodyText"/>
              <w:jc w:val="center"/>
              <w:rPr>
                <w:b/>
              </w:rPr>
            </w:pPr>
            <w:r w:rsidRPr="00C46F66">
              <w:rPr>
                <w:b/>
              </w:rPr>
              <w:t>DATA</w:t>
            </w:r>
            <w:r w:rsidR="00C46F66" w:rsidRPr="00C46F66">
              <w:rPr>
                <w:b/>
              </w:rPr>
              <w:t xml:space="preserve"> NOT FINALISED-TO BE PROVIDED FROM LATE 2019</w:t>
            </w:r>
          </w:p>
          <w:p w14:paraId="071E8C45" w14:textId="77777777" w:rsidR="00B10319" w:rsidRPr="00461D07" w:rsidRDefault="0066643F" w:rsidP="001B2E33">
            <w:pPr>
              <w:pStyle w:val="BodyText"/>
            </w:pPr>
            <w:r w:rsidRPr="00461D07">
              <w:t>SYSTEM LEVEL (provided/populated by Directorate)</w:t>
            </w:r>
          </w:p>
        </w:tc>
      </w:tr>
    </w:tbl>
    <w:p w14:paraId="76401512" w14:textId="77777777" w:rsidR="00B10319" w:rsidRPr="00461D07" w:rsidRDefault="00B10319"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159C230C" w14:textId="77777777" w:rsidTr="009B454E">
        <w:trPr>
          <w:trHeight w:val="473"/>
        </w:trPr>
        <w:tc>
          <w:tcPr>
            <w:tcW w:w="9016" w:type="dxa"/>
            <w:shd w:val="clear" w:color="auto" w:fill="auto"/>
            <w:vAlign w:val="center"/>
          </w:tcPr>
          <w:p w14:paraId="1E5806D5" w14:textId="77777777" w:rsidR="00C46F66" w:rsidRPr="00C46F66" w:rsidRDefault="00C46F66" w:rsidP="00C46F66">
            <w:pPr>
              <w:pStyle w:val="BodyText"/>
              <w:jc w:val="center"/>
              <w:rPr>
                <w:b/>
              </w:rPr>
            </w:pPr>
            <w:r w:rsidRPr="00C46F66">
              <w:rPr>
                <w:b/>
              </w:rPr>
              <w:t>DATA NOT FINALISED-TO BE PROVIDED FROM LATE 2019</w:t>
            </w:r>
          </w:p>
          <w:p w14:paraId="137549C7" w14:textId="0266C499" w:rsidR="00B10319" w:rsidRPr="00461D07" w:rsidRDefault="0066643F" w:rsidP="001B2E33">
            <w:pPr>
              <w:pStyle w:val="BodyText"/>
              <w:rPr>
                <w:i/>
              </w:rPr>
            </w:pPr>
            <w:r w:rsidRPr="00461D07">
              <w:rPr>
                <w:i/>
              </w:rPr>
              <w:t>System-level analysis statement (provided by Directorate)</w:t>
            </w:r>
          </w:p>
        </w:tc>
      </w:tr>
    </w:tbl>
    <w:p w14:paraId="21F94F57" w14:textId="77777777" w:rsidR="0066643F" w:rsidRDefault="0066643F" w:rsidP="001B2E33">
      <w:pPr>
        <w:pStyle w:val="BodyText"/>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66643F" w:rsidRPr="00461D07" w14:paraId="23BEF016" w14:textId="77777777" w:rsidTr="009B454E">
        <w:trPr>
          <w:trHeight w:val="1041"/>
        </w:trPr>
        <w:tc>
          <w:tcPr>
            <w:tcW w:w="9016" w:type="dxa"/>
            <w:shd w:val="clear" w:color="auto" w:fill="auto"/>
            <w:vAlign w:val="center"/>
          </w:tcPr>
          <w:p w14:paraId="38213211" w14:textId="77777777" w:rsidR="00C46F66" w:rsidRPr="00C46F66" w:rsidRDefault="00C46F66" w:rsidP="00C46F66">
            <w:pPr>
              <w:pStyle w:val="BodyText"/>
              <w:jc w:val="center"/>
              <w:rPr>
                <w:b/>
              </w:rPr>
            </w:pPr>
            <w:r w:rsidRPr="00C46F66">
              <w:rPr>
                <w:b/>
              </w:rPr>
              <w:t>DATA NOT FINALISED-TO BE PROVIDED FROM LATE 2019</w:t>
            </w:r>
          </w:p>
          <w:p w14:paraId="7465771F" w14:textId="320AC92F" w:rsidR="00461D07" w:rsidRDefault="00461D07" w:rsidP="001B2E33">
            <w:pPr>
              <w:pStyle w:val="BodyText"/>
            </w:pPr>
            <w:r>
              <w:t>DATA</w:t>
            </w:r>
          </w:p>
          <w:p w14:paraId="7397DB24" w14:textId="77777777" w:rsidR="0066643F" w:rsidRPr="00461D07" w:rsidRDefault="0066643F" w:rsidP="001B2E33">
            <w:pPr>
              <w:pStyle w:val="BodyText"/>
            </w:pPr>
            <w:r w:rsidRPr="00461D07">
              <w:t>Your school’s</w:t>
            </w:r>
            <w:r w:rsidR="007B0189">
              <w:t xml:space="preserve"> apparent contribution to this Strategic I</w:t>
            </w:r>
            <w:r w:rsidRPr="00461D07">
              <w:t>ndicator (provided by Directorate)</w:t>
            </w:r>
          </w:p>
        </w:tc>
      </w:tr>
    </w:tbl>
    <w:p w14:paraId="6F0D4725" w14:textId="77777777" w:rsidR="0066643F" w:rsidRPr="00461D07" w:rsidRDefault="0066643F" w:rsidP="001B2E33">
      <w:pPr>
        <w:pStyle w:val="BodyText"/>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66643F" w:rsidRPr="00461D07" w14:paraId="24AD1FB2" w14:textId="77777777" w:rsidTr="009B454E">
        <w:tc>
          <w:tcPr>
            <w:tcW w:w="9016" w:type="dxa"/>
            <w:shd w:val="clear" w:color="auto" w:fill="auto"/>
            <w:vAlign w:val="center"/>
          </w:tcPr>
          <w:p w14:paraId="7C3DB0A0" w14:textId="77777777" w:rsidR="003D1BAF" w:rsidRPr="00C46F66" w:rsidRDefault="003D1BAF" w:rsidP="003D1BAF">
            <w:pPr>
              <w:pStyle w:val="BodyText"/>
              <w:jc w:val="center"/>
              <w:rPr>
                <w:b/>
              </w:rPr>
            </w:pPr>
            <w:r w:rsidRPr="00C46F66">
              <w:rPr>
                <w:b/>
              </w:rPr>
              <w:t>DATA NOT FINALISED-TO BE PROVIDED FROM LATE 2019</w:t>
            </w:r>
          </w:p>
          <w:p w14:paraId="6B6F3765" w14:textId="558CB08E" w:rsidR="0066643F" w:rsidRPr="003D1BAF" w:rsidRDefault="002838C6" w:rsidP="002838C6">
            <w:pPr>
              <w:pStyle w:val="BodyText"/>
            </w:pPr>
            <w:r>
              <w:t>As this is a work in progress all Impact Report will only report that the data sets are still being compiled by the Directorate</w:t>
            </w:r>
          </w:p>
        </w:tc>
      </w:tr>
    </w:tbl>
    <w:p w14:paraId="20A5A8D6" w14:textId="77777777" w:rsidR="0066643F" w:rsidRPr="0066643F" w:rsidRDefault="0066643F" w:rsidP="0066643F">
      <w:pPr>
        <w:spacing w:after="0" w:line="240" w:lineRule="auto"/>
      </w:pPr>
    </w:p>
    <w:p w14:paraId="0E4AE3ED" w14:textId="77777777" w:rsidR="00846E51" w:rsidRDefault="00846E51">
      <w:pPr>
        <w:rPr>
          <w:b/>
          <w:color w:val="1F4E79"/>
          <w:sz w:val="24"/>
        </w:rPr>
      </w:pPr>
      <w:r>
        <w:rPr>
          <w:b/>
          <w:color w:val="1F4E79"/>
          <w:sz w:val="24"/>
        </w:rPr>
        <w:br w:type="page"/>
      </w:r>
    </w:p>
    <w:p w14:paraId="6A16A7D4" w14:textId="77777777" w:rsidR="00B10319" w:rsidRPr="00B10319" w:rsidRDefault="00B10319" w:rsidP="004D00F4">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02315AB8" w14:textId="77777777" w:rsidR="00B10319" w:rsidRPr="001B2E33" w:rsidRDefault="00B10319" w:rsidP="001B2E33">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6C6A5980" w14:textId="77777777" w:rsidTr="009B454E">
        <w:trPr>
          <w:trHeight w:val="1158"/>
        </w:trPr>
        <w:tc>
          <w:tcPr>
            <w:tcW w:w="9016" w:type="dxa"/>
            <w:shd w:val="clear" w:color="auto" w:fill="auto"/>
            <w:vAlign w:val="center"/>
          </w:tcPr>
          <w:p w14:paraId="59D5C35A" w14:textId="170A1764" w:rsidR="003D1BAF" w:rsidRPr="003D1BAF" w:rsidRDefault="003D1BAF" w:rsidP="003D1BAF">
            <w:pPr>
              <w:pStyle w:val="BodyText"/>
              <w:jc w:val="center"/>
              <w:rPr>
                <w:b/>
              </w:rPr>
            </w:pPr>
            <w:r w:rsidRPr="00C46F66">
              <w:rPr>
                <w:b/>
              </w:rPr>
              <w:t>DATA NOT FINALISED-TO BE PROVIDED FROM LATE 2019</w:t>
            </w:r>
          </w:p>
          <w:p w14:paraId="3A71EB22" w14:textId="65ADDBCA" w:rsidR="00461D07" w:rsidRDefault="00461D07" w:rsidP="001B2E33">
            <w:pPr>
              <w:pStyle w:val="BodyText"/>
            </w:pPr>
            <w:r>
              <w:t>DATA</w:t>
            </w:r>
          </w:p>
          <w:p w14:paraId="3F564A3A" w14:textId="77777777" w:rsidR="00461D07" w:rsidRPr="00461D07" w:rsidRDefault="00461D07" w:rsidP="001B2E33">
            <w:pPr>
              <w:pStyle w:val="BodyText"/>
            </w:pPr>
            <w:r w:rsidRPr="00461D07">
              <w:t>SYSTEM LEVEL (provided/populated by Directorate)</w:t>
            </w:r>
          </w:p>
        </w:tc>
      </w:tr>
    </w:tbl>
    <w:p w14:paraId="46F879D0" w14:textId="77777777" w:rsidR="00461D07" w:rsidRP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3301F81" w14:textId="77777777" w:rsidTr="009B454E">
        <w:trPr>
          <w:trHeight w:val="473"/>
        </w:trPr>
        <w:tc>
          <w:tcPr>
            <w:tcW w:w="9016" w:type="dxa"/>
            <w:shd w:val="clear" w:color="auto" w:fill="auto"/>
            <w:vAlign w:val="center"/>
          </w:tcPr>
          <w:p w14:paraId="4EDB3BBE" w14:textId="1D5142CD" w:rsidR="003D1BAF" w:rsidRPr="003D1BAF" w:rsidRDefault="003D1BAF" w:rsidP="003D1BAF">
            <w:pPr>
              <w:pStyle w:val="BodyText"/>
              <w:jc w:val="center"/>
              <w:rPr>
                <w:b/>
              </w:rPr>
            </w:pPr>
            <w:r w:rsidRPr="00C46F66">
              <w:rPr>
                <w:b/>
              </w:rPr>
              <w:t>DATA NOT FINALISED-TO BE PROVIDED FROM LATE 2019</w:t>
            </w:r>
          </w:p>
          <w:p w14:paraId="4565F335" w14:textId="44D8DE76" w:rsidR="00461D07" w:rsidRPr="00461D07" w:rsidRDefault="00461D07" w:rsidP="001B2E33">
            <w:pPr>
              <w:pStyle w:val="BodyText"/>
            </w:pPr>
            <w:r w:rsidRPr="00461D07">
              <w:t>System-level analysis statement (provided by Directorate)</w:t>
            </w:r>
          </w:p>
        </w:tc>
      </w:tr>
    </w:tbl>
    <w:p w14:paraId="18357D3E" w14:textId="77777777" w:rsid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2197BD3C" w14:textId="77777777" w:rsidTr="009B454E">
        <w:trPr>
          <w:trHeight w:val="1041"/>
        </w:trPr>
        <w:tc>
          <w:tcPr>
            <w:tcW w:w="9016" w:type="dxa"/>
            <w:shd w:val="clear" w:color="auto" w:fill="auto"/>
            <w:vAlign w:val="center"/>
          </w:tcPr>
          <w:p w14:paraId="2D2777B8" w14:textId="77777777" w:rsidR="003D1BAF" w:rsidRPr="003D1BAF" w:rsidRDefault="003D1BAF" w:rsidP="003D1BAF">
            <w:pPr>
              <w:pStyle w:val="BodyText"/>
              <w:jc w:val="center"/>
              <w:rPr>
                <w:b/>
              </w:rPr>
            </w:pPr>
            <w:r w:rsidRPr="00C46F66">
              <w:rPr>
                <w:b/>
              </w:rPr>
              <w:t>DATA NOT FINALISED-TO BE PROVIDED FROM LATE 2019</w:t>
            </w:r>
          </w:p>
          <w:p w14:paraId="57128438" w14:textId="77777777" w:rsidR="00461D07" w:rsidRDefault="00461D07" w:rsidP="001B2E33">
            <w:pPr>
              <w:pStyle w:val="BodyText"/>
            </w:pPr>
            <w:r>
              <w:t>DATA</w:t>
            </w:r>
          </w:p>
          <w:p w14:paraId="7C674A3B"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55436DC1" w14:textId="77777777" w:rsidR="00461D07" w:rsidRPr="00461D07" w:rsidRDefault="00461D07" w:rsidP="001B2E33">
      <w:pPr>
        <w:pStyle w:val="BodyText"/>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3919A768" w14:textId="77777777" w:rsidTr="009B454E">
        <w:tc>
          <w:tcPr>
            <w:tcW w:w="9016" w:type="dxa"/>
            <w:shd w:val="clear" w:color="auto" w:fill="auto"/>
            <w:vAlign w:val="center"/>
          </w:tcPr>
          <w:p w14:paraId="73836B7F" w14:textId="77777777" w:rsidR="003D1BAF" w:rsidRPr="003D1BAF" w:rsidRDefault="003D1BAF" w:rsidP="003D1BAF">
            <w:pPr>
              <w:pStyle w:val="BodyText"/>
              <w:jc w:val="center"/>
              <w:rPr>
                <w:b/>
              </w:rPr>
            </w:pPr>
            <w:r w:rsidRPr="00C46F66">
              <w:rPr>
                <w:b/>
              </w:rPr>
              <w:t>DATA NOT FINALISED-TO BE PROVIDED FROM LATE 2019</w:t>
            </w:r>
          </w:p>
          <w:p w14:paraId="16D65F7B" w14:textId="00D3C786" w:rsidR="00461D07" w:rsidRPr="00461D07" w:rsidRDefault="003D1BAF" w:rsidP="001B2E33">
            <w:pPr>
              <w:pStyle w:val="BodyText"/>
            </w:pPr>
            <w:r>
              <w:t>As this is a work in progress all Impact Report will only report that the data sets are still being compiled by the Directorate</w:t>
            </w:r>
          </w:p>
        </w:tc>
      </w:tr>
    </w:tbl>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C43DDC0" w14:textId="77777777" w:rsidTr="002838C6">
        <w:trPr>
          <w:trHeight w:val="917"/>
        </w:trPr>
        <w:tc>
          <w:tcPr>
            <w:tcW w:w="9016" w:type="dxa"/>
            <w:shd w:val="clear" w:color="auto" w:fill="auto"/>
            <w:vAlign w:val="center"/>
          </w:tcPr>
          <w:p w14:paraId="6830E13D" w14:textId="77777777" w:rsidR="00461D07" w:rsidRDefault="00461D07" w:rsidP="001B2E33">
            <w:pPr>
              <w:pStyle w:val="BodyText"/>
            </w:pPr>
            <w:r>
              <w:t>DATA</w:t>
            </w:r>
          </w:p>
          <w:p w14:paraId="363DCF3B" w14:textId="77777777" w:rsidR="00461D07" w:rsidRPr="00461D07" w:rsidRDefault="00461D07" w:rsidP="001B2E33">
            <w:pPr>
              <w:pStyle w:val="BodyText"/>
            </w:pPr>
            <w:r w:rsidRPr="00461D07">
              <w:t>SYSTEM LEVEL (provided/populated by Directorate)</w:t>
            </w:r>
          </w:p>
        </w:tc>
      </w:tr>
    </w:tbl>
    <w:p w14:paraId="529F0E5A" w14:textId="77777777" w:rsidR="00461D07" w:rsidRP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C9CFF33" w14:textId="77777777" w:rsidTr="009B454E">
        <w:trPr>
          <w:trHeight w:val="473"/>
        </w:trPr>
        <w:tc>
          <w:tcPr>
            <w:tcW w:w="9016" w:type="dxa"/>
            <w:shd w:val="clear" w:color="auto" w:fill="auto"/>
            <w:vAlign w:val="center"/>
          </w:tcPr>
          <w:p w14:paraId="3AF6796C" w14:textId="77777777" w:rsidR="00461D07" w:rsidRPr="00461D07" w:rsidRDefault="00461D07" w:rsidP="001B2E33">
            <w:pPr>
              <w:pStyle w:val="BodyText"/>
            </w:pPr>
            <w:r w:rsidRPr="00461D07">
              <w:t>System-level analysis statement (provided by Directorate)</w:t>
            </w:r>
          </w:p>
        </w:tc>
      </w:tr>
    </w:tbl>
    <w:p w14:paraId="4DF70EA2" w14:textId="77777777" w:rsid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E05FFBF" w14:textId="77777777" w:rsidTr="009B454E">
        <w:trPr>
          <w:trHeight w:val="1041"/>
        </w:trPr>
        <w:tc>
          <w:tcPr>
            <w:tcW w:w="9016" w:type="dxa"/>
            <w:shd w:val="clear" w:color="auto" w:fill="auto"/>
            <w:vAlign w:val="center"/>
          </w:tcPr>
          <w:p w14:paraId="19F94528" w14:textId="77777777" w:rsidR="00461D07" w:rsidRDefault="00461D07" w:rsidP="001B2E33">
            <w:pPr>
              <w:pStyle w:val="BodyText"/>
            </w:pPr>
            <w:r>
              <w:t>DATA</w:t>
            </w:r>
          </w:p>
          <w:p w14:paraId="0ADEBD04"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67310C30" w14:textId="77777777" w:rsidR="00461D07" w:rsidRPr="00461D07" w:rsidRDefault="00461D07" w:rsidP="001B2E33">
      <w:pPr>
        <w:pStyle w:val="BodyText"/>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1FA403D0" w14:textId="77777777" w:rsidTr="009B454E">
        <w:tc>
          <w:tcPr>
            <w:tcW w:w="9016" w:type="dxa"/>
            <w:shd w:val="clear" w:color="auto" w:fill="auto"/>
            <w:vAlign w:val="center"/>
          </w:tcPr>
          <w:p w14:paraId="164FC69C" w14:textId="67027451" w:rsidR="002838C6" w:rsidRPr="002838C6" w:rsidRDefault="002838C6" w:rsidP="002838C6">
            <w:pPr>
              <w:pStyle w:val="BodyText"/>
              <w:jc w:val="center"/>
              <w:rPr>
                <w:b/>
              </w:rPr>
            </w:pPr>
            <w:r w:rsidRPr="00C46F66">
              <w:rPr>
                <w:b/>
              </w:rPr>
              <w:t>DATA NOT FINALISED-TO BE PROVIDED FROM LATE 2019</w:t>
            </w:r>
          </w:p>
          <w:p w14:paraId="5FAD8A6B" w14:textId="27DAF759" w:rsidR="00461D07" w:rsidRPr="00461D07" w:rsidRDefault="002838C6" w:rsidP="001B2E33">
            <w:pPr>
              <w:pStyle w:val="BodyText"/>
            </w:pPr>
            <w:r>
              <w:t>As this is a work in progress all Impact Report will only report that the data sets are still being compiled by the Directorate</w:t>
            </w:r>
          </w:p>
        </w:tc>
      </w:tr>
    </w:tbl>
    <w:p w14:paraId="2B93A716" w14:textId="77777777" w:rsidR="00B10319" w:rsidRDefault="004D5E45" w:rsidP="001B2E33">
      <w:pPr>
        <w:pStyle w:val="Heading1"/>
      </w:pPr>
      <w:r>
        <w:lastRenderedPageBreak/>
        <w:t>Reporting against our priorities</w:t>
      </w:r>
    </w:p>
    <w:p w14:paraId="5A7DC0CC" w14:textId="76C44F95"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434DBF" w:rsidRPr="00434DBF">
        <w:rPr>
          <w:color w:val="auto"/>
        </w:rPr>
        <w:t>Improved student outcomes from P-6</w:t>
      </w:r>
    </w:p>
    <w:p w14:paraId="255A28BA" w14:textId="77777777" w:rsidR="004D5E45" w:rsidRPr="00601E56" w:rsidRDefault="006D2F6B" w:rsidP="00837137">
      <w:pPr>
        <w:pStyle w:val="Heading3"/>
        <w:rPr>
          <w:color w:val="002060"/>
        </w:rPr>
      </w:pPr>
      <w:r w:rsidRPr="00601E56">
        <w:rPr>
          <w:color w:val="002060"/>
        </w:rPr>
        <w:t>Targets or measures</w:t>
      </w:r>
    </w:p>
    <w:p w14:paraId="0ED94083" w14:textId="2AFFF8DA" w:rsidR="000031B5" w:rsidRDefault="00481BD2" w:rsidP="0058339C">
      <w:pPr>
        <w:pStyle w:val="BodyText"/>
      </w:pPr>
      <w:r>
        <w:t>By the end of 20</w:t>
      </w:r>
      <w:r w:rsidR="00434DBF">
        <w:t>18</w:t>
      </w:r>
      <w:r w:rsidR="000031B5">
        <w:t xml:space="preserve"> we will achieve:</w:t>
      </w:r>
    </w:p>
    <w:p w14:paraId="7E1F737C" w14:textId="20B5FE2A" w:rsidR="00B84B5D" w:rsidRPr="00B84B5D" w:rsidRDefault="00B84B5D" w:rsidP="008B44F2">
      <w:pPr>
        <w:pStyle w:val="ListBullet"/>
      </w:pPr>
      <w:r w:rsidRPr="00B84B5D">
        <w:t xml:space="preserve">A whole school </w:t>
      </w:r>
      <w:r w:rsidR="008B44F2" w:rsidRPr="00B84B5D">
        <w:t>culture promoting</w:t>
      </w:r>
      <w:r w:rsidRPr="00B84B5D">
        <w:t xml:space="preserve"> high expectations for improved performance </w:t>
      </w:r>
      <w:r w:rsidR="00AA2A27" w:rsidRPr="00B84B5D">
        <w:t>through engagement</w:t>
      </w:r>
      <w:r w:rsidRPr="00B84B5D">
        <w:t xml:space="preserve"> with the Australian Curriculum and the Early Years Learning Framework.</w:t>
      </w:r>
    </w:p>
    <w:p w14:paraId="179E4865" w14:textId="2C2194FB" w:rsidR="00B84B5D" w:rsidRPr="00B84B5D" w:rsidRDefault="00B84B5D" w:rsidP="001750C6">
      <w:pPr>
        <w:pStyle w:val="ListBullet"/>
      </w:pPr>
      <w:r w:rsidRPr="00B84B5D">
        <w:t xml:space="preserve">High quality and </w:t>
      </w:r>
      <w:r w:rsidR="008B44F2" w:rsidRPr="00B84B5D">
        <w:t>relevant data</w:t>
      </w:r>
      <w:r w:rsidRPr="00B84B5D">
        <w:t xml:space="preserve"> </w:t>
      </w:r>
      <w:r w:rsidR="009D73E8" w:rsidRPr="00B84B5D">
        <w:t>are</w:t>
      </w:r>
      <w:r w:rsidRPr="00B84B5D">
        <w:t xml:space="preserve"> used to monitor </w:t>
      </w:r>
      <w:r w:rsidR="008B44F2" w:rsidRPr="00B84B5D">
        <w:t>student performance</w:t>
      </w:r>
      <w:r w:rsidRPr="00B84B5D">
        <w:t xml:space="preserve"> and </w:t>
      </w:r>
      <w:r w:rsidR="00AA2A27" w:rsidRPr="00B84B5D">
        <w:t>inform school</w:t>
      </w:r>
      <w:r w:rsidRPr="00B84B5D">
        <w:t xml:space="preserve"> improvement.</w:t>
      </w:r>
    </w:p>
    <w:p w14:paraId="2E4C1758" w14:textId="6436EA96" w:rsidR="00B84B5D" w:rsidRPr="00B84B5D" w:rsidRDefault="008B44F2" w:rsidP="001750C6">
      <w:pPr>
        <w:pStyle w:val="ListBullet"/>
      </w:pPr>
      <w:r w:rsidRPr="00B84B5D">
        <w:t>Improved pedagogical</w:t>
      </w:r>
      <w:r w:rsidR="00B84B5D" w:rsidRPr="00B84B5D">
        <w:t xml:space="preserve"> knowledge and skills of all educators.</w:t>
      </w:r>
    </w:p>
    <w:p w14:paraId="38285DD7" w14:textId="75526E34" w:rsidR="00B84B5D" w:rsidRPr="00B84B5D" w:rsidRDefault="00B84B5D" w:rsidP="001750C6">
      <w:pPr>
        <w:pStyle w:val="ListBullet"/>
      </w:pPr>
      <w:r w:rsidRPr="00B84B5D">
        <w:t>Use innovative practices to deliver relevant and engaging curriculum.</w:t>
      </w:r>
    </w:p>
    <w:p w14:paraId="1319DBFF" w14:textId="3F3DFD21" w:rsidR="004D5E45" w:rsidRPr="00373DC0" w:rsidRDefault="004D5E45" w:rsidP="00837137">
      <w:pPr>
        <w:pStyle w:val="BodyText"/>
      </w:pPr>
      <w:r w:rsidRPr="00373DC0">
        <w:t>In 20</w:t>
      </w:r>
      <w:r w:rsidR="00F334C2">
        <w:t>18</w:t>
      </w:r>
      <w:r w:rsidRPr="00373DC0">
        <w:t xml:space="preserve"> we </w:t>
      </w:r>
      <w:r w:rsidR="00997CD0">
        <w:t>implemented</w:t>
      </w:r>
      <w:r w:rsidRPr="00373DC0">
        <w:t xml:space="preserve"> this priority throug</w:t>
      </w:r>
      <w:r w:rsidR="00997CD0">
        <w:t xml:space="preserve">h the following </w:t>
      </w:r>
      <w:r w:rsidRPr="00373DC0">
        <w:t>strategies.</w:t>
      </w:r>
    </w:p>
    <w:p w14:paraId="06C3B9A6" w14:textId="16F04500" w:rsidR="00997CD0" w:rsidRDefault="00F334C2" w:rsidP="00837137">
      <w:pPr>
        <w:pStyle w:val="ListBullet"/>
      </w:pPr>
      <w:r w:rsidRPr="00F334C2">
        <w:t>Embed</w:t>
      </w:r>
      <w:r w:rsidR="008B44F2">
        <w:t>ding</w:t>
      </w:r>
      <w:r w:rsidRPr="00F334C2">
        <w:t xml:space="preserve"> a systematic process for the measurement and analysis of learning data. </w:t>
      </w:r>
    </w:p>
    <w:p w14:paraId="4BD719D2" w14:textId="7F5A988D" w:rsidR="00F334C2" w:rsidRDefault="00077822" w:rsidP="00837137">
      <w:pPr>
        <w:pStyle w:val="ListBullet"/>
      </w:pPr>
      <w:r w:rsidRPr="00F334C2">
        <w:t>Establis</w:t>
      </w:r>
      <w:r>
        <w:t>hing</w:t>
      </w:r>
      <w:r w:rsidR="00F334C2" w:rsidRPr="00F334C2">
        <w:t xml:space="preserve"> a community of inquirers through innovative and relevant curriculum development and delivery.</w:t>
      </w:r>
    </w:p>
    <w:p w14:paraId="6403B9E2" w14:textId="0ED5B647" w:rsidR="009B454E" w:rsidRDefault="00F334C2" w:rsidP="009B454E">
      <w:pPr>
        <w:pStyle w:val="ListBullet"/>
      </w:pPr>
      <w:r w:rsidRPr="00F334C2">
        <w:t>Further develop</w:t>
      </w:r>
      <w:r w:rsidR="008B44F2">
        <w:t>ing</w:t>
      </w:r>
      <w:r w:rsidRPr="00F334C2">
        <w:t xml:space="preserve"> teacher expertise and effectiveness in improving student outcomes.</w:t>
      </w:r>
    </w:p>
    <w:p w14:paraId="4E579100" w14:textId="77777777" w:rsidR="00601E56" w:rsidRDefault="009B454E" w:rsidP="00601E56">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2E7FBBEB" w14:textId="77777777" w:rsidR="00601E56" w:rsidRDefault="00601E56" w:rsidP="00601E56">
      <w:pPr>
        <w:pStyle w:val="PlainText"/>
        <w:rPr>
          <w:i/>
        </w:rPr>
      </w:pPr>
    </w:p>
    <w:p w14:paraId="3BC59DD4" w14:textId="10628472" w:rsidR="008A01DA" w:rsidRPr="00601E56" w:rsidRDefault="008A01DA" w:rsidP="00601E56">
      <w:pPr>
        <w:pStyle w:val="PlainText"/>
        <w:rPr>
          <w:i/>
          <w:color w:val="1F4E79" w:themeColor="accent1" w:themeShade="80"/>
        </w:rPr>
      </w:pPr>
      <w:r w:rsidRPr="00601E56">
        <w:rPr>
          <w:color w:val="1F4E79" w:themeColor="accent1" w:themeShade="80"/>
        </w:rPr>
        <w:t>Student learning data</w:t>
      </w:r>
    </w:p>
    <w:p w14:paraId="374A84A4" w14:textId="77777777" w:rsidR="00601E56" w:rsidRPr="00601E56" w:rsidRDefault="00601E56" w:rsidP="00601E56"/>
    <w:tbl>
      <w:tblPr>
        <w:tblStyle w:val="TableGrid"/>
        <w:tblW w:w="8428" w:type="dxa"/>
        <w:jc w:val="center"/>
        <w:tblLayout w:type="fixed"/>
        <w:tblCellMar>
          <w:top w:w="57" w:type="dxa"/>
          <w:left w:w="57" w:type="dxa"/>
          <w:bottom w:w="57" w:type="dxa"/>
          <w:right w:w="57" w:type="dxa"/>
        </w:tblCellMar>
        <w:tblLook w:val="04A0" w:firstRow="1" w:lastRow="0" w:firstColumn="1" w:lastColumn="0" w:noHBand="0" w:noVBand="1"/>
      </w:tblPr>
      <w:tblGrid>
        <w:gridCol w:w="3828"/>
        <w:gridCol w:w="1134"/>
        <w:gridCol w:w="771"/>
        <w:gridCol w:w="899"/>
        <w:gridCol w:w="31"/>
        <w:gridCol w:w="867"/>
        <w:gridCol w:w="898"/>
      </w:tblGrid>
      <w:tr w:rsidR="00601E56" w14:paraId="11CF2626" w14:textId="77777777" w:rsidTr="00FC2D31">
        <w:trPr>
          <w:jc w:val="center"/>
        </w:trPr>
        <w:tc>
          <w:tcPr>
            <w:tcW w:w="3828" w:type="dxa"/>
            <w:shd w:val="clear" w:color="auto" w:fill="auto"/>
          </w:tcPr>
          <w:p w14:paraId="2744B2CC" w14:textId="77777777" w:rsidR="00601E56" w:rsidRPr="00D03B0C" w:rsidRDefault="00601E56" w:rsidP="00D03B0C">
            <w:pPr>
              <w:rPr>
                <w:b/>
              </w:rPr>
            </w:pPr>
            <w:r w:rsidRPr="00D03B0C">
              <w:rPr>
                <w:b/>
              </w:rPr>
              <w:t>Targets or Measures</w:t>
            </w:r>
          </w:p>
        </w:tc>
        <w:tc>
          <w:tcPr>
            <w:tcW w:w="1134" w:type="dxa"/>
            <w:shd w:val="clear" w:color="auto" w:fill="auto"/>
          </w:tcPr>
          <w:p w14:paraId="118BFB5A" w14:textId="1FFEAE68" w:rsidR="00601E56" w:rsidRPr="00D03B0C" w:rsidRDefault="00026B7E" w:rsidP="00D56F59">
            <w:pPr>
              <w:jc w:val="center"/>
              <w:rPr>
                <w:b/>
              </w:rPr>
            </w:pPr>
            <w:r>
              <w:rPr>
                <w:b/>
              </w:rPr>
              <w:t>2014</w:t>
            </w:r>
          </w:p>
        </w:tc>
        <w:tc>
          <w:tcPr>
            <w:tcW w:w="771" w:type="dxa"/>
            <w:shd w:val="clear" w:color="auto" w:fill="auto"/>
          </w:tcPr>
          <w:p w14:paraId="42366ADC" w14:textId="711A561F" w:rsidR="00601E56" w:rsidRPr="00D03B0C" w:rsidRDefault="003F296B" w:rsidP="00D56F59">
            <w:pPr>
              <w:jc w:val="center"/>
              <w:rPr>
                <w:b/>
              </w:rPr>
            </w:pPr>
            <w:r>
              <w:rPr>
                <w:b/>
              </w:rPr>
              <w:t>2015</w:t>
            </w:r>
          </w:p>
        </w:tc>
        <w:tc>
          <w:tcPr>
            <w:tcW w:w="899" w:type="dxa"/>
            <w:shd w:val="clear" w:color="auto" w:fill="auto"/>
          </w:tcPr>
          <w:p w14:paraId="3CAE587B" w14:textId="69041266" w:rsidR="00601E56" w:rsidRPr="00D03B0C" w:rsidRDefault="003F296B" w:rsidP="00D56F59">
            <w:pPr>
              <w:jc w:val="center"/>
              <w:rPr>
                <w:b/>
              </w:rPr>
            </w:pPr>
            <w:r>
              <w:rPr>
                <w:b/>
              </w:rPr>
              <w:t>2016</w:t>
            </w:r>
          </w:p>
        </w:tc>
        <w:tc>
          <w:tcPr>
            <w:tcW w:w="898" w:type="dxa"/>
            <w:gridSpan w:val="2"/>
            <w:shd w:val="clear" w:color="auto" w:fill="auto"/>
          </w:tcPr>
          <w:p w14:paraId="0785495E" w14:textId="58C9386C" w:rsidR="00601E56" w:rsidRPr="00D03B0C" w:rsidRDefault="003F296B" w:rsidP="00D56F59">
            <w:pPr>
              <w:jc w:val="center"/>
              <w:rPr>
                <w:b/>
              </w:rPr>
            </w:pPr>
            <w:r>
              <w:rPr>
                <w:b/>
              </w:rPr>
              <w:t>2017</w:t>
            </w:r>
          </w:p>
        </w:tc>
        <w:tc>
          <w:tcPr>
            <w:tcW w:w="898" w:type="dxa"/>
            <w:shd w:val="clear" w:color="auto" w:fill="auto"/>
          </w:tcPr>
          <w:p w14:paraId="1F5C5718" w14:textId="21414D61" w:rsidR="00601E56" w:rsidRPr="00D03B0C" w:rsidRDefault="003F296B" w:rsidP="00D56F59">
            <w:pPr>
              <w:jc w:val="center"/>
              <w:rPr>
                <w:b/>
              </w:rPr>
            </w:pPr>
            <w:r>
              <w:rPr>
                <w:b/>
              </w:rPr>
              <w:t>2018</w:t>
            </w:r>
          </w:p>
        </w:tc>
      </w:tr>
      <w:tr w:rsidR="00601E56" w14:paraId="3B6F6B79" w14:textId="77777777" w:rsidTr="00FC2D31">
        <w:trPr>
          <w:jc w:val="center"/>
        </w:trPr>
        <w:tc>
          <w:tcPr>
            <w:tcW w:w="3828" w:type="dxa"/>
            <w:shd w:val="clear" w:color="auto" w:fill="auto"/>
          </w:tcPr>
          <w:p w14:paraId="52F72BA3" w14:textId="0D39A033" w:rsidR="00601E56" w:rsidRPr="00D03B0C" w:rsidRDefault="00601E56" w:rsidP="008B44F2">
            <w:pPr>
              <w:pStyle w:val="ListBullet"/>
              <w:numPr>
                <w:ilvl w:val="0"/>
                <w:numId w:val="0"/>
              </w:numPr>
              <w:ind w:left="360" w:hanging="360"/>
            </w:pPr>
            <w:r w:rsidRPr="006E59EE">
              <w:t>•</w:t>
            </w:r>
            <w:r w:rsidRPr="006E59EE">
              <w:tab/>
              <w:t>increase the proportion of kindergarten students who achieve expected growth or better in PIPs Reading by three percentage points on the 2017 results.</w:t>
            </w:r>
          </w:p>
        </w:tc>
        <w:tc>
          <w:tcPr>
            <w:tcW w:w="1134" w:type="dxa"/>
            <w:shd w:val="clear" w:color="auto" w:fill="auto"/>
          </w:tcPr>
          <w:p w14:paraId="6F51F004" w14:textId="06E1AAB3" w:rsidR="00601E56" w:rsidRPr="00D03B0C" w:rsidRDefault="00026B7E" w:rsidP="00D03B0C">
            <w:r>
              <w:t>765</w:t>
            </w:r>
          </w:p>
        </w:tc>
        <w:tc>
          <w:tcPr>
            <w:tcW w:w="771" w:type="dxa"/>
            <w:shd w:val="clear" w:color="auto" w:fill="auto"/>
          </w:tcPr>
          <w:p w14:paraId="3571C78F" w14:textId="7B37AE46" w:rsidR="00601E56" w:rsidRPr="00D03B0C" w:rsidRDefault="003F296B" w:rsidP="00D03B0C">
            <w:r>
              <w:t>72%</w:t>
            </w:r>
          </w:p>
        </w:tc>
        <w:tc>
          <w:tcPr>
            <w:tcW w:w="899" w:type="dxa"/>
            <w:shd w:val="clear" w:color="auto" w:fill="auto"/>
          </w:tcPr>
          <w:p w14:paraId="69018766" w14:textId="2FDF4954" w:rsidR="00601E56" w:rsidRPr="00D03B0C" w:rsidRDefault="00CA7A87" w:rsidP="00D03B0C">
            <w:r>
              <w:t>76</w:t>
            </w:r>
            <w:r w:rsidR="003F296B">
              <w:t>%</w:t>
            </w:r>
          </w:p>
        </w:tc>
        <w:tc>
          <w:tcPr>
            <w:tcW w:w="898" w:type="dxa"/>
            <w:gridSpan w:val="2"/>
            <w:shd w:val="clear" w:color="auto" w:fill="auto"/>
          </w:tcPr>
          <w:p w14:paraId="7AB434B5" w14:textId="72839E33" w:rsidR="00601E56" w:rsidRPr="00D03B0C" w:rsidRDefault="00601E56" w:rsidP="00D03B0C">
            <w:r>
              <w:t>58%</w:t>
            </w:r>
          </w:p>
        </w:tc>
        <w:tc>
          <w:tcPr>
            <w:tcW w:w="898" w:type="dxa"/>
            <w:shd w:val="clear" w:color="auto" w:fill="auto"/>
          </w:tcPr>
          <w:p w14:paraId="6E571018" w14:textId="552E4753" w:rsidR="00601E56" w:rsidRPr="00D03B0C" w:rsidRDefault="00601E56" w:rsidP="00D03B0C">
            <w:r>
              <w:t>60%</w:t>
            </w:r>
          </w:p>
        </w:tc>
      </w:tr>
      <w:tr w:rsidR="00601E56" w14:paraId="4365B293" w14:textId="77777777" w:rsidTr="00FC2D31">
        <w:trPr>
          <w:jc w:val="center"/>
        </w:trPr>
        <w:tc>
          <w:tcPr>
            <w:tcW w:w="3828" w:type="dxa"/>
            <w:shd w:val="clear" w:color="auto" w:fill="auto"/>
          </w:tcPr>
          <w:p w14:paraId="2A58C0ED" w14:textId="522915E4" w:rsidR="00601E56" w:rsidRPr="006E59EE" w:rsidRDefault="00601E56" w:rsidP="00640139">
            <w:pPr>
              <w:pStyle w:val="ListBullet"/>
              <w:numPr>
                <w:ilvl w:val="0"/>
                <w:numId w:val="24"/>
              </w:numPr>
              <w:ind w:left="366"/>
            </w:pPr>
            <w:r w:rsidRPr="006E59EE">
              <w:t>increase the proportion of kindergarten students who achieve expected growth or better in PIPs Numeracy by three percentage points on the 2017 results</w:t>
            </w:r>
          </w:p>
        </w:tc>
        <w:tc>
          <w:tcPr>
            <w:tcW w:w="1134" w:type="dxa"/>
            <w:shd w:val="clear" w:color="auto" w:fill="auto"/>
          </w:tcPr>
          <w:p w14:paraId="29EDFDDE" w14:textId="5603F71E" w:rsidR="00601E56" w:rsidRPr="00D03B0C" w:rsidRDefault="00026B7E" w:rsidP="00D03B0C">
            <w:r>
              <w:t>74%</w:t>
            </w:r>
          </w:p>
        </w:tc>
        <w:tc>
          <w:tcPr>
            <w:tcW w:w="771" w:type="dxa"/>
            <w:shd w:val="clear" w:color="auto" w:fill="auto"/>
          </w:tcPr>
          <w:p w14:paraId="2A310936" w14:textId="66E6E8B1" w:rsidR="00601E56" w:rsidRPr="00D03B0C" w:rsidRDefault="003F296B" w:rsidP="00D03B0C">
            <w:r>
              <w:t>73%</w:t>
            </w:r>
          </w:p>
        </w:tc>
        <w:tc>
          <w:tcPr>
            <w:tcW w:w="899" w:type="dxa"/>
            <w:shd w:val="clear" w:color="auto" w:fill="auto"/>
          </w:tcPr>
          <w:p w14:paraId="363B351C" w14:textId="6BC7B13A" w:rsidR="00601E56" w:rsidRPr="00D03B0C" w:rsidRDefault="003F296B" w:rsidP="00D03B0C">
            <w:r>
              <w:t>69%</w:t>
            </w:r>
          </w:p>
        </w:tc>
        <w:tc>
          <w:tcPr>
            <w:tcW w:w="898" w:type="dxa"/>
            <w:gridSpan w:val="2"/>
            <w:shd w:val="clear" w:color="auto" w:fill="auto"/>
          </w:tcPr>
          <w:p w14:paraId="18713A82" w14:textId="23464A21" w:rsidR="00601E56" w:rsidRPr="00D03B0C" w:rsidRDefault="00601E56" w:rsidP="00D03B0C">
            <w:r>
              <w:t>71%</w:t>
            </w:r>
          </w:p>
        </w:tc>
        <w:tc>
          <w:tcPr>
            <w:tcW w:w="898" w:type="dxa"/>
            <w:shd w:val="clear" w:color="auto" w:fill="auto"/>
          </w:tcPr>
          <w:p w14:paraId="4ADE3DB4" w14:textId="42FAF01E" w:rsidR="00601E56" w:rsidRPr="00D03B0C" w:rsidRDefault="00601E56" w:rsidP="00D03B0C">
            <w:r>
              <w:t>84%</w:t>
            </w:r>
          </w:p>
        </w:tc>
      </w:tr>
      <w:tr w:rsidR="00601E56" w14:paraId="3E447EBE" w14:textId="77777777" w:rsidTr="00FC2D31">
        <w:trPr>
          <w:trHeight w:val="540"/>
          <w:jc w:val="center"/>
        </w:trPr>
        <w:tc>
          <w:tcPr>
            <w:tcW w:w="3828" w:type="dxa"/>
            <w:vMerge w:val="restart"/>
            <w:shd w:val="clear" w:color="auto" w:fill="auto"/>
          </w:tcPr>
          <w:p w14:paraId="3C7AC1FF" w14:textId="732627FD" w:rsidR="00601E56" w:rsidRPr="00601E56" w:rsidRDefault="00601E56" w:rsidP="006E59EE">
            <w:pPr>
              <w:ind w:left="366" w:hanging="366"/>
            </w:pPr>
            <w:r w:rsidRPr="00601E56">
              <w:t>•    achieve a two-percentage point increase in the proportion of year 3 and 5 students achieving in the top two bands of NAPLAN tests based on the 2017 four-year average.</w:t>
            </w:r>
          </w:p>
        </w:tc>
        <w:tc>
          <w:tcPr>
            <w:tcW w:w="1134" w:type="dxa"/>
            <w:shd w:val="clear" w:color="auto" w:fill="auto"/>
          </w:tcPr>
          <w:p w14:paraId="417BAEB2" w14:textId="77777777" w:rsidR="00601E56" w:rsidRPr="00601E56" w:rsidRDefault="00601E56" w:rsidP="00D03B0C">
            <w:pPr>
              <w:rPr>
                <w:b/>
              </w:rPr>
            </w:pPr>
            <w:r w:rsidRPr="00601E56">
              <w:rPr>
                <w:b/>
              </w:rPr>
              <w:t>Reading</w:t>
            </w:r>
          </w:p>
          <w:p w14:paraId="03EFBA3E" w14:textId="0479DFEA" w:rsidR="00601E56" w:rsidRPr="00601E56" w:rsidRDefault="00601E56" w:rsidP="00D03B0C">
            <w:r w:rsidRPr="00601E56">
              <w:t>Year 3</w:t>
            </w:r>
          </w:p>
        </w:tc>
        <w:tc>
          <w:tcPr>
            <w:tcW w:w="771" w:type="dxa"/>
            <w:shd w:val="clear" w:color="auto" w:fill="auto"/>
          </w:tcPr>
          <w:p w14:paraId="79F145AA" w14:textId="2B75FB76" w:rsidR="00601E56" w:rsidRPr="00601E56" w:rsidRDefault="00601E56" w:rsidP="00D03B0C"/>
        </w:tc>
        <w:tc>
          <w:tcPr>
            <w:tcW w:w="930" w:type="dxa"/>
            <w:gridSpan w:val="2"/>
            <w:shd w:val="clear" w:color="auto" w:fill="auto"/>
          </w:tcPr>
          <w:p w14:paraId="162969AB" w14:textId="0D25EDE7" w:rsidR="00601E56" w:rsidRPr="00601E56" w:rsidRDefault="00601E56" w:rsidP="00D03B0C"/>
        </w:tc>
        <w:tc>
          <w:tcPr>
            <w:tcW w:w="867" w:type="dxa"/>
            <w:shd w:val="clear" w:color="auto" w:fill="auto"/>
          </w:tcPr>
          <w:p w14:paraId="23A6C15A" w14:textId="0254B30F" w:rsidR="00601E56" w:rsidRPr="00601E56" w:rsidRDefault="005E742D" w:rsidP="00D03B0C">
            <w:r>
              <w:t>59.7%</w:t>
            </w:r>
          </w:p>
        </w:tc>
        <w:tc>
          <w:tcPr>
            <w:tcW w:w="898" w:type="dxa"/>
            <w:shd w:val="clear" w:color="auto" w:fill="auto"/>
          </w:tcPr>
          <w:p w14:paraId="4F5460E0" w14:textId="3B330A50" w:rsidR="00601E56" w:rsidRPr="00601E56" w:rsidRDefault="005E742D" w:rsidP="00D03B0C">
            <w:r>
              <w:t>65.8%</w:t>
            </w:r>
          </w:p>
        </w:tc>
      </w:tr>
      <w:tr w:rsidR="00601E56" w14:paraId="43EE62D1" w14:textId="77777777" w:rsidTr="00FC2D31">
        <w:trPr>
          <w:trHeight w:val="501"/>
          <w:jc w:val="center"/>
        </w:trPr>
        <w:tc>
          <w:tcPr>
            <w:tcW w:w="3828" w:type="dxa"/>
            <w:vMerge/>
            <w:shd w:val="clear" w:color="auto" w:fill="auto"/>
          </w:tcPr>
          <w:p w14:paraId="63A21769" w14:textId="77777777" w:rsidR="00601E56" w:rsidRPr="00601E56" w:rsidRDefault="00601E56" w:rsidP="006E59EE">
            <w:pPr>
              <w:ind w:left="366" w:hanging="366"/>
            </w:pPr>
          </w:p>
        </w:tc>
        <w:tc>
          <w:tcPr>
            <w:tcW w:w="1134" w:type="dxa"/>
            <w:shd w:val="clear" w:color="auto" w:fill="auto"/>
          </w:tcPr>
          <w:p w14:paraId="55057498" w14:textId="10770DE0" w:rsidR="00601E56" w:rsidRPr="00601E56" w:rsidRDefault="00601E56" w:rsidP="00D03B0C">
            <w:r w:rsidRPr="00601E56">
              <w:t>Year 5</w:t>
            </w:r>
          </w:p>
        </w:tc>
        <w:tc>
          <w:tcPr>
            <w:tcW w:w="771" w:type="dxa"/>
            <w:shd w:val="clear" w:color="auto" w:fill="auto"/>
          </w:tcPr>
          <w:p w14:paraId="4D56D983" w14:textId="77777777" w:rsidR="00601E56" w:rsidRPr="00601E56" w:rsidRDefault="00601E56" w:rsidP="00D03B0C"/>
        </w:tc>
        <w:tc>
          <w:tcPr>
            <w:tcW w:w="930" w:type="dxa"/>
            <w:gridSpan w:val="2"/>
            <w:shd w:val="clear" w:color="auto" w:fill="auto"/>
          </w:tcPr>
          <w:p w14:paraId="17E35ED1" w14:textId="77777777" w:rsidR="00601E56" w:rsidRPr="00601E56" w:rsidRDefault="00601E56" w:rsidP="00D03B0C"/>
        </w:tc>
        <w:tc>
          <w:tcPr>
            <w:tcW w:w="867" w:type="dxa"/>
            <w:shd w:val="clear" w:color="auto" w:fill="auto"/>
          </w:tcPr>
          <w:p w14:paraId="08B944CE" w14:textId="45DAE852" w:rsidR="00601E56" w:rsidRPr="00601E56" w:rsidRDefault="005E742D" w:rsidP="00D03B0C">
            <w:r>
              <w:t>51.4%</w:t>
            </w:r>
          </w:p>
        </w:tc>
        <w:tc>
          <w:tcPr>
            <w:tcW w:w="898" w:type="dxa"/>
            <w:shd w:val="clear" w:color="auto" w:fill="auto"/>
          </w:tcPr>
          <w:p w14:paraId="46915440" w14:textId="03EFE05A" w:rsidR="00601E56" w:rsidRPr="00601E56" w:rsidRDefault="005E742D" w:rsidP="00D03B0C">
            <w:r>
              <w:t>53.9%</w:t>
            </w:r>
          </w:p>
        </w:tc>
      </w:tr>
      <w:tr w:rsidR="00601E56" w14:paraId="4FDF0F1C" w14:textId="77777777" w:rsidTr="00FC2D31">
        <w:trPr>
          <w:trHeight w:val="533"/>
          <w:jc w:val="center"/>
        </w:trPr>
        <w:tc>
          <w:tcPr>
            <w:tcW w:w="3828" w:type="dxa"/>
            <w:vMerge/>
            <w:shd w:val="clear" w:color="auto" w:fill="auto"/>
          </w:tcPr>
          <w:p w14:paraId="278F96C8" w14:textId="77777777" w:rsidR="00601E56" w:rsidRPr="00601E56" w:rsidRDefault="00601E56" w:rsidP="006E59EE">
            <w:pPr>
              <w:ind w:left="366" w:hanging="366"/>
            </w:pPr>
          </w:p>
        </w:tc>
        <w:tc>
          <w:tcPr>
            <w:tcW w:w="1134" w:type="dxa"/>
            <w:shd w:val="clear" w:color="auto" w:fill="auto"/>
          </w:tcPr>
          <w:p w14:paraId="60B5C861" w14:textId="77777777" w:rsidR="00601E56" w:rsidRPr="00601E56" w:rsidRDefault="00601E56" w:rsidP="00D03B0C">
            <w:pPr>
              <w:rPr>
                <w:b/>
              </w:rPr>
            </w:pPr>
            <w:r w:rsidRPr="00601E56">
              <w:rPr>
                <w:b/>
              </w:rPr>
              <w:t>Numeracy</w:t>
            </w:r>
          </w:p>
          <w:p w14:paraId="7CEEE46F" w14:textId="219C046F" w:rsidR="00601E56" w:rsidRPr="00601E56" w:rsidRDefault="00601E56" w:rsidP="00D03B0C">
            <w:r w:rsidRPr="00601E56">
              <w:t>Year3</w:t>
            </w:r>
          </w:p>
        </w:tc>
        <w:tc>
          <w:tcPr>
            <w:tcW w:w="771" w:type="dxa"/>
            <w:shd w:val="clear" w:color="auto" w:fill="auto"/>
          </w:tcPr>
          <w:p w14:paraId="73BE660A" w14:textId="77777777" w:rsidR="00601E56" w:rsidRPr="00601E56" w:rsidRDefault="00601E56" w:rsidP="00D03B0C"/>
        </w:tc>
        <w:tc>
          <w:tcPr>
            <w:tcW w:w="930" w:type="dxa"/>
            <w:gridSpan w:val="2"/>
            <w:shd w:val="clear" w:color="auto" w:fill="auto"/>
          </w:tcPr>
          <w:p w14:paraId="6A5D873D" w14:textId="77777777" w:rsidR="00601E56" w:rsidRPr="00601E56" w:rsidRDefault="00601E56" w:rsidP="00D03B0C"/>
        </w:tc>
        <w:tc>
          <w:tcPr>
            <w:tcW w:w="867" w:type="dxa"/>
            <w:shd w:val="clear" w:color="auto" w:fill="auto"/>
          </w:tcPr>
          <w:p w14:paraId="211A27DF" w14:textId="7E7C35A1" w:rsidR="00601E56" w:rsidRPr="00601E56" w:rsidRDefault="005E742D" w:rsidP="00D03B0C">
            <w:r>
              <w:t>45.65%</w:t>
            </w:r>
          </w:p>
        </w:tc>
        <w:tc>
          <w:tcPr>
            <w:tcW w:w="898" w:type="dxa"/>
            <w:shd w:val="clear" w:color="auto" w:fill="auto"/>
          </w:tcPr>
          <w:p w14:paraId="03786165" w14:textId="41EF5B07" w:rsidR="00601E56" w:rsidRPr="00601E56" w:rsidRDefault="005E742D" w:rsidP="00D03B0C">
            <w:r>
              <w:t>55.8%</w:t>
            </w:r>
          </w:p>
        </w:tc>
      </w:tr>
      <w:tr w:rsidR="00601E56" w14:paraId="1FE6398F" w14:textId="77777777" w:rsidTr="00FC2D31">
        <w:trPr>
          <w:trHeight w:val="532"/>
          <w:jc w:val="center"/>
        </w:trPr>
        <w:tc>
          <w:tcPr>
            <w:tcW w:w="3828" w:type="dxa"/>
            <w:vMerge/>
            <w:shd w:val="clear" w:color="auto" w:fill="auto"/>
          </w:tcPr>
          <w:p w14:paraId="7228B3B4" w14:textId="77777777" w:rsidR="00601E56" w:rsidRPr="00601E56" w:rsidRDefault="00601E56" w:rsidP="006E59EE">
            <w:pPr>
              <w:ind w:left="366" w:hanging="366"/>
            </w:pPr>
          </w:p>
        </w:tc>
        <w:tc>
          <w:tcPr>
            <w:tcW w:w="1134" w:type="dxa"/>
            <w:shd w:val="clear" w:color="auto" w:fill="auto"/>
          </w:tcPr>
          <w:p w14:paraId="2833FE87" w14:textId="0D7184FB" w:rsidR="00601E56" w:rsidRPr="00601E56" w:rsidRDefault="00601E56" w:rsidP="00D03B0C">
            <w:r w:rsidRPr="00601E56">
              <w:t>Year 5</w:t>
            </w:r>
          </w:p>
        </w:tc>
        <w:tc>
          <w:tcPr>
            <w:tcW w:w="771" w:type="dxa"/>
            <w:shd w:val="clear" w:color="auto" w:fill="auto"/>
          </w:tcPr>
          <w:p w14:paraId="6DB8380A" w14:textId="77777777" w:rsidR="00601E56" w:rsidRPr="00601E56" w:rsidRDefault="00601E56" w:rsidP="00D03B0C"/>
        </w:tc>
        <w:tc>
          <w:tcPr>
            <w:tcW w:w="930" w:type="dxa"/>
            <w:gridSpan w:val="2"/>
            <w:shd w:val="clear" w:color="auto" w:fill="auto"/>
          </w:tcPr>
          <w:p w14:paraId="4F4ABDE9" w14:textId="77777777" w:rsidR="00601E56" w:rsidRPr="00601E56" w:rsidRDefault="00601E56" w:rsidP="00D03B0C"/>
        </w:tc>
        <w:tc>
          <w:tcPr>
            <w:tcW w:w="867" w:type="dxa"/>
            <w:shd w:val="clear" w:color="auto" w:fill="auto"/>
          </w:tcPr>
          <w:p w14:paraId="01646B3D" w14:textId="7B26EA5F" w:rsidR="00601E56" w:rsidRPr="00601E56" w:rsidRDefault="005E742D" w:rsidP="00D03B0C">
            <w:r>
              <w:t>30%</w:t>
            </w:r>
          </w:p>
        </w:tc>
        <w:tc>
          <w:tcPr>
            <w:tcW w:w="898" w:type="dxa"/>
            <w:shd w:val="clear" w:color="auto" w:fill="auto"/>
          </w:tcPr>
          <w:p w14:paraId="0472C39A" w14:textId="2641ED03" w:rsidR="00601E56" w:rsidRPr="00601E56" w:rsidRDefault="005E742D" w:rsidP="00D03B0C">
            <w:r>
              <w:t>31.1%</w:t>
            </w:r>
          </w:p>
        </w:tc>
      </w:tr>
    </w:tbl>
    <w:p w14:paraId="139DE5A0" w14:textId="77777777" w:rsidR="003C69DC" w:rsidRPr="00E061B8" w:rsidRDefault="00997CD0" w:rsidP="005C7432">
      <w:pPr>
        <w:pStyle w:val="Heading3"/>
      </w:pPr>
      <w:r w:rsidRPr="00E061B8">
        <w:lastRenderedPageBreak/>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6F2C30EF" w14:textId="5EBEB397" w:rsidR="00002DAE" w:rsidRDefault="00AA64B0" w:rsidP="000420BE">
            <w:pPr>
              <w:pStyle w:val="PlainText"/>
              <w:numPr>
                <w:ilvl w:val="0"/>
                <w:numId w:val="2"/>
              </w:numPr>
              <w:ind w:left="426" w:hanging="425"/>
            </w:pPr>
            <w:r>
              <w:t xml:space="preserve">In the reading element of the PIPS assessment, 60% percent of students achieved </w:t>
            </w:r>
            <w:r w:rsidR="00903D18">
              <w:t>expected</w:t>
            </w:r>
            <w:r>
              <w:t xml:space="preserve"> progress or better in reading, a two-percentage point increase from the previous year.</w:t>
            </w:r>
          </w:p>
          <w:p w14:paraId="363AB0DF" w14:textId="3B464C92" w:rsidR="000420BE" w:rsidRDefault="00AA64B0" w:rsidP="000420BE">
            <w:pPr>
              <w:pStyle w:val="PlainText"/>
              <w:numPr>
                <w:ilvl w:val="0"/>
                <w:numId w:val="2"/>
              </w:numPr>
              <w:ind w:left="426" w:hanging="425"/>
            </w:pPr>
            <w:r>
              <w:t xml:space="preserve"> In the maths element of the PIPs assessment, 84% percent of students achieved average progress or better, a thirteen percent increase from the previous year. During the year</w:t>
            </w:r>
            <w:r w:rsidR="00CF4120">
              <w:t>,</w:t>
            </w:r>
            <w:r>
              <w:t xml:space="preserve"> six </w:t>
            </w:r>
            <w:r w:rsidR="00CF4120">
              <w:t xml:space="preserve">kindergarten </w:t>
            </w:r>
            <w:r>
              <w:t>children were identified for targeted small group and 1:1 student support</w:t>
            </w:r>
            <w:r w:rsidR="001B51D3">
              <w:t xml:space="preserve">. </w:t>
            </w:r>
          </w:p>
          <w:p w14:paraId="198BA01D" w14:textId="60F2AA35" w:rsidR="001B51D3" w:rsidRDefault="001B51D3" w:rsidP="000420BE">
            <w:pPr>
              <w:pStyle w:val="PlainText"/>
              <w:numPr>
                <w:ilvl w:val="0"/>
                <w:numId w:val="2"/>
              </w:numPr>
              <w:ind w:left="426" w:hanging="425"/>
            </w:pPr>
            <w:r>
              <w:t xml:space="preserve">The school </w:t>
            </w:r>
            <w:r w:rsidR="00CF4120">
              <w:t xml:space="preserve">also </w:t>
            </w:r>
            <w:r>
              <w:t xml:space="preserve">monitored school reading progress using PM Bench </w:t>
            </w:r>
            <w:r w:rsidR="00CF4120">
              <w:t>M</w:t>
            </w:r>
            <w:r>
              <w:t xml:space="preserve">arks. This data indicates that 94% of kindergarten students reached </w:t>
            </w:r>
            <w:r w:rsidR="00CF4120">
              <w:t xml:space="preserve">the expected </w:t>
            </w:r>
            <w:r>
              <w:t>PM reading benchmarks 5-8 by the end of kindergarten</w:t>
            </w:r>
          </w:p>
          <w:p w14:paraId="0FE7AE94" w14:textId="0B12043F" w:rsidR="000420BE" w:rsidRDefault="00292693" w:rsidP="003C69DC">
            <w:pPr>
              <w:pStyle w:val="PlainText"/>
              <w:numPr>
                <w:ilvl w:val="0"/>
                <w:numId w:val="2"/>
              </w:numPr>
              <w:ind w:left="426" w:hanging="425"/>
            </w:pPr>
            <w:r>
              <w:t xml:space="preserve">NAPLAN data </w:t>
            </w:r>
            <w:r w:rsidR="009610B7">
              <w:t xml:space="preserve">measuring the school’s performance overtime and actual gain </w:t>
            </w:r>
            <w:r>
              <w:t>indicates that whilst Chapman</w:t>
            </w:r>
            <w:r w:rsidR="009610B7">
              <w:t xml:space="preserve"> Primary</w:t>
            </w:r>
            <w:r>
              <w:t xml:space="preserve"> has </w:t>
            </w:r>
            <w:r w:rsidR="009610B7">
              <w:t xml:space="preserve">achieved above average performance and average gains across the cycle in reading and writing, </w:t>
            </w:r>
            <w:r w:rsidR="00077822">
              <w:t>i</w:t>
            </w:r>
            <w:r w:rsidR="00F262D8">
              <w:t>n numeracy the gain score compared to performance has generally been the lowest of all three assessments.  It is not</w:t>
            </w:r>
            <w:r w:rsidR="002E2A2D">
              <w:t xml:space="preserve"> </w:t>
            </w:r>
            <w:r w:rsidR="00F262D8">
              <w:t>known</w:t>
            </w:r>
            <w:r w:rsidR="002E2A2D">
              <w:t xml:space="preserve"> whether the impact of Chapman completing the assessment online in 2018 is a reason for decline in student gains from 2016-2018.</w:t>
            </w:r>
          </w:p>
          <w:p w14:paraId="07D34DBA" w14:textId="7EC66E31" w:rsidR="00161E50" w:rsidRDefault="00BE7372" w:rsidP="006D2F6B">
            <w:pPr>
              <w:pStyle w:val="PlainText"/>
              <w:numPr>
                <w:ilvl w:val="0"/>
                <w:numId w:val="2"/>
              </w:numPr>
              <w:ind w:left="426" w:hanging="425"/>
            </w:pPr>
            <w:r>
              <w:t xml:space="preserve">NAPLAN Growth data was analysed to track </w:t>
            </w:r>
            <w:r w:rsidR="00E25867">
              <w:t>students’</w:t>
            </w:r>
            <w:r>
              <w:t xml:space="preserve"> progress </w:t>
            </w:r>
            <w:r w:rsidR="00077822">
              <w:t>to</w:t>
            </w:r>
            <w:r>
              <w:t xml:space="preserve"> increasing the proportion of within matched students in the top two bands in each test domain. Data from 201</w:t>
            </w:r>
            <w:r w:rsidR="00077822">
              <w:t>6-</w:t>
            </w:r>
            <w:r>
              <w:t>2018 was analysed. Students demonstrated growth in the top 25</w:t>
            </w:r>
            <w:r w:rsidRPr="00BE7372">
              <w:rPr>
                <w:vertAlign w:val="superscript"/>
              </w:rPr>
              <w:t>th</w:t>
            </w:r>
            <w:r>
              <w:t xml:space="preserve"> percentile</w:t>
            </w:r>
          </w:p>
          <w:p w14:paraId="035BCA4C" w14:textId="52911E92" w:rsidR="0049575D" w:rsidRDefault="00CF4120" w:rsidP="006D2F6B">
            <w:pPr>
              <w:pStyle w:val="PlainText"/>
              <w:numPr>
                <w:ilvl w:val="0"/>
                <w:numId w:val="2"/>
              </w:numPr>
              <w:ind w:left="426" w:hanging="425"/>
            </w:pPr>
            <w:r>
              <w:t xml:space="preserve">NAPLAN </w:t>
            </w:r>
            <w:r w:rsidR="0049575D">
              <w:t>Reading 2016-2018 60.3% of students achieved at above or expected growth</w:t>
            </w:r>
          </w:p>
          <w:p w14:paraId="4A99F122" w14:textId="2683794C" w:rsidR="0049575D" w:rsidRDefault="00CF4120" w:rsidP="006D2F6B">
            <w:pPr>
              <w:pStyle w:val="PlainText"/>
              <w:numPr>
                <w:ilvl w:val="0"/>
                <w:numId w:val="2"/>
              </w:numPr>
              <w:ind w:left="426" w:hanging="425"/>
            </w:pPr>
            <w:r>
              <w:t xml:space="preserve">NAPLAN </w:t>
            </w:r>
            <w:r w:rsidR="0049575D">
              <w:t>Writing 2016-2018, 45.5% of students achieved at above expected growth</w:t>
            </w:r>
          </w:p>
          <w:p w14:paraId="72FA8610" w14:textId="3B195E10" w:rsidR="0049575D" w:rsidRDefault="00CF4120" w:rsidP="006D2F6B">
            <w:pPr>
              <w:pStyle w:val="PlainText"/>
              <w:numPr>
                <w:ilvl w:val="0"/>
                <w:numId w:val="2"/>
              </w:numPr>
              <w:ind w:left="426" w:hanging="425"/>
            </w:pPr>
            <w:r>
              <w:t xml:space="preserve">NAPLAN </w:t>
            </w:r>
            <w:r w:rsidR="0049575D">
              <w:t>Numeracy 2016-</w:t>
            </w:r>
            <w:r w:rsidR="00E25867">
              <w:t xml:space="preserve">2018 51.5% of </w:t>
            </w:r>
            <w:r w:rsidR="0049575D">
              <w:t xml:space="preserve">students </w:t>
            </w:r>
            <w:r w:rsidR="00E25867">
              <w:t>achieved at above or expected growth.</w:t>
            </w:r>
          </w:p>
          <w:p w14:paraId="2DE2AF72" w14:textId="77777777" w:rsidR="00E25867" w:rsidRDefault="00E25867" w:rsidP="006D2F6B">
            <w:pPr>
              <w:pStyle w:val="PlainText"/>
              <w:numPr>
                <w:ilvl w:val="0"/>
                <w:numId w:val="2"/>
              </w:numPr>
              <w:ind w:left="426" w:hanging="425"/>
            </w:pPr>
            <w:r>
              <w:t>The performance gain for our 2016-2018 cohort who completed the NAPLAN assessments online was the lowest it has been over the cycle.</w:t>
            </w:r>
          </w:p>
          <w:p w14:paraId="2DFB70DA" w14:textId="0AAC3562" w:rsidR="003C020B" w:rsidRDefault="003C020B" w:rsidP="00CC2470">
            <w:pPr>
              <w:pStyle w:val="PlainText"/>
              <w:numPr>
                <w:ilvl w:val="0"/>
                <w:numId w:val="2"/>
              </w:numPr>
              <w:ind w:left="426" w:hanging="425"/>
            </w:pPr>
            <w:r w:rsidRPr="00214E2C">
              <w:t xml:space="preserve">NAPLAN data and whole school spelling data strongly indicated that students at Chapman are not making significant progress. </w:t>
            </w:r>
            <w:r w:rsidR="00210015">
              <w:t xml:space="preserve">Whilst </w:t>
            </w:r>
            <w:r w:rsidR="005A0FA1">
              <w:t xml:space="preserve">Bee </w:t>
            </w:r>
            <w:r w:rsidR="00210015">
              <w:t xml:space="preserve">spelling data indicates that 80% or more of our </w:t>
            </w:r>
            <w:r w:rsidR="005A0FA1">
              <w:t>students</w:t>
            </w:r>
            <w:r w:rsidR="00210015">
              <w:t xml:space="preserve"> </w:t>
            </w:r>
            <w:r w:rsidR="005A0FA1">
              <w:t xml:space="preserve">K-2 </w:t>
            </w:r>
            <w:r w:rsidR="00210015">
              <w:t>are making growth</w:t>
            </w:r>
            <w:r w:rsidR="005A0FA1">
              <w:t>, t</w:t>
            </w:r>
            <w:r w:rsidR="00214E2C" w:rsidRPr="00214E2C">
              <w:t xml:space="preserve">here appears to be a decline in the percentage of students demonstrating growth </w:t>
            </w:r>
            <w:r w:rsidR="005A0FA1">
              <w:t>as</w:t>
            </w:r>
            <w:r w:rsidR="00214E2C" w:rsidRPr="00214E2C">
              <w:t xml:space="preserve"> </w:t>
            </w:r>
            <w:r w:rsidR="005A0FA1">
              <w:t>they progress</w:t>
            </w:r>
            <w:r w:rsidR="00214E2C" w:rsidRPr="00214E2C">
              <w:t xml:space="preserve"> through the grades. Some possible contributions to this </w:t>
            </w:r>
            <w:r w:rsidR="00210015" w:rsidRPr="00214E2C">
              <w:t>are</w:t>
            </w:r>
            <w:r w:rsidR="00214E2C" w:rsidRPr="00214E2C">
              <w:t xml:space="preserve"> the amount of content required to be covered, professional knowledge of staff and/or student engagement. Or is it attributed to the fact that the students are getting closer to the ceiling of the assessment tool as they get older?</w:t>
            </w:r>
          </w:p>
        </w:tc>
      </w:tr>
    </w:tbl>
    <w:p w14:paraId="05207219" w14:textId="77777777" w:rsidR="00937D6F" w:rsidRPr="00601E56" w:rsidRDefault="00937D6F" w:rsidP="00937D6F">
      <w:pPr>
        <w:pStyle w:val="Heading3"/>
        <w:rPr>
          <w:color w:val="1F4E79" w:themeColor="accent1" w:themeShade="80"/>
        </w:rPr>
      </w:pPr>
      <w:r w:rsidRPr="00601E56">
        <w:rPr>
          <w:color w:val="1F4E79" w:themeColor="accent1" w:themeShade="80"/>
        </w:rP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64DD62B1" w14:textId="322C0BCE" w:rsidR="00937D6F" w:rsidRDefault="00077822" w:rsidP="00903D18">
            <w:pPr>
              <w:pStyle w:val="PlainText"/>
              <w:numPr>
                <w:ilvl w:val="0"/>
                <w:numId w:val="2"/>
              </w:numPr>
              <w:ind w:left="426" w:hanging="425"/>
            </w:pPr>
            <w:r>
              <w:t>A School Improvement team was established to plan for and to lead the school review process.</w:t>
            </w:r>
          </w:p>
          <w:p w14:paraId="5ECDB07B" w14:textId="3F1094AF" w:rsidR="00D27E89" w:rsidRDefault="00D27E89" w:rsidP="00903D18">
            <w:pPr>
              <w:pStyle w:val="PlainText"/>
              <w:numPr>
                <w:ilvl w:val="0"/>
                <w:numId w:val="2"/>
              </w:numPr>
              <w:ind w:left="426" w:hanging="425"/>
            </w:pPr>
            <w:r>
              <w:t>Professional Learning Teams (PLTs) continued to prioritise the analysis of data and</w:t>
            </w:r>
            <w:r w:rsidR="00BE4E28">
              <w:t xml:space="preserve"> moderation of</w:t>
            </w:r>
            <w:r>
              <w:t xml:space="preserve"> work samples</w:t>
            </w:r>
          </w:p>
          <w:p w14:paraId="557BD4F0" w14:textId="113C5B01" w:rsidR="00D27E89" w:rsidRDefault="00D27E89" w:rsidP="00903D18">
            <w:pPr>
              <w:pStyle w:val="PlainText"/>
              <w:numPr>
                <w:ilvl w:val="0"/>
                <w:numId w:val="2"/>
              </w:numPr>
              <w:ind w:left="426" w:hanging="425"/>
            </w:pPr>
            <w:r>
              <w:t>Our Response to Intervention model was refined identifying appropriate levels of resourcing and support for teachers to make effective adjustments to student learning as a response to the analysis of data, to meet individual student needs.</w:t>
            </w:r>
          </w:p>
          <w:p w14:paraId="4636D1B8" w14:textId="7126DDA9" w:rsidR="00077822" w:rsidRDefault="00D27E89" w:rsidP="00903D18">
            <w:pPr>
              <w:pStyle w:val="PlainText"/>
              <w:numPr>
                <w:ilvl w:val="0"/>
                <w:numId w:val="2"/>
              </w:numPr>
              <w:ind w:left="426" w:hanging="425"/>
            </w:pPr>
            <w:r>
              <w:t xml:space="preserve">All teachers successfully utilising the Schools Administrative System (SAS) to </w:t>
            </w:r>
            <w:r w:rsidR="000E71C0">
              <w:t xml:space="preserve">enable the leadership team to </w:t>
            </w:r>
            <w:r>
              <w:t>monitor student demographic</w:t>
            </w:r>
            <w:r w:rsidR="000E71C0">
              <w:t xml:space="preserve">, attendance and </w:t>
            </w:r>
            <w:r w:rsidR="00BE4E28">
              <w:t>wellbeing</w:t>
            </w:r>
            <w:r w:rsidR="000E71C0">
              <w:t xml:space="preserve"> data</w:t>
            </w:r>
          </w:p>
          <w:p w14:paraId="13E7736A" w14:textId="4CAE9804" w:rsidR="000E71C0" w:rsidRDefault="000E71C0" w:rsidP="00903D18">
            <w:pPr>
              <w:pStyle w:val="PlainText"/>
              <w:numPr>
                <w:ilvl w:val="0"/>
                <w:numId w:val="2"/>
              </w:numPr>
              <w:ind w:left="426" w:hanging="425"/>
            </w:pPr>
            <w:r>
              <w:t>Teachers participated in professional learning to support their understanding of differentiation of the Australian Curriculum, moderating tasks and reporting to parents. Curriculum documentation was completed.</w:t>
            </w:r>
            <w:r w:rsidR="003C020B">
              <w:t xml:space="preserve"> Differentiation of curriculum delivery was a focus </w:t>
            </w:r>
            <w:r w:rsidR="00BE4E28">
              <w:t>fo</w:t>
            </w:r>
            <w:r w:rsidR="003C020B">
              <w:t>r QT rounds in 2018. Teachers observed others in practice and professional learning conversations were facilitated to provide</w:t>
            </w:r>
            <w:r w:rsidR="00BE4E28">
              <w:t xml:space="preserve"> constructive</w:t>
            </w:r>
            <w:r w:rsidR="003C020B">
              <w:t xml:space="preserve"> feedback.</w:t>
            </w:r>
          </w:p>
          <w:p w14:paraId="704447A9" w14:textId="77777777" w:rsidR="000E71C0" w:rsidRDefault="000E71C0" w:rsidP="00903D18">
            <w:pPr>
              <w:pStyle w:val="PlainText"/>
              <w:numPr>
                <w:ilvl w:val="0"/>
                <w:numId w:val="2"/>
              </w:numPr>
              <w:ind w:left="426" w:hanging="425"/>
            </w:pPr>
            <w:r>
              <w:t xml:space="preserve">All teachers had the opportunity to continue to build their understanding and their capacity to deliver an </w:t>
            </w:r>
            <w:r w:rsidR="00093FD3">
              <w:t>inquiry-based</w:t>
            </w:r>
            <w:r>
              <w:t xml:space="preserve"> curriculum. To support capacity building teachers created a </w:t>
            </w:r>
            <w:r>
              <w:lastRenderedPageBreak/>
              <w:t xml:space="preserve">SMART goal relating to their inquiry practice and were observed and provided with feedback on their practice </w:t>
            </w:r>
            <w:r w:rsidR="00093FD3">
              <w:t>following Learning Walks.</w:t>
            </w:r>
          </w:p>
          <w:p w14:paraId="0251B21E" w14:textId="2C560EFB" w:rsidR="00903D18" w:rsidRDefault="00093FD3" w:rsidP="00903D18">
            <w:pPr>
              <w:pStyle w:val="PlainText"/>
              <w:numPr>
                <w:ilvl w:val="0"/>
                <w:numId w:val="2"/>
              </w:numPr>
              <w:ind w:left="426" w:hanging="425"/>
            </w:pPr>
            <w:r>
              <w:t>All teachers had the opportunity to engage in targeted professional learning through coaching and mentoring</w:t>
            </w:r>
            <w:r w:rsidR="00941D73">
              <w:t xml:space="preserve"> continuing to use the GROWTH model for enhanced pedagogy</w:t>
            </w:r>
          </w:p>
          <w:p w14:paraId="14D56F0B" w14:textId="77777777" w:rsidR="00903D18" w:rsidRDefault="003C020B" w:rsidP="00903D18">
            <w:pPr>
              <w:pStyle w:val="PlainText"/>
              <w:numPr>
                <w:ilvl w:val="0"/>
                <w:numId w:val="2"/>
              </w:numPr>
              <w:ind w:left="426" w:hanging="425"/>
            </w:pPr>
            <w:r>
              <w:t xml:space="preserve">Upskilling teachers </w:t>
            </w:r>
            <w:r w:rsidR="000614C8">
              <w:t xml:space="preserve">by having a regular focus on data </w:t>
            </w:r>
            <w:r>
              <w:t>to</w:t>
            </w:r>
            <w:r w:rsidR="0063180B">
              <w:t xml:space="preserve"> enable them to </w:t>
            </w:r>
            <w:r w:rsidR="000614C8">
              <w:t>monitor student progress, identify explicit foci and inform differentiated instruction</w:t>
            </w:r>
            <w:r w:rsidR="0063180B">
              <w:t xml:space="preserve"> </w:t>
            </w:r>
            <w:r w:rsidR="000614C8">
              <w:t xml:space="preserve">to </w:t>
            </w:r>
            <w:r w:rsidR="0063180B">
              <w:t>cater for the range of abilities within their classes, with a focus on mathematics occurred through the school’s participation in PANL, improved pedagogical knowledge in the use of Count Me in Too, SENA and Middle Years Mental Computation.</w:t>
            </w:r>
          </w:p>
          <w:p w14:paraId="63ED8743" w14:textId="61DA755E" w:rsidR="00093FD3" w:rsidRDefault="0063180B" w:rsidP="00903D18">
            <w:pPr>
              <w:pStyle w:val="PlainText"/>
              <w:numPr>
                <w:ilvl w:val="0"/>
                <w:numId w:val="2"/>
              </w:numPr>
              <w:ind w:left="426" w:hanging="425"/>
            </w:pPr>
            <w:r>
              <w:t>P</w:t>
            </w:r>
            <w:r w:rsidR="00093FD3">
              <w:t>articipation in the development of whole school numeracy planning documents to strengthen consistency in mathematics teaching</w:t>
            </w:r>
            <w:r>
              <w:t>.</w:t>
            </w:r>
            <w:r w:rsidR="00093FD3">
              <w:t xml:space="preserve"> </w:t>
            </w:r>
            <w:r>
              <w:t>A</w:t>
            </w:r>
            <w:r w:rsidR="00093FD3">
              <w:t xml:space="preserve"> common planning </w:t>
            </w:r>
            <w:r>
              <w:t>template</w:t>
            </w:r>
            <w:r w:rsidR="00093FD3">
              <w:t xml:space="preserve"> </w:t>
            </w:r>
            <w:r>
              <w:t xml:space="preserve">was developed </w:t>
            </w:r>
            <w:r w:rsidR="000614C8">
              <w:t>collaboratively during</w:t>
            </w:r>
            <w:r>
              <w:t xml:space="preserve"> PLC time.</w:t>
            </w:r>
          </w:p>
          <w:p w14:paraId="48C5D032" w14:textId="1EBCC6F3" w:rsidR="0063180B" w:rsidRDefault="0063180B" w:rsidP="00D27E89">
            <w:pPr>
              <w:pStyle w:val="BodyText"/>
              <w:numPr>
                <w:ilvl w:val="0"/>
                <w:numId w:val="24"/>
              </w:numPr>
              <w:ind w:left="306" w:hanging="284"/>
            </w:pPr>
            <w:r>
              <w:t xml:space="preserve">Professional learning </w:t>
            </w:r>
            <w:r w:rsidR="000614C8">
              <w:t>communities (</w:t>
            </w:r>
            <w:r>
              <w:t>PLC) engaged in action research relating to reading and reading comprehension. Torch for years 3-6 was trialled and evaluated by the PLC</w:t>
            </w: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57C815B1" w14:textId="2136763C" w:rsidR="00937D6F" w:rsidRDefault="000614C8" w:rsidP="000F1D07">
            <w:pPr>
              <w:pStyle w:val="BodyText"/>
            </w:pPr>
            <w:r>
              <w:t>Better technological support to students to undertake NAPLAN online</w:t>
            </w:r>
          </w:p>
          <w:p w14:paraId="41628FA6" w14:textId="2CD9CB72" w:rsidR="00E6796E" w:rsidRDefault="00E6796E" w:rsidP="000F1D07">
            <w:pPr>
              <w:pStyle w:val="BodyText"/>
            </w:pPr>
            <w:r>
              <w:t>Year level PLCs to establish team norms and agreed protocols for collaborative and consistent team practices</w:t>
            </w:r>
          </w:p>
          <w:p w14:paraId="5B9AD8F1" w14:textId="3B2CE5EA" w:rsidR="000614C8" w:rsidRPr="00CC2470" w:rsidRDefault="000614C8" w:rsidP="000F1D07">
            <w:pPr>
              <w:pStyle w:val="BodyText"/>
            </w:pPr>
            <w:r w:rsidRPr="00CC2470">
              <w:t>A PLC to focus on what the data is telling us about our spelling</w:t>
            </w:r>
            <w:r w:rsidR="00CC2470" w:rsidRPr="00CC2470">
              <w:t>.</w:t>
            </w:r>
            <w:r w:rsidRPr="00CC2470">
              <w:t xml:space="preserve"> Action Learning to support what strategies will be required to improve student outcomes in th</w:t>
            </w:r>
            <w:r w:rsidR="00E6796E" w:rsidRPr="00CC2470">
              <w:t>i</w:t>
            </w:r>
            <w:r w:rsidRPr="00CC2470">
              <w:t>s area</w:t>
            </w:r>
            <w:r w:rsidR="00CC2470" w:rsidRPr="00CC2470">
              <w:t>. Where the percentage of growth is below 50%, we need to ask what is or isn’t happening within these classes? In 5/6RG many students went backwards. Do all teachers know how to mark the inventory and place the students accordingly? Is PL in BEE spelling required for some teachers? Are teachers engaging with the data that is provided to them at end of year transition? Are teachers really targeting their teaching and spelling activities to the areas of need in a students’ knowledge base?</w:t>
            </w:r>
          </w:p>
          <w:p w14:paraId="3BDFC50E" w14:textId="46CDE925" w:rsidR="00B64DDE" w:rsidRDefault="00B64DDE" w:rsidP="000F1D07">
            <w:pPr>
              <w:pStyle w:val="BodyText"/>
            </w:pPr>
            <w:r>
              <w:t>To engage expert Kath Murdoch to</w:t>
            </w:r>
            <w:r w:rsidR="00790F4B">
              <w:t xml:space="preserve"> work with teachers to build their capacity to create curious, thinking and engaged learners.</w:t>
            </w:r>
          </w:p>
          <w:p w14:paraId="21501890" w14:textId="4843F0D3" w:rsidR="00E6796E" w:rsidRDefault="00E6796E" w:rsidP="000F1D07">
            <w:pPr>
              <w:pStyle w:val="BodyText"/>
            </w:pPr>
            <w:r w:rsidRPr="00405983">
              <w:t xml:space="preserve">Use of </w:t>
            </w:r>
            <w:r w:rsidR="002933D1" w:rsidRPr="00405983">
              <w:t>multiple sources</w:t>
            </w:r>
            <w:r w:rsidRPr="00405983">
              <w:t xml:space="preserve"> of data including demographic, </w:t>
            </w:r>
            <w:r w:rsidR="00405983" w:rsidRPr="00405983">
              <w:t xml:space="preserve">student </w:t>
            </w:r>
            <w:r w:rsidR="00147E21" w:rsidRPr="00405983">
              <w:t>learning,</w:t>
            </w:r>
            <w:r w:rsidR="00405983" w:rsidRPr="00405983">
              <w:t xml:space="preserve"> perceptions, and school processes. to assess, analyse and develop strategies to improve student outcomes</w:t>
            </w:r>
            <w:r w:rsidRPr="00405983">
              <w:t xml:space="preserve"> </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3CCF850A"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D916B2" w:rsidRPr="00D916B2">
        <w:rPr>
          <w:color w:val="auto"/>
        </w:rPr>
        <w:t>Enhance school and community connections</w:t>
      </w:r>
    </w:p>
    <w:p w14:paraId="516A240E" w14:textId="77777777" w:rsidR="00EB70CE" w:rsidRPr="00837137" w:rsidRDefault="00EB70CE" w:rsidP="00EB70CE">
      <w:pPr>
        <w:pStyle w:val="Heading3"/>
      </w:pPr>
      <w:r w:rsidRPr="00837137">
        <w:t>Targets or measures</w:t>
      </w:r>
    </w:p>
    <w:p w14:paraId="6FF6208C" w14:textId="6E5242FE" w:rsidR="00EB70CE" w:rsidRDefault="00EB70CE" w:rsidP="00EB70CE">
      <w:pPr>
        <w:pStyle w:val="BodyText"/>
      </w:pPr>
      <w:r>
        <w:t>By the end of 20</w:t>
      </w:r>
      <w:r w:rsidR="00D916B2">
        <w:t>18</w:t>
      </w:r>
      <w:r>
        <w:t xml:space="preserve"> we will achieve:</w:t>
      </w:r>
    </w:p>
    <w:p w14:paraId="514A6E43" w14:textId="79E36313" w:rsidR="000B1D5C" w:rsidRDefault="002933D1" w:rsidP="000B1D5C">
      <w:pPr>
        <w:pStyle w:val="BodyText"/>
        <w:numPr>
          <w:ilvl w:val="0"/>
          <w:numId w:val="22"/>
        </w:numPr>
        <w:ind w:hanging="720"/>
      </w:pPr>
      <w:r>
        <w:t>Improved student</w:t>
      </w:r>
      <w:r w:rsidR="000B1D5C">
        <w:t xml:space="preserve"> wellbeing</w:t>
      </w:r>
    </w:p>
    <w:p w14:paraId="3491BDF7" w14:textId="45A6E5ED" w:rsidR="000B1D5C" w:rsidRDefault="000B1D5C" w:rsidP="000B1D5C">
      <w:pPr>
        <w:pStyle w:val="BodyText"/>
      </w:pPr>
      <w:r>
        <w:t>•</w:t>
      </w:r>
      <w:r>
        <w:tab/>
        <w:t>Broadened opportunities for home/ school connectedness</w:t>
      </w:r>
    </w:p>
    <w:p w14:paraId="439A3102" w14:textId="441CEC73" w:rsidR="000B1D5C" w:rsidRDefault="000B1D5C" w:rsidP="000B1D5C">
      <w:pPr>
        <w:pStyle w:val="BodyText"/>
      </w:pPr>
      <w:r>
        <w:t>•</w:t>
      </w:r>
      <w:r>
        <w:tab/>
        <w:t>Increased parent understanding of teaching and learning at Chapman Primary School</w:t>
      </w:r>
    </w:p>
    <w:p w14:paraId="590D72E7" w14:textId="24A7CF4C" w:rsidR="000B1D5C" w:rsidRDefault="000B1D5C" w:rsidP="000B1D5C">
      <w:pPr>
        <w:pStyle w:val="BodyText"/>
      </w:pPr>
      <w:r>
        <w:t>•</w:t>
      </w:r>
      <w:r>
        <w:tab/>
        <w:t>Enriched community partnerships</w:t>
      </w:r>
    </w:p>
    <w:p w14:paraId="23B4F552" w14:textId="77777777" w:rsidR="000B1D5C" w:rsidRDefault="000B1D5C" w:rsidP="000B1D5C">
      <w:pPr>
        <w:pStyle w:val="BodyText"/>
      </w:pPr>
      <w:r>
        <w:t xml:space="preserve">• </w:t>
      </w:r>
      <w:r>
        <w:tab/>
        <w:t>Maintain NQS 'exceeding National Standards' rating in QA6</w:t>
      </w:r>
    </w:p>
    <w:p w14:paraId="6BF90988" w14:textId="54C85014" w:rsidR="00EB70CE" w:rsidRPr="00373DC0" w:rsidRDefault="00EB70CE" w:rsidP="000B1D5C">
      <w:pPr>
        <w:pStyle w:val="BodyText"/>
      </w:pPr>
      <w:r w:rsidRPr="00373DC0">
        <w:t>In 20</w:t>
      </w:r>
      <w:r w:rsidR="00893814">
        <w:t>18</w:t>
      </w:r>
      <w:r w:rsidRPr="00373DC0">
        <w:t xml:space="preserve"> we </w:t>
      </w:r>
      <w:r>
        <w:t>implemented</w:t>
      </w:r>
      <w:r w:rsidRPr="00373DC0">
        <w:t xml:space="preserve"> this priority throug</w:t>
      </w:r>
      <w:r>
        <w:t xml:space="preserve">h the following </w:t>
      </w:r>
      <w:r w:rsidRPr="00373DC0">
        <w:t>strategies.</w:t>
      </w:r>
    </w:p>
    <w:p w14:paraId="3FE3ADF1" w14:textId="02199BE4" w:rsidR="00EB70CE" w:rsidRDefault="00893814" w:rsidP="00EB70CE">
      <w:pPr>
        <w:pStyle w:val="ListBullet"/>
      </w:pPr>
      <w:r w:rsidRPr="00893814">
        <w:t>Incorporat</w:t>
      </w:r>
      <w:r w:rsidR="000B1D5C">
        <w:t>ing</w:t>
      </w:r>
      <w:r w:rsidRPr="00893814">
        <w:t xml:space="preserve"> a framework to overarch student wellbeing and community engagement practices. </w:t>
      </w:r>
    </w:p>
    <w:p w14:paraId="130D7541" w14:textId="2B7E30C1" w:rsidR="00893814" w:rsidRDefault="00893814" w:rsidP="00EB70CE">
      <w:pPr>
        <w:pStyle w:val="ListBullet"/>
      </w:pPr>
      <w:r w:rsidRPr="00893814">
        <w:t>Engage</w:t>
      </w:r>
      <w:r w:rsidR="000B1D5C">
        <w:t>d</w:t>
      </w:r>
      <w:r w:rsidRPr="00893814">
        <w:t xml:space="preserve"> parents as active participants in their child’s learning and the school environment</w:t>
      </w:r>
    </w:p>
    <w:p w14:paraId="13F17F2B" w14:textId="1912313B" w:rsidR="00EB70CE" w:rsidRDefault="00893814" w:rsidP="00EB70CE">
      <w:pPr>
        <w:pStyle w:val="ListBullet"/>
      </w:pPr>
      <w:r w:rsidRPr="00893814">
        <w:t>Authentically embed</w:t>
      </w:r>
      <w:r w:rsidR="000B1D5C">
        <w:t>ded</w:t>
      </w:r>
      <w:r w:rsidRPr="00893814">
        <w:t xml:space="preserve"> ICT opportunities across the school and the community.</w:t>
      </w:r>
    </w:p>
    <w:p w14:paraId="32A84660"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277910B0" w14:textId="77777777" w:rsidR="00EB70CE" w:rsidRPr="008A01DA" w:rsidRDefault="00EB70CE" w:rsidP="00EB70CE">
      <w:pPr>
        <w:pStyle w:val="Heading4"/>
      </w:pPr>
      <w:r>
        <w:t>Perception Data</w:t>
      </w:r>
    </w:p>
    <w:tbl>
      <w:tblPr>
        <w:tblStyle w:val="TableGrid"/>
        <w:tblW w:w="8967" w:type="dxa"/>
        <w:jc w:val="center"/>
        <w:tblCellMar>
          <w:top w:w="57" w:type="dxa"/>
          <w:left w:w="57" w:type="dxa"/>
          <w:bottom w:w="57" w:type="dxa"/>
          <w:right w:w="57" w:type="dxa"/>
        </w:tblCellMar>
        <w:tblLook w:val="04A0" w:firstRow="1" w:lastRow="0" w:firstColumn="1" w:lastColumn="0" w:noHBand="0" w:noVBand="1"/>
      </w:tblPr>
      <w:tblGrid>
        <w:gridCol w:w="5017"/>
        <w:gridCol w:w="790"/>
        <w:gridCol w:w="790"/>
        <w:gridCol w:w="790"/>
        <w:gridCol w:w="790"/>
        <w:gridCol w:w="790"/>
      </w:tblGrid>
      <w:tr w:rsidR="00E6796E" w14:paraId="1396D008" w14:textId="77777777" w:rsidTr="00FC2D31">
        <w:trPr>
          <w:jc w:val="center"/>
        </w:trPr>
        <w:tc>
          <w:tcPr>
            <w:tcW w:w="5017" w:type="dxa"/>
            <w:shd w:val="clear" w:color="auto" w:fill="auto"/>
          </w:tcPr>
          <w:p w14:paraId="6A81EE33" w14:textId="77777777" w:rsidR="00E6796E" w:rsidRPr="006D2F6B" w:rsidRDefault="00E6796E" w:rsidP="00654356">
            <w:pPr>
              <w:rPr>
                <w:b/>
              </w:rPr>
            </w:pPr>
            <w:r w:rsidRPr="006D2F6B">
              <w:rPr>
                <w:b/>
              </w:rPr>
              <w:t>Targets or Measures</w:t>
            </w:r>
          </w:p>
        </w:tc>
        <w:tc>
          <w:tcPr>
            <w:tcW w:w="790" w:type="dxa"/>
            <w:shd w:val="clear" w:color="auto" w:fill="auto"/>
          </w:tcPr>
          <w:p w14:paraId="159C188F" w14:textId="77777777" w:rsidR="00E6796E" w:rsidRPr="006D2F6B" w:rsidRDefault="00E6796E" w:rsidP="00654356">
            <w:pPr>
              <w:jc w:val="center"/>
              <w:rPr>
                <w:b/>
              </w:rPr>
            </w:pPr>
            <w:r w:rsidRPr="006D2F6B">
              <w:rPr>
                <w:b/>
              </w:rPr>
              <w:t>Base</w:t>
            </w:r>
          </w:p>
        </w:tc>
        <w:tc>
          <w:tcPr>
            <w:tcW w:w="790" w:type="dxa"/>
            <w:shd w:val="clear" w:color="auto" w:fill="auto"/>
          </w:tcPr>
          <w:p w14:paraId="2066ED5C" w14:textId="77777777" w:rsidR="00E6796E" w:rsidRPr="006D2F6B" w:rsidRDefault="00E6796E" w:rsidP="00654356">
            <w:pPr>
              <w:jc w:val="center"/>
              <w:rPr>
                <w:b/>
              </w:rPr>
            </w:pPr>
            <w:r w:rsidRPr="006D2F6B">
              <w:rPr>
                <w:b/>
              </w:rPr>
              <w:t>Year 1</w:t>
            </w:r>
          </w:p>
        </w:tc>
        <w:tc>
          <w:tcPr>
            <w:tcW w:w="790" w:type="dxa"/>
            <w:shd w:val="clear" w:color="auto" w:fill="auto"/>
          </w:tcPr>
          <w:p w14:paraId="27AC99DF" w14:textId="77777777" w:rsidR="00E6796E" w:rsidRPr="006D2F6B" w:rsidRDefault="00E6796E" w:rsidP="00654356">
            <w:pPr>
              <w:jc w:val="center"/>
              <w:rPr>
                <w:b/>
              </w:rPr>
            </w:pPr>
            <w:r w:rsidRPr="006D2F6B">
              <w:rPr>
                <w:b/>
              </w:rPr>
              <w:t>Year 2</w:t>
            </w:r>
          </w:p>
        </w:tc>
        <w:tc>
          <w:tcPr>
            <w:tcW w:w="790" w:type="dxa"/>
            <w:shd w:val="clear" w:color="auto" w:fill="auto"/>
          </w:tcPr>
          <w:p w14:paraId="2397C360" w14:textId="77777777" w:rsidR="00E6796E" w:rsidRPr="006D2F6B" w:rsidRDefault="00E6796E" w:rsidP="00654356">
            <w:pPr>
              <w:jc w:val="center"/>
              <w:rPr>
                <w:b/>
              </w:rPr>
            </w:pPr>
            <w:r w:rsidRPr="006D2F6B">
              <w:rPr>
                <w:b/>
              </w:rPr>
              <w:t>Year 3</w:t>
            </w:r>
          </w:p>
        </w:tc>
        <w:tc>
          <w:tcPr>
            <w:tcW w:w="790" w:type="dxa"/>
            <w:shd w:val="clear" w:color="auto" w:fill="auto"/>
          </w:tcPr>
          <w:p w14:paraId="102EF8AB" w14:textId="77777777" w:rsidR="00E6796E" w:rsidRPr="006D2F6B" w:rsidRDefault="00E6796E" w:rsidP="00654356">
            <w:pPr>
              <w:jc w:val="center"/>
              <w:rPr>
                <w:b/>
              </w:rPr>
            </w:pPr>
            <w:r w:rsidRPr="006D2F6B">
              <w:rPr>
                <w:b/>
              </w:rPr>
              <w:t>Year 4</w:t>
            </w:r>
          </w:p>
        </w:tc>
      </w:tr>
      <w:tr w:rsidR="00E6796E" w14:paraId="715AAF1C" w14:textId="77777777" w:rsidTr="00FC2D31">
        <w:trPr>
          <w:jc w:val="center"/>
        </w:trPr>
        <w:tc>
          <w:tcPr>
            <w:tcW w:w="5017" w:type="dxa"/>
            <w:shd w:val="clear" w:color="auto" w:fill="auto"/>
          </w:tcPr>
          <w:p w14:paraId="1BB77CFA" w14:textId="726E2180" w:rsidR="00E6796E" w:rsidRPr="001750C6" w:rsidRDefault="00E6796E" w:rsidP="00654356">
            <w:pPr>
              <w:widowControl w:val="0"/>
              <w:numPr>
                <w:ilvl w:val="0"/>
                <w:numId w:val="23"/>
              </w:numPr>
              <w:rPr>
                <w:rFonts w:cs="Calibri"/>
                <w:lang w:val="en-US"/>
              </w:rPr>
            </w:pPr>
            <w:r w:rsidRPr="00247118">
              <w:rPr>
                <w:rFonts w:cs="Calibri"/>
                <w:lang w:val="en-US"/>
              </w:rPr>
              <w:t xml:space="preserve">Increase in student satisfaction data </w:t>
            </w:r>
            <w:r w:rsidRPr="00247118">
              <w:rPr>
                <w:rFonts w:cs="Calibri"/>
                <w:i/>
                <w:lang w:val="en-US"/>
              </w:rPr>
              <w:t>I can talk to my teachers about my concerns</w:t>
            </w:r>
            <w:r w:rsidRPr="00247118">
              <w:rPr>
                <w:rFonts w:cs="Calibri"/>
                <w:lang w:val="en-US"/>
              </w:rPr>
              <w:t xml:space="preserve"> </w:t>
            </w:r>
            <w:r>
              <w:rPr>
                <w:rFonts w:cs="Calibri"/>
                <w:lang w:val="en-US"/>
              </w:rPr>
              <w:t>6</w:t>
            </w:r>
            <w:r w:rsidR="00BE4E28">
              <w:rPr>
                <w:rFonts w:cs="Calibri"/>
                <w:lang w:val="en-US"/>
              </w:rPr>
              <w:t>5</w:t>
            </w:r>
            <w:r>
              <w:rPr>
                <w:rFonts w:cs="Calibri"/>
                <w:lang w:val="en-US"/>
              </w:rPr>
              <w:t>% in 2017</w:t>
            </w:r>
            <w:r w:rsidRPr="00247118">
              <w:rPr>
                <w:rFonts w:cs="Calibri"/>
                <w:lang w:val="en-US"/>
              </w:rPr>
              <w:t xml:space="preserve"> to 70% in 2018</w:t>
            </w:r>
          </w:p>
        </w:tc>
        <w:tc>
          <w:tcPr>
            <w:tcW w:w="790" w:type="dxa"/>
            <w:shd w:val="clear" w:color="auto" w:fill="auto"/>
          </w:tcPr>
          <w:p w14:paraId="694253E4" w14:textId="77777777" w:rsidR="00E6796E" w:rsidRPr="006D2F6B" w:rsidRDefault="00E6796E" w:rsidP="00654356"/>
        </w:tc>
        <w:tc>
          <w:tcPr>
            <w:tcW w:w="790" w:type="dxa"/>
            <w:shd w:val="clear" w:color="auto" w:fill="auto"/>
          </w:tcPr>
          <w:p w14:paraId="30994033" w14:textId="4E60B865" w:rsidR="00E6796E" w:rsidRPr="006D2F6B" w:rsidRDefault="004C34B0" w:rsidP="00654356">
            <w:r>
              <w:t>73%</w:t>
            </w:r>
          </w:p>
        </w:tc>
        <w:tc>
          <w:tcPr>
            <w:tcW w:w="790" w:type="dxa"/>
            <w:shd w:val="clear" w:color="auto" w:fill="auto"/>
          </w:tcPr>
          <w:p w14:paraId="0240AD5D" w14:textId="6F8ED8E0" w:rsidR="00E6796E" w:rsidRPr="006D2F6B" w:rsidRDefault="004C34B0" w:rsidP="00654356">
            <w:r>
              <w:t>75%</w:t>
            </w:r>
          </w:p>
        </w:tc>
        <w:tc>
          <w:tcPr>
            <w:tcW w:w="790" w:type="dxa"/>
            <w:shd w:val="clear" w:color="auto" w:fill="auto"/>
          </w:tcPr>
          <w:p w14:paraId="06476B2E" w14:textId="5B5F0419" w:rsidR="00E6796E" w:rsidRPr="006D2F6B" w:rsidRDefault="00E6796E" w:rsidP="00654356">
            <w:r>
              <w:t>6</w:t>
            </w:r>
            <w:r w:rsidR="004C34B0">
              <w:t>5</w:t>
            </w:r>
            <w:r>
              <w:t>%</w:t>
            </w:r>
          </w:p>
        </w:tc>
        <w:tc>
          <w:tcPr>
            <w:tcW w:w="790" w:type="dxa"/>
            <w:shd w:val="clear" w:color="auto" w:fill="auto"/>
          </w:tcPr>
          <w:p w14:paraId="7CE7857F" w14:textId="6AF3F9EA" w:rsidR="00E6796E" w:rsidRPr="006D2F6B" w:rsidRDefault="00E6796E" w:rsidP="00654356">
            <w:r>
              <w:t>64%</w:t>
            </w:r>
          </w:p>
        </w:tc>
      </w:tr>
      <w:tr w:rsidR="00E6796E" w14:paraId="44591D9C" w14:textId="77777777" w:rsidTr="00FC2D31">
        <w:trPr>
          <w:jc w:val="center"/>
        </w:trPr>
        <w:tc>
          <w:tcPr>
            <w:tcW w:w="5017" w:type="dxa"/>
            <w:shd w:val="clear" w:color="auto" w:fill="auto"/>
          </w:tcPr>
          <w:p w14:paraId="2F9AC35D" w14:textId="40313E78" w:rsidR="00E6796E" w:rsidRPr="00247118" w:rsidRDefault="00E6796E" w:rsidP="00683858">
            <w:pPr>
              <w:widowControl w:val="0"/>
              <w:numPr>
                <w:ilvl w:val="0"/>
                <w:numId w:val="23"/>
              </w:numPr>
              <w:rPr>
                <w:rFonts w:cs="Calibri"/>
                <w:lang w:val="en-US"/>
              </w:rPr>
            </w:pPr>
            <w:r w:rsidRPr="007D0E93">
              <w:rPr>
                <w:rFonts w:cs="Calibri"/>
                <w:lang w:val="en-US"/>
              </w:rPr>
              <w:t xml:space="preserve">Increase in student satisfaction data </w:t>
            </w:r>
            <w:r w:rsidRPr="007D0E93">
              <w:rPr>
                <w:rFonts w:cs="Calibri"/>
                <w:i/>
                <w:lang w:val="en-US"/>
              </w:rPr>
              <w:t>Teachers at my school treat students fairly</w:t>
            </w:r>
            <w:r w:rsidRPr="007D0E93">
              <w:rPr>
                <w:rFonts w:cs="Calibri"/>
                <w:lang w:val="en-US"/>
              </w:rPr>
              <w:t xml:space="preserve"> 77% in 2017 to 79% in 2018</w:t>
            </w:r>
          </w:p>
        </w:tc>
        <w:tc>
          <w:tcPr>
            <w:tcW w:w="790" w:type="dxa"/>
            <w:shd w:val="clear" w:color="auto" w:fill="auto"/>
          </w:tcPr>
          <w:p w14:paraId="5F45A378" w14:textId="1754831A" w:rsidR="00E6796E" w:rsidRPr="006D2F6B" w:rsidRDefault="00E6796E" w:rsidP="00683858"/>
        </w:tc>
        <w:tc>
          <w:tcPr>
            <w:tcW w:w="790" w:type="dxa"/>
            <w:shd w:val="clear" w:color="auto" w:fill="auto"/>
          </w:tcPr>
          <w:p w14:paraId="0D9D26E3" w14:textId="5622EF93" w:rsidR="00E6796E" w:rsidRPr="006D2F6B" w:rsidRDefault="004C34B0" w:rsidP="00683858">
            <w:r>
              <w:t>81%</w:t>
            </w:r>
          </w:p>
        </w:tc>
        <w:tc>
          <w:tcPr>
            <w:tcW w:w="790" w:type="dxa"/>
            <w:shd w:val="clear" w:color="auto" w:fill="auto"/>
          </w:tcPr>
          <w:p w14:paraId="60E98258" w14:textId="154DD151" w:rsidR="00E6796E" w:rsidRPr="006D2F6B" w:rsidRDefault="004C34B0" w:rsidP="00683858">
            <w:r>
              <w:t>76%</w:t>
            </w:r>
          </w:p>
        </w:tc>
        <w:tc>
          <w:tcPr>
            <w:tcW w:w="790" w:type="dxa"/>
            <w:shd w:val="clear" w:color="auto" w:fill="auto"/>
          </w:tcPr>
          <w:p w14:paraId="793A466D" w14:textId="6BC9D3D7" w:rsidR="00E6796E" w:rsidRPr="006D2F6B" w:rsidRDefault="00E6796E" w:rsidP="00683858">
            <w:r>
              <w:t>77%</w:t>
            </w:r>
          </w:p>
        </w:tc>
        <w:tc>
          <w:tcPr>
            <w:tcW w:w="790" w:type="dxa"/>
            <w:shd w:val="clear" w:color="auto" w:fill="auto"/>
          </w:tcPr>
          <w:p w14:paraId="4BACC958" w14:textId="0519ACCF" w:rsidR="00E6796E" w:rsidRPr="006D2F6B" w:rsidRDefault="00E6796E" w:rsidP="00683858">
            <w:r>
              <w:t>58%</w:t>
            </w:r>
          </w:p>
        </w:tc>
      </w:tr>
      <w:tr w:rsidR="00E6796E" w14:paraId="6DD2C688" w14:textId="77777777" w:rsidTr="00FC2D31">
        <w:trPr>
          <w:jc w:val="center"/>
        </w:trPr>
        <w:tc>
          <w:tcPr>
            <w:tcW w:w="5017" w:type="dxa"/>
            <w:shd w:val="clear" w:color="auto" w:fill="auto"/>
          </w:tcPr>
          <w:p w14:paraId="3EFCC141" w14:textId="38D0D21F" w:rsidR="00E6796E" w:rsidRPr="006D2F6B" w:rsidRDefault="00E6796E" w:rsidP="00683858">
            <w:pPr>
              <w:pStyle w:val="ListParagraph"/>
              <w:numPr>
                <w:ilvl w:val="0"/>
                <w:numId w:val="23"/>
              </w:numPr>
            </w:pPr>
            <w:r w:rsidRPr="00683858">
              <w:rPr>
                <w:rFonts w:eastAsia="Times New Roman"/>
                <w:lang w:eastAsia="en-AU"/>
              </w:rPr>
              <w:t>100% of teachers utilise Google Apps for Education (GAFE) to create team planning documents</w:t>
            </w:r>
          </w:p>
        </w:tc>
        <w:tc>
          <w:tcPr>
            <w:tcW w:w="790" w:type="dxa"/>
            <w:shd w:val="clear" w:color="auto" w:fill="auto"/>
          </w:tcPr>
          <w:p w14:paraId="018EACAA" w14:textId="77777777" w:rsidR="00E6796E" w:rsidRPr="006D2F6B" w:rsidRDefault="00E6796E" w:rsidP="00654356"/>
        </w:tc>
        <w:tc>
          <w:tcPr>
            <w:tcW w:w="790" w:type="dxa"/>
            <w:shd w:val="clear" w:color="auto" w:fill="auto"/>
          </w:tcPr>
          <w:p w14:paraId="5982A543" w14:textId="77777777" w:rsidR="00E6796E" w:rsidRPr="006D2F6B" w:rsidRDefault="00E6796E" w:rsidP="00654356"/>
        </w:tc>
        <w:tc>
          <w:tcPr>
            <w:tcW w:w="790" w:type="dxa"/>
            <w:shd w:val="clear" w:color="auto" w:fill="auto"/>
          </w:tcPr>
          <w:p w14:paraId="040ADB54" w14:textId="77777777" w:rsidR="00E6796E" w:rsidRPr="006D2F6B" w:rsidRDefault="00E6796E" w:rsidP="00654356"/>
        </w:tc>
        <w:tc>
          <w:tcPr>
            <w:tcW w:w="790" w:type="dxa"/>
            <w:shd w:val="clear" w:color="auto" w:fill="auto"/>
          </w:tcPr>
          <w:p w14:paraId="2F8CD83E" w14:textId="0CA3965A" w:rsidR="00E6796E" w:rsidRPr="006D2F6B" w:rsidRDefault="00E6796E" w:rsidP="00654356">
            <w:r>
              <w:t>50%</w:t>
            </w:r>
          </w:p>
        </w:tc>
        <w:tc>
          <w:tcPr>
            <w:tcW w:w="790" w:type="dxa"/>
            <w:shd w:val="clear" w:color="auto" w:fill="auto"/>
          </w:tcPr>
          <w:p w14:paraId="49509B3D" w14:textId="4EDAA57D" w:rsidR="00E6796E" w:rsidRPr="006D2F6B" w:rsidRDefault="00E6796E" w:rsidP="00654356">
            <w:r>
              <w:t>100%</w:t>
            </w:r>
          </w:p>
        </w:tc>
      </w:tr>
    </w:tbl>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719D30DA" w14:textId="77777777" w:rsidR="001C79BB" w:rsidRDefault="00E52BDE" w:rsidP="00654356">
            <w:pPr>
              <w:pStyle w:val="PlainText"/>
              <w:numPr>
                <w:ilvl w:val="0"/>
                <w:numId w:val="2"/>
              </w:numPr>
              <w:ind w:left="426" w:hanging="425"/>
            </w:pPr>
            <w:r>
              <w:t xml:space="preserve">Whilst most of the participants in the School Satisfaction survey indicated that they were overall satisfied with </w:t>
            </w:r>
            <w:r w:rsidR="001C79BB">
              <w:t xml:space="preserve">most aspects of the school environment data indicated that there are some areas that require further interrogation. </w:t>
            </w:r>
          </w:p>
          <w:p w14:paraId="1D481041" w14:textId="078B4F68" w:rsidR="002E2A2D" w:rsidRDefault="002E2A2D" w:rsidP="00654356">
            <w:pPr>
              <w:pStyle w:val="PlainText"/>
              <w:numPr>
                <w:ilvl w:val="0"/>
                <w:numId w:val="2"/>
              </w:numPr>
              <w:ind w:left="426" w:hanging="425"/>
            </w:pPr>
            <w:r>
              <w:t>In 2018 behavioural complexities and challenges impacted on the demands and capacity of the leadership team</w:t>
            </w:r>
            <w:r w:rsidR="0003696B">
              <w:t>, teachers and support staff. Data indicated increased negative incidents</w:t>
            </w:r>
            <w:r w:rsidR="00E6796E">
              <w:t xml:space="preserve"> and</w:t>
            </w:r>
            <w:r w:rsidR="0003696B">
              <w:t xml:space="preserve"> increased referrals to </w:t>
            </w:r>
            <w:r w:rsidR="00BE4E28">
              <w:t>ACT Education Directora</w:t>
            </w:r>
            <w:r w:rsidR="00B63FA3">
              <w:t xml:space="preserve">te </w:t>
            </w:r>
            <w:r w:rsidR="0003696B">
              <w:t>N</w:t>
            </w:r>
            <w:r w:rsidR="00B63FA3">
              <w:t xml:space="preserve">etwork </w:t>
            </w:r>
            <w:r w:rsidR="0003696B">
              <w:t>S</w:t>
            </w:r>
            <w:r w:rsidR="00B63FA3">
              <w:t xml:space="preserve">tudent </w:t>
            </w:r>
            <w:r w:rsidR="0003696B">
              <w:t>E</w:t>
            </w:r>
            <w:r w:rsidR="00B63FA3">
              <w:t xml:space="preserve">ngagement </w:t>
            </w:r>
            <w:r w:rsidR="0003696B">
              <w:t>T</w:t>
            </w:r>
            <w:r w:rsidR="00B63FA3">
              <w:t>eam</w:t>
            </w:r>
            <w:r w:rsidR="00E6796E">
              <w:t xml:space="preserve">. </w:t>
            </w:r>
            <w:r w:rsidR="0003696B">
              <w:t xml:space="preserve">The impact of these challenging behaviours was indicated in </w:t>
            </w:r>
            <w:r w:rsidR="009022BB">
              <w:t xml:space="preserve">both teacher and student </w:t>
            </w:r>
            <w:r w:rsidR="0003696B">
              <w:t>satisfaction data.</w:t>
            </w:r>
            <w:r w:rsidR="009022BB">
              <w:t xml:space="preserve"> In dedicated Professional Learning Community time, teachers were provided with the opportunity to interrogate the data</w:t>
            </w:r>
            <w:r w:rsidR="000C4C74">
              <w:t xml:space="preserve"> </w:t>
            </w:r>
            <w:r w:rsidR="00A35698">
              <w:t>using the Discipline Dialogue questions</w:t>
            </w:r>
            <w:r w:rsidR="007B194B">
              <w:t xml:space="preserve"> </w:t>
            </w:r>
            <w:r w:rsidR="000C4C74">
              <w:t>and</w:t>
            </w:r>
            <w:r w:rsidR="007B194B">
              <w:t xml:space="preserve"> to articulate the</w:t>
            </w:r>
            <w:r w:rsidR="000C4C74">
              <w:t xml:space="preserve"> implications. Feedback from these professional learning conversations was utilised in strategically planning and constructing classrooms for 2019 with</w:t>
            </w:r>
            <w:r w:rsidR="00B63FA3">
              <w:t xml:space="preserve"> the creation of an</w:t>
            </w:r>
            <w:r w:rsidR="000C4C74">
              <w:t xml:space="preserve"> additional class for year 5/6.</w:t>
            </w:r>
          </w:p>
          <w:p w14:paraId="13D6AD0F" w14:textId="6473C470" w:rsidR="009022BB" w:rsidRDefault="00B63FA3" w:rsidP="00654356">
            <w:pPr>
              <w:pStyle w:val="PlainText"/>
              <w:numPr>
                <w:ilvl w:val="0"/>
                <w:numId w:val="2"/>
              </w:numPr>
              <w:ind w:left="426" w:hanging="425"/>
            </w:pPr>
            <w:r>
              <w:t>Over one third of our students</w:t>
            </w:r>
            <w:r w:rsidR="009022BB">
              <w:t xml:space="preserve"> continue to articulate through survey data that they don’t feel comfortable talking with their teachers.</w:t>
            </w:r>
          </w:p>
          <w:p w14:paraId="1B4FB802" w14:textId="478A7FC8" w:rsidR="00D12F44" w:rsidRDefault="007B194B" w:rsidP="00D12F44">
            <w:pPr>
              <w:pStyle w:val="PlainText"/>
              <w:numPr>
                <w:ilvl w:val="0"/>
                <w:numId w:val="2"/>
              </w:numPr>
              <w:ind w:left="426" w:hanging="425"/>
            </w:pPr>
            <w:r>
              <w:lastRenderedPageBreak/>
              <w:t xml:space="preserve">In 2018 the number of students who indicated </w:t>
            </w:r>
            <w:r w:rsidRPr="007B194B">
              <w:rPr>
                <w:i/>
              </w:rPr>
              <w:t>teachers treat them fairly</w:t>
            </w:r>
            <w:r>
              <w:rPr>
                <w:i/>
              </w:rPr>
              <w:t xml:space="preserve"> </w:t>
            </w:r>
            <w:r>
              <w:t xml:space="preserve">declined by 20%. This was a most unexpected result and teachers shared the results with students by holding focus groups </w:t>
            </w:r>
            <w:r w:rsidR="00A71FC5">
              <w:t>and seeking their feedback. When unpacked the results were influenced by inappropriate behaviour of a small group of students.</w:t>
            </w:r>
          </w:p>
          <w:p w14:paraId="30A03594" w14:textId="593BF49E" w:rsidR="00A71FC5" w:rsidRDefault="001C79BB" w:rsidP="00654356">
            <w:pPr>
              <w:pStyle w:val="PlainText"/>
              <w:numPr>
                <w:ilvl w:val="0"/>
                <w:numId w:val="2"/>
              </w:numPr>
              <w:ind w:left="426" w:hanging="425"/>
            </w:pPr>
            <w:r>
              <w:t xml:space="preserve">The preschool was assessed against the National Quality Standards in August 2018 and whilst the school initially did not meet the targeted </w:t>
            </w:r>
            <w:r w:rsidRPr="00D12F44">
              <w:rPr>
                <w:i/>
              </w:rPr>
              <w:t>exceeding NQS</w:t>
            </w:r>
            <w:r>
              <w:t xml:space="preserve"> in Quality Area 6, this was reassessed in December, receiving exceeding status and providing the school with an overall rating of </w:t>
            </w:r>
            <w:r w:rsidRPr="001C79BB">
              <w:rPr>
                <w:i/>
              </w:rPr>
              <w:t>exceeding NQS.</w:t>
            </w:r>
          </w:p>
          <w:p w14:paraId="17DDC188" w14:textId="1BA8AA76" w:rsidR="00EB70CE" w:rsidRDefault="00A71FC5" w:rsidP="00654356">
            <w:pPr>
              <w:pStyle w:val="PlainText"/>
              <w:numPr>
                <w:ilvl w:val="0"/>
                <w:numId w:val="2"/>
              </w:numPr>
              <w:ind w:left="426" w:hanging="425"/>
            </w:pPr>
            <w:r>
              <w:t xml:space="preserve">All teachers and the leadership team utilise </w:t>
            </w:r>
          </w:p>
        </w:tc>
      </w:tr>
    </w:tbl>
    <w:p w14:paraId="529C3E95" w14:textId="77777777" w:rsidR="00937D6F" w:rsidRPr="00436626"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1297B3E9" w14:textId="2DC42C7D" w:rsidR="00A71FC5" w:rsidRPr="00B64DDE" w:rsidRDefault="00D12F44" w:rsidP="00B64DDE">
            <w:pPr>
              <w:pStyle w:val="PlainText"/>
              <w:numPr>
                <w:ilvl w:val="0"/>
                <w:numId w:val="2"/>
              </w:numPr>
              <w:ind w:left="426" w:hanging="425"/>
            </w:pPr>
            <w:r w:rsidRPr="00B64DDE">
              <w:t xml:space="preserve">Chapman Primary School became an accredited KidsMatter School after </w:t>
            </w:r>
            <w:r w:rsidR="00B64DDE">
              <w:t xml:space="preserve">all staff </w:t>
            </w:r>
            <w:r w:rsidRPr="00B64DDE">
              <w:t>complet</w:t>
            </w:r>
            <w:r w:rsidR="00B64DDE">
              <w:t>ed</w:t>
            </w:r>
            <w:r w:rsidRPr="00B64DDE">
              <w:t xml:space="preserve"> module four Mental Health – Getting help when you need it</w:t>
            </w:r>
          </w:p>
          <w:p w14:paraId="1FA386AB" w14:textId="59A923BF" w:rsidR="00D12F44" w:rsidRPr="00B64DDE" w:rsidRDefault="00D12F44" w:rsidP="00B64DDE">
            <w:pPr>
              <w:pStyle w:val="PlainText"/>
              <w:numPr>
                <w:ilvl w:val="0"/>
                <w:numId w:val="2"/>
              </w:numPr>
              <w:ind w:left="426" w:hanging="425"/>
            </w:pPr>
            <w:r w:rsidRPr="00B64DDE">
              <w:t xml:space="preserve">A whole school approach to health and wellbeing </w:t>
            </w:r>
            <w:r w:rsidR="00B64DDE" w:rsidRPr="00B64DDE">
              <w:t xml:space="preserve">is embedded across the school. The Social Emotional </w:t>
            </w:r>
            <w:r w:rsidR="00DC12EE">
              <w:t>l</w:t>
            </w:r>
            <w:r w:rsidR="00B64DDE" w:rsidRPr="00B64DDE">
              <w:t>earning program has been made visible in every classroom.</w:t>
            </w:r>
          </w:p>
          <w:p w14:paraId="1E1DF45B" w14:textId="173E6540" w:rsidR="00B64DDE" w:rsidRPr="00B64DDE" w:rsidRDefault="00B64DDE" w:rsidP="00B64DDE">
            <w:pPr>
              <w:pStyle w:val="PlainText"/>
              <w:numPr>
                <w:ilvl w:val="0"/>
                <w:numId w:val="2"/>
              </w:numPr>
              <w:ind w:left="426" w:hanging="425"/>
            </w:pPr>
            <w:r w:rsidRPr="00B64DDE">
              <w:t>Parents participated in targeted workshops, including reading, cyber safety, strategies to support students through fine motor activities and orientation workshops.</w:t>
            </w:r>
          </w:p>
          <w:p w14:paraId="5899B24A" w14:textId="7D6F3DD1" w:rsidR="00D12F44" w:rsidRDefault="00790F4B" w:rsidP="00B64DDE">
            <w:pPr>
              <w:pStyle w:val="PlainText"/>
              <w:numPr>
                <w:ilvl w:val="0"/>
                <w:numId w:val="2"/>
              </w:numPr>
              <w:ind w:left="426" w:hanging="425"/>
            </w:pPr>
            <w:r>
              <w:t>Exceeding NQS rating maintained</w:t>
            </w:r>
          </w:p>
          <w:p w14:paraId="2FA386F8" w14:textId="3CC197C0" w:rsidR="00790F4B" w:rsidRDefault="00790F4B" w:rsidP="00B64DDE">
            <w:pPr>
              <w:pStyle w:val="PlainText"/>
              <w:numPr>
                <w:ilvl w:val="0"/>
                <w:numId w:val="2"/>
              </w:numPr>
              <w:ind w:left="426" w:hanging="425"/>
            </w:pPr>
            <w:r>
              <w:t>ICT plan developed and presented to School Board</w:t>
            </w:r>
          </w:p>
          <w:p w14:paraId="69E770B2" w14:textId="03B2877E" w:rsidR="00790F4B" w:rsidRDefault="00790F4B" w:rsidP="00B64DDE">
            <w:pPr>
              <w:pStyle w:val="PlainText"/>
              <w:numPr>
                <w:ilvl w:val="0"/>
                <w:numId w:val="2"/>
              </w:numPr>
              <w:ind w:left="426" w:hanging="425"/>
            </w:pPr>
            <w:r>
              <w:t>All teachers use the Google platform for planning, meetings and data collection</w:t>
            </w:r>
          </w:p>
          <w:p w14:paraId="4F19C6D9" w14:textId="5B8BC680" w:rsidR="00937D6F" w:rsidRDefault="00AB2256" w:rsidP="000F1D07">
            <w:pPr>
              <w:pStyle w:val="PlainText"/>
              <w:numPr>
                <w:ilvl w:val="0"/>
                <w:numId w:val="2"/>
              </w:numPr>
              <w:ind w:left="426" w:hanging="425"/>
            </w:pPr>
            <w:r>
              <w:t>The community were involved in the deign and creation of</w:t>
            </w:r>
            <w:r w:rsidR="009B16D7">
              <w:t xml:space="preserve"> The Indigenous Garden and Flag Raising celebration.</w:t>
            </w: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1546513A" w14:textId="11C71544" w:rsidR="00937D6F" w:rsidRDefault="00B006D9" w:rsidP="00941D73">
            <w:pPr>
              <w:pStyle w:val="PlainText"/>
              <w:numPr>
                <w:ilvl w:val="0"/>
                <w:numId w:val="2"/>
              </w:numPr>
              <w:ind w:left="426" w:hanging="425"/>
            </w:pPr>
            <w:r>
              <w:t xml:space="preserve">Leadership team to be reflective in building strategies to better </w:t>
            </w:r>
            <w:r w:rsidR="00790F4B">
              <w:t>support,</w:t>
            </w:r>
            <w:r>
              <w:t xml:space="preserve"> communicate and encourage improved communication between staff members.</w:t>
            </w:r>
          </w:p>
          <w:p w14:paraId="7040A972" w14:textId="1D878315" w:rsidR="00790F4B" w:rsidRDefault="00790F4B" w:rsidP="00941D73">
            <w:pPr>
              <w:pStyle w:val="PlainText"/>
              <w:numPr>
                <w:ilvl w:val="0"/>
                <w:numId w:val="2"/>
              </w:numPr>
              <w:ind w:left="426" w:hanging="425"/>
            </w:pPr>
            <w:r>
              <w:t>Building staff capacity to utilise the SAS Assessment and Reporting platform by end of Semester one to report student outcomes to parents.</w:t>
            </w:r>
          </w:p>
          <w:p w14:paraId="43F6D0B9" w14:textId="77777777" w:rsidR="00E52BDE" w:rsidRDefault="004C34B0" w:rsidP="00941D73">
            <w:pPr>
              <w:pStyle w:val="PlainText"/>
              <w:numPr>
                <w:ilvl w:val="0"/>
                <w:numId w:val="2"/>
              </w:numPr>
              <w:ind w:left="426" w:hanging="425"/>
            </w:pPr>
            <w:r>
              <w:t>To introduce and build staff capacity to use SeeSaw as a digital portfolio to showcase the learning of every student.</w:t>
            </w:r>
          </w:p>
          <w:p w14:paraId="4D0D0527" w14:textId="5AEF7E52" w:rsidR="00941D73" w:rsidRDefault="00941D73" w:rsidP="00941D73">
            <w:pPr>
              <w:pStyle w:val="PlainText"/>
              <w:numPr>
                <w:ilvl w:val="0"/>
                <w:numId w:val="2"/>
              </w:numPr>
              <w:ind w:left="426" w:hanging="425"/>
            </w:pPr>
            <w:r>
              <w:t>Opportunities to enhance student voice and opportunities to increase active citizenship across the school</w:t>
            </w:r>
          </w:p>
        </w:tc>
      </w:tr>
    </w:tbl>
    <w:p w14:paraId="0C848164" w14:textId="780BD228" w:rsidR="00271528" w:rsidRPr="00DC52FA" w:rsidRDefault="00271528" w:rsidP="00DC52FA">
      <w:pPr>
        <w:rPr>
          <w:b/>
        </w:rPr>
      </w:pPr>
    </w:p>
    <w:sectPr w:rsidR="00271528" w:rsidRPr="00DC52FA"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5783" w14:textId="77777777" w:rsidR="008A0300" w:rsidRDefault="008A0300" w:rsidP="00CA0BAD">
      <w:pPr>
        <w:spacing w:after="0" w:line="240" w:lineRule="auto"/>
      </w:pPr>
      <w:r>
        <w:separator/>
      </w:r>
    </w:p>
  </w:endnote>
  <w:endnote w:type="continuationSeparator" w:id="0">
    <w:p w14:paraId="5CF85419" w14:textId="77777777" w:rsidR="008A0300" w:rsidRDefault="008A0300"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76DB9DAC"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533EAB">
              <w:rPr>
                <w:rFonts w:ascii="Arial" w:hAnsi="Arial" w:cs="Arial"/>
                <w:noProof/>
                <w:color w:val="808080" w:themeColor="background1" w:themeShade="80"/>
                <w:sz w:val="20"/>
                <w:szCs w:val="20"/>
              </w:rPr>
              <w:t>Wednesday, 29 May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0D40" w14:textId="77777777" w:rsidR="008A0300" w:rsidRDefault="008A0300" w:rsidP="00CA0BAD">
      <w:pPr>
        <w:spacing w:after="0" w:line="240" w:lineRule="auto"/>
      </w:pPr>
      <w:r>
        <w:separator/>
      </w:r>
    </w:p>
  </w:footnote>
  <w:footnote w:type="continuationSeparator" w:id="0">
    <w:p w14:paraId="38B64E3B" w14:textId="77777777" w:rsidR="008A0300" w:rsidRDefault="008A0300"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4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6DCF"/>
    <w:multiLevelType w:val="hybridMultilevel"/>
    <w:tmpl w:val="CB8C58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029072B6"/>
    <w:multiLevelType w:val="hybridMultilevel"/>
    <w:tmpl w:val="8DFEB5D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8F0D09"/>
    <w:multiLevelType w:val="hybridMultilevel"/>
    <w:tmpl w:val="1C02D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522FB1"/>
    <w:multiLevelType w:val="hybridMultilevel"/>
    <w:tmpl w:val="9AF4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FA329E"/>
    <w:multiLevelType w:val="hybridMultilevel"/>
    <w:tmpl w:val="4022BB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30A15"/>
    <w:multiLevelType w:val="hybridMultilevel"/>
    <w:tmpl w:val="ECB21CBC"/>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761E58"/>
    <w:multiLevelType w:val="hybridMultilevel"/>
    <w:tmpl w:val="BCC6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6396864"/>
    <w:multiLevelType w:val="hybridMultilevel"/>
    <w:tmpl w:val="2B30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263507"/>
    <w:multiLevelType w:val="multilevel"/>
    <w:tmpl w:val="0CA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A90AF5"/>
    <w:multiLevelType w:val="hybridMultilevel"/>
    <w:tmpl w:val="0EC0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0"/>
  </w:num>
  <w:num w:numId="4">
    <w:abstractNumId w:val="18"/>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7"/>
  </w:num>
  <w:num w:numId="19">
    <w:abstractNumId w:val="21"/>
  </w:num>
  <w:num w:numId="20">
    <w:abstractNumId w:val="16"/>
  </w:num>
  <w:num w:numId="21">
    <w:abstractNumId w:val="10"/>
  </w:num>
  <w:num w:numId="22">
    <w:abstractNumId w:val="23"/>
  </w:num>
  <w:num w:numId="23">
    <w:abstractNumId w:val="12"/>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2DAE"/>
    <w:rsid w:val="000031B5"/>
    <w:rsid w:val="00026B7E"/>
    <w:rsid w:val="0003696B"/>
    <w:rsid w:val="000420BE"/>
    <w:rsid w:val="00057DAD"/>
    <w:rsid w:val="000614C8"/>
    <w:rsid w:val="00077822"/>
    <w:rsid w:val="00093766"/>
    <w:rsid w:val="00093FD3"/>
    <w:rsid w:val="000964B7"/>
    <w:rsid w:val="000B1D5C"/>
    <w:rsid w:val="000C4C74"/>
    <w:rsid w:val="000E71C0"/>
    <w:rsid w:val="00107AE2"/>
    <w:rsid w:val="00147E21"/>
    <w:rsid w:val="00161E50"/>
    <w:rsid w:val="00163579"/>
    <w:rsid w:val="001750C6"/>
    <w:rsid w:val="001B2E33"/>
    <w:rsid w:val="001B51D3"/>
    <w:rsid w:val="001C79BB"/>
    <w:rsid w:val="00210015"/>
    <w:rsid w:val="002145F7"/>
    <w:rsid w:val="00214E2C"/>
    <w:rsid w:val="0024781C"/>
    <w:rsid w:val="00264AC4"/>
    <w:rsid w:val="00271528"/>
    <w:rsid w:val="002838C6"/>
    <w:rsid w:val="00292693"/>
    <w:rsid w:val="002933D1"/>
    <w:rsid w:val="002E2A2D"/>
    <w:rsid w:val="002F2C6F"/>
    <w:rsid w:val="00334BBF"/>
    <w:rsid w:val="00342B3F"/>
    <w:rsid w:val="00365890"/>
    <w:rsid w:val="00365A1C"/>
    <w:rsid w:val="00373DC0"/>
    <w:rsid w:val="00377F0F"/>
    <w:rsid w:val="003B5E3D"/>
    <w:rsid w:val="003C020B"/>
    <w:rsid w:val="003C2864"/>
    <w:rsid w:val="003C69DC"/>
    <w:rsid w:val="003D1BAF"/>
    <w:rsid w:val="003E1EFB"/>
    <w:rsid w:val="003F296B"/>
    <w:rsid w:val="00405983"/>
    <w:rsid w:val="00434DBF"/>
    <w:rsid w:val="00436626"/>
    <w:rsid w:val="00450C24"/>
    <w:rsid w:val="00461D07"/>
    <w:rsid w:val="00481BD2"/>
    <w:rsid w:val="00492440"/>
    <w:rsid w:val="0049575D"/>
    <w:rsid w:val="004C34B0"/>
    <w:rsid w:val="004D00F4"/>
    <w:rsid w:val="004D5E45"/>
    <w:rsid w:val="00520A86"/>
    <w:rsid w:val="00533EAB"/>
    <w:rsid w:val="00557F65"/>
    <w:rsid w:val="0057672E"/>
    <w:rsid w:val="0058339C"/>
    <w:rsid w:val="0059350F"/>
    <w:rsid w:val="005A0FA1"/>
    <w:rsid w:val="005B4F1D"/>
    <w:rsid w:val="005C7432"/>
    <w:rsid w:val="005E742D"/>
    <w:rsid w:val="005F3B55"/>
    <w:rsid w:val="00601E56"/>
    <w:rsid w:val="00610A38"/>
    <w:rsid w:val="00631663"/>
    <w:rsid w:val="0063180B"/>
    <w:rsid w:val="00640139"/>
    <w:rsid w:val="0066643F"/>
    <w:rsid w:val="00683858"/>
    <w:rsid w:val="006A31D6"/>
    <w:rsid w:val="006A5062"/>
    <w:rsid w:val="006B44AF"/>
    <w:rsid w:val="006C2AAE"/>
    <w:rsid w:val="006D2F6B"/>
    <w:rsid w:val="006E59EE"/>
    <w:rsid w:val="00731EBE"/>
    <w:rsid w:val="007347A7"/>
    <w:rsid w:val="007400F3"/>
    <w:rsid w:val="00752390"/>
    <w:rsid w:val="00790F4B"/>
    <w:rsid w:val="007B0189"/>
    <w:rsid w:val="007B194B"/>
    <w:rsid w:val="007D407C"/>
    <w:rsid w:val="00812D2B"/>
    <w:rsid w:val="008300DD"/>
    <w:rsid w:val="00837137"/>
    <w:rsid w:val="00846E51"/>
    <w:rsid w:val="008679D5"/>
    <w:rsid w:val="00893814"/>
    <w:rsid w:val="00896B58"/>
    <w:rsid w:val="008A01DA"/>
    <w:rsid w:val="008A0300"/>
    <w:rsid w:val="008B44F2"/>
    <w:rsid w:val="008C6EAE"/>
    <w:rsid w:val="009022BB"/>
    <w:rsid w:val="00903D18"/>
    <w:rsid w:val="00937D6F"/>
    <w:rsid w:val="00941D73"/>
    <w:rsid w:val="009610B7"/>
    <w:rsid w:val="00997CD0"/>
    <w:rsid w:val="009B16D7"/>
    <w:rsid w:val="009B454E"/>
    <w:rsid w:val="009B7107"/>
    <w:rsid w:val="009D73E8"/>
    <w:rsid w:val="009E2D26"/>
    <w:rsid w:val="00A12F70"/>
    <w:rsid w:val="00A1525D"/>
    <w:rsid w:val="00A35698"/>
    <w:rsid w:val="00A5183C"/>
    <w:rsid w:val="00A71FC5"/>
    <w:rsid w:val="00A967A3"/>
    <w:rsid w:val="00AA2A27"/>
    <w:rsid w:val="00AA64B0"/>
    <w:rsid w:val="00AB2256"/>
    <w:rsid w:val="00AB3505"/>
    <w:rsid w:val="00AD7D38"/>
    <w:rsid w:val="00AE1CAD"/>
    <w:rsid w:val="00AE3C70"/>
    <w:rsid w:val="00B006D9"/>
    <w:rsid w:val="00B06296"/>
    <w:rsid w:val="00B10319"/>
    <w:rsid w:val="00B36AF4"/>
    <w:rsid w:val="00B41802"/>
    <w:rsid w:val="00B50C3F"/>
    <w:rsid w:val="00B53B59"/>
    <w:rsid w:val="00B63FA3"/>
    <w:rsid w:val="00B64DDE"/>
    <w:rsid w:val="00B734D8"/>
    <w:rsid w:val="00B84B5D"/>
    <w:rsid w:val="00BE4E28"/>
    <w:rsid w:val="00BE7372"/>
    <w:rsid w:val="00C0648C"/>
    <w:rsid w:val="00C06492"/>
    <w:rsid w:val="00C46F66"/>
    <w:rsid w:val="00C63CC4"/>
    <w:rsid w:val="00C77B0A"/>
    <w:rsid w:val="00C91C8E"/>
    <w:rsid w:val="00CA0BAD"/>
    <w:rsid w:val="00CA7A87"/>
    <w:rsid w:val="00CC2470"/>
    <w:rsid w:val="00CF3F40"/>
    <w:rsid w:val="00CF4120"/>
    <w:rsid w:val="00D03B0C"/>
    <w:rsid w:val="00D12F44"/>
    <w:rsid w:val="00D138A8"/>
    <w:rsid w:val="00D21886"/>
    <w:rsid w:val="00D27E89"/>
    <w:rsid w:val="00D5253A"/>
    <w:rsid w:val="00D56F59"/>
    <w:rsid w:val="00D66148"/>
    <w:rsid w:val="00D731BD"/>
    <w:rsid w:val="00D916B2"/>
    <w:rsid w:val="00DA09ED"/>
    <w:rsid w:val="00DA4480"/>
    <w:rsid w:val="00DC12EE"/>
    <w:rsid w:val="00DC52FA"/>
    <w:rsid w:val="00DE43E6"/>
    <w:rsid w:val="00DE75EB"/>
    <w:rsid w:val="00E061B8"/>
    <w:rsid w:val="00E25867"/>
    <w:rsid w:val="00E434FA"/>
    <w:rsid w:val="00E52BDE"/>
    <w:rsid w:val="00E6796E"/>
    <w:rsid w:val="00EA1B8A"/>
    <w:rsid w:val="00EB70CE"/>
    <w:rsid w:val="00EF2574"/>
    <w:rsid w:val="00F05C79"/>
    <w:rsid w:val="00F262D8"/>
    <w:rsid w:val="00F334C2"/>
    <w:rsid w:val="00F479DE"/>
    <w:rsid w:val="00F536D7"/>
    <w:rsid w:val="00FA6811"/>
    <w:rsid w:val="00FC2D31"/>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NormalWeb">
    <w:name w:val="Normal (Web)"/>
    <w:basedOn w:val="Normal"/>
    <w:uiPriority w:val="99"/>
    <w:semiHidden/>
    <w:unhideWhenUsed/>
    <w:rsid w:val="00A71FC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8391">
      <w:bodyDiv w:val="1"/>
      <w:marLeft w:val="0"/>
      <w:marRight w:val="0"/>
      <w:marTop w:val="0"/>
      <w:marBottom w:val="0"/>
      <w:divBdr>
        <w:top w:val="none" w:sz="0" w:space="0" w:color="auto"/>
        <w:left w:val="none" w:sz="0" w:space="0" w:color="auto"/>
        <w:bottom w:val="none" w:sz="0" w:space="0" w:color="auto"/>
        <w:right w:val="none" w:sz="0" w:space="0" w:color="auto"/>
      </w:divBdr>
    </w:div>
    <w:div w:id="449670634">
      <w:bodyDiv w:val="1"/>
      <w:marLeft w:val="0"/>
      <w:marRight w:val="0"/>
      <w:marTop w:val="0"/>
      <w:marBottom w:val="0"/>
      <w:divBdr>
        <w:top w:val="none" w:sz="0" w:space="0" w:color="auto"/>
        <w:left w:val="none" w:sz="0" w:space="0" w:color="auto"/>
        <w:bottom w:val="none" w:sz="0" w:space="0" w:color="auto"/>
        <w:right w:val="none" w:sz="0" w:space="0" w:color="auto"/>
      </w:divBdr>
      <w:divsChild>
        <w:div w:id="274487072">
          <w:marLeft w:val="-108"/>
          <w:marRight w:val="0"/>
          <w:marTop w:val="0"/>
          <w:marBottom w:val="0"/>
          <w:divBdr>
            <w:top w:val="none" w:sz="0" w:space="0" w:color="auto"/>
            <w:left w:val="none" w:sz="0" w:space="0" w:color="auto"/>
            <w:bottom w:val="none" w:sz="0" w:space="0" w:color="auto"/>
            <w:right w:val="none" w:sz="0" w:space="0" w:color="auto"/>
          </w:divBdr>
        </w:div>
      </w:divsChild>
    </w:div>
    <w:div w:id="1345285813">
      <w:bodyDiv w:val="1"/>
      <w:marLeft w:val="0"/>
      <w:marRight w:val="0"/>
      <w:marTop w:val="0"/>
      <w:marBottom w:val="0"/>
      <w:divBdr>
        <w:top w:val="none" w:sz="0" w:space="0" w:color="auto"/>
        <w:left w:val="none" w:sz="0" w:space="0" w:color="auto"/>
        <w:bottom w:val="none" w:sz="0" w:space="0" w:color="auto"/>
        <w:right w:val="none" w:sz="0" w:space="0" w:color="auto"/>
      </w:divBdr>
      <w:divsChild>
        <w:div w:id="352145399">
          <w:marLeft w:val="-108"/>
          <w:marRight w:val="0"/>
          <w:marTop w:val="0"/>
          <w:marBottom w:val="0"/>
          <w:divBdr>
            <w:top w:val="none" w:sz="0" w:space="0" w:color="auto"/>
            <w:left w:val="none" w:sz="0" w:space="0" w:color="auto"/>
            <w:bottom w:val="none" w:sz="0" w:space="0" w:color="auto"/>
            <w:right w:val="none" w:sz="0" w:space="0" w:color="auto"/>
          </w:divBdr>
        </w:div>
      </w:divsChild>
    </w:div>
    <w:div w:id="2132818013">
      <w:bodyDiv w:val="1"/>
      <w:marLeft w:val="0"/>
      <w:marRight w:val="0"/>
      <w:marTop w:val="0"/>
      <w:marBottom w:val="0"/>
      <w:divBdr>
        <w:top w:val="none" w:sz="0" w:space="0" w:color="auto"/>
        <w:left w:val="none" w:sz="0" w:space="0" w:color="auto"/>
        <w:bottom w:val="none" w:sz="0" w:space="0" w:color="auto"/>
        <w:right w:val="none" w:sz="0" w:space="0" w:color="auto"/>
      </w:divBdr>
    </w:div>
    <w:div w:id="2139293803">
      <w:bodyDiv w:val="1"/>
      <w:marLeft w:val="0"/>
      <w:marRight w:val="0"/>
      <w:marTop w:val="0"/>
      <w:marBottom w:val="0"/>
      <w:divBdr>
        <w:top w:val="none" w:sz="0" w:space="0" w:color="auto"/>
        <w:left w:val="none" w:sz="0" w:space="0" w:color="auto"/>
        <w:bottom w:val="none" w:sz="0" w:space="0" w:color="auto"/>
        <w:right w:val="none" w:sz="0" w:space="0" w:color="auto"/>
      </w:divBdr>
      <w:divsChild>
        <w:div w:id="4322887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BE6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8D11-E229-4C50-AEB5-5AA6E9C8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Alston, Natalie</cp:lastModifiedBy>
  <cp:revision>2</cp:revision>
  <cp:lastPrinted>2018-11-20T01:48:00Z</cp:lastPrinted>
  <dcterms:created xsi:type="dcterms:W3CDTF">2019-05-29T06:44:00Z</dcterms:created>
  <dcterms:modified xsi:type="dcterms:W3CDTF">2019-05-29T06:44:00Z</dcterms:modified>
</cp:coreProperties>
</file>