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014E0FF0" w:rsidR="00FE1945" w:rsidRPr="00563A3D" w:rsidRDefault="00C162E3" w:rsidP="00FE1945">
          <w:pPr>
            <w:rPr>
              <w:rStyle w:val="SchoolName"/>
              <w:color w:val="1F4E79"/>
            </w:rPr>
          </w:pPr>
          <w:r>
            <w:rPr>
              <w:rStyle w:val="SchoolName"/>
              <w:color w:val="1F4E79"/>
            </w:rPr>
            <w:t>Southern Cross Early Childhood School</w:t>
          </w:r>
        </w:p>
      </w:sdtContent>
    </w:sdt>
    <w:p w14:paraId="63330FCF" w14:textId="11D02F3F"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C162E3">
            <w:t>Belconnen</w:t>
          </w:r>
        </w:sdtContent>
      </w:sdt>
    </w:p>
    <w:p w14:paraId="38F253B0" w14:textId="22A8E7C2" w:rsidR="00FE1945" w:rsidRDefault="00846E51" w:rsidP="00FE1945">
      <w:pPr>
        <w:pStyle w:val="Title"/>
        <w:jc w:val="left"/>
      </w:pPr>
      <w:r>
        <w:t>Impact</w:t>
      </w:r>
      <w:r w:rsidR="00FE1945" w:rsidRPr="005F3926">
        <w:t xml:space="preserve"> </w:t>
      </w:r>
      <w:r w:rsidR="00B10319">
        <w:t xml:space="preserve">Report </w:t>
      </w:r>
      <w:r w:rsidR="00FE1945">
        <w:t>20</w:t>
      </w:r>
      <w:r w:rsidR="00C162E3">
        <w:t>19</w:t>
      </w:r>
    </w:p>
    <w:p w14:paraId="43815876" w14:textId="77777777" w:rsidR="00E434FA" w:rsidRPr="001B2E33" w:rsidRDefault="00E434FA" w:rsidP="001B2E33">
      <w:pPr>
        <w:pStyle w:val="Heading1"/>
      </w:pPr>
      <w:r w:rsidRPr="001B2E33">
        <w:t>The purpose of this document</w:t>
      </w:r>
    </w:p>
    <w:p w14:paraId="542B7252" w14:textId="24C9A663"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58DCAC45"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300F72">
      <w:pPr>
        <w:pStyle w:val="BodyText"/>
      </w:pPr>
    </w:p>
    <w:p w14:paraId="0E4AE3ED" w14:textId="3C5A6180"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B610CE">
        <w:t>1</w:t>
      </w:r>
      <w:r w:rsidR="002443CC">
        <w:t xml:space="preserve"> </w:t>
      </w:r>
      <w:r w:rsidRPr="00132917">
        <w:t>(see reporting for detail):</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5A54A98A" w14:textId="4C3B0B5D" w:rsidR="00300F72" w:rsidRPr="00300F72" w:rsidRDefault="00300F72" w:rsidP="00300F72">
      <w:pPr>
        <w:pStyle w:val="BodyText"/>
      </w:pPr>
    </w:p>
    <w:p w14:paraId="14162F1A" w14:textId="7B029475"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B610CE">
        <w:t>1</w:t>
      </w:r>
      <w:r w:rsidR="002443CC">
        <w:t xml:space="preserve"> and 2</w:t>
      </w:r>
      <w:r w:rsidRPr="00132917">
        <w:t xml:space="preserve"> (see reporting for detail):</w:t>
      </w:r>
    </w:p>
    <w:p w14:paraId="39D358BE" w14:textId="77777777" w:rsidR="00A857B2" w:rsidRPr="000F0410" w:rsidRDefault="00A857B2" w:rsidP="00A857B2">
      <w:pPr>
        <w:pStyle w:val="ListBullet"/>
      </w:pPr>
      <w:r>
        <w:t>Develop a suite of documents to support teachers in their delivery of numeracy across the school</w:t>
      </w:r>
    </w:p>
    <w:p w14:paraId="7C00440A" w14:textId="77777777" w:rsidR="00A857B2" w:rsidRPr="000F0410" w:rsidRDefault="00A857B2" w:rsidP="00A857B2">
      <w:pPr>
        <w:pStyle w:val="ListBullet"/>
      </w:pPr>
      <w:r>
        <w:t>Continue to develop the capacity to use effective, evidence-based strategies in the teaching of numeracy</w:t>
      </w:r>
    </w:p>
    <w:p w14:paraId="283823B0" w14:textId="76435147" w:rsidR="00461D07" w:rsidRPr="0066643F" w:rsidRDefault="00A857B2" w:rsidP="00A857B2">
      <w:pPr>
        <w:pStyle w:val="ListBullet"/>
      </w:pPr>
      <w:r>
        <w:t>Enhance teacher abilities to interpret data and use it to plan in meaningful ways to improve student outcomes in numeracy</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7F9DAC1E"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0F334A">
        <w:t>3</w:t>
      </w:r>
      <w:r w:rsidRPr="00132917">
        <w:t xml:space="preserve"> (see reporting for detail):</w:t>
      </w:r>
    </w:p>
    <w:p w14:paraId="74161767" w14:textId="77777777" w:rsidR="00A857B2" w:rsidRDefault="00A857B2" w:rsidP="00A857B2">
      <w:pPr>
        <w:pStyle w:val="ListBullet"/>
      </w:pPr>
      <w:r>
        <w:t>Engage all staff in our cultural integrity journey</w:t>
      </w:r>
    </w:p>
    <w:p w14:paraId="0E8CB8F1" w14:textId="77777777" w:rsidR="00A857B2" w:rsidRDefault="00A857B2" w:rsidP="00A857B2">
      <w:pPr>
        <w:pStyle w:val="ListBullet"/>
      </w:pPr>
      <w:r>
        <w:t>Add to our repertoire of meaningful and effective parent engagement strategies and continue to bring families closer to their child’s learning</w:t>
      </w:r>
    </w:p>
    <w:p w14:paraId="479FA607" w14:textId="77777777" w:rsidR="00A857B2" w:rsidRDefault="00A857B2" w:rsidP="00A857B2">
      <w:pPr>
        <w:pStyle w:val="ListBullet"/>
      </w:pPr>
      <w:r>
        <w:t>Continue to progress development of the OLE</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1712C33A" w14:textId="782959CF" w:rsidR="00D733FB" w:rsidRPr="000F0410" w:rsidRDefault="00837137" w:rsidP="00B610CE">
      <w:pPr>
        <w:pStyle w:val="Heading2"/>
        <w:tabs>
          <w:tab w:val="clear" w:pos="2410"/>
          <w:tab w:val="left" w:pos="1134"/>
        </w:tabs>
        <w:ind w:left="1134" w:hanging="1134"/>
        <w:rPr>
          <w:color w:val="auto"/>
        </w:rPr>
      </w:pPr>
      <w:r w:rsidRPr="000F0410">
        <w:t>Priority 1:</w:t>
      </w:r>
      <w:r w:rsidR="00B610CE">
        <w:t xml:space="preserve"> </w:t>
      </w:r>
      <w:bookmarkStart w:id="1" w:name="_Hlk23931324"/>
      <w:r w:rsidR="00D733FB" w:rsidRPr="00BF76EC">
        <w:rPr>
          <w:color w:val="auto"/>
        </w:rPr>
        <w:t>To develop student agency and confidence to improve writing and spelling (in context).</w:t>
      </w:r>
      <w:bookmarkEnd w:id="1"/>
    </w:p>
    <w:p w14:paraId="255A28BA" w14:textId="78C42029" w:rsidR="004D5E45" w:rsidRPr="00837137" w:rsidRDefault="006D2F6B" w:rsidP="00D733FB">
      <w:pPr>
        <w:pStyle w:val="Heading2"/>
        <w:tabs>
          <w:tab w:val="clear" w:pos="2410"/>
          <w:tab w:val="left" w:pos="1276"/>
        </w:tabs>
        <w:ind w:left="1276" w:hanging="1276"/>
      </w:pPr>
      <w:r w:rsidRPr="00837137">
        <w:t>Targets or measures</w:t>
      </w:r>
    </w:p>
    <w:p w14:paraId="0ED94083" w14:textId="4042EFFC" w:rsidR="000031B5" w:rsidRDefault="00481BD2" w:rsidP="0058339C">
      <w:pPr>
        <w:pStyle w:val="BodyText"/>
      </w:pPr>
      <w:r>
        <w:t>By the end of 20</w:t>
      </w:r>
      <w:r w:rsidR="00C36B48">
        <w:t>19</w:t>
      </w:r>
      <w:r w:rsidR="000031B5">
        <w:t xml:space="preserve"> we will achieve:</w:t>
      </w:r>
    </w:p>
    <w:p w14:paraId="3F8CAC5E" w14:textId="5D1B81BF" w:rsidR="00896B58" w:rsidRPr="00837137" w:rsidRDefault="005918F1" w:rsidP="00837137">
      <w:pPr>
        <w:pStyle w:val="ListBullet"/>
      </w:pPr>
      <w:r>
        <w:t>An increase in</w:t>
      </w:r>
      <w:r w:rsidR="00C645A5" w:rsidRPr="00F3771A">
        <w:t xml:space="preserve"> the proportion of </w:t>
      </w:r>
      <w:r w:rsidR="001806FB">
        <w:t>children</w:t>
      </w:r>
      <w:r w:rsidR="00C645A5" w:rsidRPr="00F3771A">
        <w:t xml:space="preserve"> achieving at or above standard in writing (C and above)</w:t>
      </w:r>
      <w:r w:rsidR="00C645A5" w:rsidRPr="00837137">
        <w:t xml:space="preserve"> </w:t>
      </w:r>
    </w:p>
    <w:p w14:paraId="097CC839" w14:textId="07EE08EE" w:rsidR="00997CD0" w:rsidRPr="00837137" w:rsidRDefault="005918F1" w:rsidP="005F0D50">
      <w:pPr>
        <w:pStyle w:val="ListBullet"/>
      </w:pPr>
      <w:r>
        <w:t>An increase in</w:t>
      </w:r>
      <w:r w:rsidR="00C645A5" w:rsidRPr="007D4677">
        <w:t xml:space="preserve"> the proportion of </w:t>
      </w:r>
      <w:r w:rsidR="001806FB">
        <w:t>children</w:t>
      </w:r>
      <w:r w:rsidR="00C645A5" w:rsidRPr="007D4677">
        <w:t xml:space="preserve"> achieving to be above standard in writing</w:t>
      </w:r>
      <w:r w:rsidR="001F03F5">
        <w:t xml:space="preserve"> </w:t>
      </w:r>
      <w:r w:rsidR="00C645A5" w:rsidRPr="007D4677">
        <w:t>(A and B)</w:t>
      </w:r>
      <w:r w:rsidR="00C645A5" w:rsidRPr="00837137">
        <w:t xml:space="preserve"> </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27A71C47" w14:textId="49069149" w:rsidR="00C645A5" w:rsidRPr="000F0410" w:rsidRDefault="00C645A5" w:rsidP="00C645A5">
      <w:pPr>
        <w:pStyle w:val="ListBullet"/>
      </w:pPr>
      <w:bookmarkStart w:id="2" w:name="_Hlk2689116"/>
      <w:r>
        <w:t>Develop</w:t>
      </w:r>
      <w:r w:rsidR="00222E40">
        <w:t>ing</w:t>
      </w:r>
      <w:r>
        <w:t xml:space="preserve"> a suite of documents to support teachers in their delivery of writing and spelling across the school</w:t>
      </w:r>
    </w:p>
    <w:p w14:paraId="50F48C8F" w14:textId="7499414D" w:rsidR="00C645A5" w:rsidRPr="000F0410" w:rsidRDefault="00C645A5" w:rsidP="00C645A5">
      <w:pPr>
        <w:pStyle w:val="ListBullet"/>
      </w:pPr>
      <w:r>
        <w:t>Continu</w:t>
      </w:r>
      <w:r w:rsidR="00222E40">
        <w:t>ing</w:t>
      </w:r>
      <w:r>
        <w:t xml:space="preserve"> to develop the capacity</w:t>
      </w:r>
      <w:r w:rsidR="00DD651A">
        <w:t xml:space="preserve"> of teachers</w:t>
      </w:r>
      <w:r>
        <w:t xml:space="preserve"> to use effective, evidence-based strategies in the teaching of writing and spelling</w:t>
      </w:r>
    </w:p>
    <w:p w14:paraId="6403B9E2" w14:textId="53BE2B03" w:rsidR="009B454E" w:rsidRDefault="00C645A5" w:rsidP="00C645A5">
      <w:pPr>
        <w:pStyle w:val="ListBullet"/>
      </w:pPr>
      <w:r>
        <w:t>Enhanc</w:t>
      </w:r>
      <w:r w:rsidR="00222E40">
        <w:t>ing</w:t>
      </w:r>
      <w:r>
        <w:t xml:space="preserve"> teacher abilities to interpret data and use it to plan in meaningful ways to improve</w:t>
      </w:r>
      <w:r w:rsidR="00DD651A">
        <w:t xml:space="preserve"> </w:t>
      </w:r>
      <w:r>
        <w:t xml:space="preserve">outcomes </w:t>
      </w:r>
      <w:r w:rsidR="00DD651A">
        <w:t xml:space="preserve">for children </w:t>
      </w:r>
      <w:r>
        <w:t>in writing and spellin</w:t>
      </w:r>
      <w:bookmarkEnd w:id="2"/>
      <w:r>
        <w:t>g</w:t>
      </w:r>
    </w:p>
    <w:p w14:paraId="7DFF073D" w14:textId="32D60DD0"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681"/>
        <w:gridCol w:w="1134"/>
        <w:gridCol w:w="1114"/>
        <w:gridCol w:w="777"/>
        <w:gridCol w:w="777"/>
        <w:gridCol w:w="777"/>
        <w:gridCol w:w="778"/>
      </w:tblGrid>
      <w:tr w:rsidR="006D2F6B" w14:paraId="11CF2626" w14:textId="77777777" w:rsidTr="00F16E1E">
        <w:trPr>
          <w:jc w:val="center"/>
        </w:trPr>
        <w:tc>
          <w:tcPr>
            <w:tcW w:w="3681" w:type="dxa"/>
            <w:shd w:val="clear" w:color="auto" w:fill="auto"/>
          </w:tcPr>
          <w:p w14:paraId="2744B2CC" w14:textId="77777777" w:rsidR="006D2F6B" w:rsidRPr="00D03B0C" w:rsidRDefault="006D2F6B" w:rsidP="00D03B0C">
            <w:pPr>
              <w:rPr>
                <w:b/>
              </w:rPr>
            </w:pPr>
            <w:r w:rsidRPr="00D03B0C">
              <w:rPr>
                <w:b/>
              </w:rPr>
              <w:t>Targets or Measures</w:t>
            </w:r>
          </w:p>
        </w:tc>
        <w:tc>
          <w:tcPr>
            <w:tcW w:w="1134" w:type="dxa"/>
            <w:shd w:val="clear" w:color="auto" w:fill="auto"/>
          </w:tcPr>
          <w:p w14:paraId="118BFB5A" w14:textId="77777777" w:rsidR="006D2F6B" w:rsidRPr="00D03B0C" w:rsidRDefault="006D2F6B" w:rsidP="00D56F59">
            <w:pPr>
              <w:jc w:val="center"/>
              <w:rPr>
                <w:b/>
              </w:rPr>
            </w:pPr>
            <w:r w:rsidRPr="00D03B0C">
              <w:rPr>
                <w:b/>
              </w:rPr>
              <w:t>Base</w:t>
            </w:r>
          </w:p>
        </w:tc>
        <w:tc>
          <w:tcPr>
            <w:tcW w:w="1114" w:type="dxa"/>
            <w:shd w:val="clear" w:color="auto" w:fill="auto"/>
          </w:tcPr>
          <w:p w14:paraId="42366ADC" w14:textId="77777777" w:rsidR="006D2F6B" w:rsidRPr="00D03B0C" w:rsidRDefault="006D2F6B" w:rsidP="00D56F59">
            <w:pPr>
              <w:jc w:val="center"/>
              <w:rPr>
                <w:b/>
              </w:rPr>
            </w:pPr>
            <w:r w:rsidRPr="00D03B0C">
              <w:rPr>
                <w:b/>
              </w:rPr>
              <w:t>Year 1</w:t>
            </w:r>
          </w:p>
        </w:tc>
        <w:tc>
          <w:tcPr>
            <w:tcW w:w="777" w:type="dxa"/>
            <w:shd w:val="clear" w:color="auto" w:fill="auto"/>
          </w:tcPr>
          <w:p w14:paraId="3CAE587B" w14:textId="77777777" w:rsidR="006D2F6B" w:rsidRPr="00D03B0C" w:rsidRDefault="006D2F6B" w:rsidP="00D56F59">
            <w:pPr>
              <w:jc w:val="center"/>
              <w:rPr>
                <w:b/>
              </w:rPr>
            </w:pPr>
            <w:r w:rsidRPr="00D03B0C">
              <w:rPr>
                <w:b/>
              </w:rPr>
              <w:t>Year 2</w:t>
            </w:r>
          </w:p>
        </w:tc>
        <w:tc>
          <w:tcPr>
            <w:tcW w:w="777" w:type="dxa"/>
            <w:shd w:val="clear" w:color="auto" w:fill="auto"/>
          </w:tcPr>
          <w:p w14:paraId="0785495E" w14:textId="77777777" w:rsidR="006D2F6B" w:rsidRPr="00D03B0C" w:rsidRDefault="006D2F6B" w:rsidP="00D56F59">
            <w:pPr>
              <w:jc w:val="center"/>
              <w:rPr>
                <w:b/>
              </w:rPr>
            </w:pPr>
            <w:r w:rsidRPr="00D03B0C">
              <w:rPr>
                <w:b/>
              </w:rPr>
              <w:t>Year 3</w:t>
            </w:r>
          </w:p>
        </w:tc>
        <w:tc>
          <w:tcPr>
            <w:tcW w:w="777" w:type="dxa"/>
            <w:shd w:val="clear" w:color="auto" w:fill="auto"/>
          </w:tcPr>
          <w:p w14:paraId="1F5C5718" w14:textId="77777777" w:rsidR="006D2F6B" w:rsidRPr="00D03B0C" w:rsidRDefault="006D2F6B" w:rsidP="00D56F59">
            <w:pPr>
              <w:jc w:val="center"/>
              <w:rPr>
                <w:b/>
              </w:rPr>
            </w:pPr>
            <w:r w:rsidRPr="00D03B0C">
              <w:rPr>
                <w:b/>
              </w:rPr>
              <w:t>Year 4</w:t>
            </w:r>
          </w:p>
        </w:tc>
        <w:tc>
          <w:tcPr>
            <w:tcW w:w="778"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F16E1E">
        <w:trPr>
          <w:jc w:val="center"/>
        </w:trPr>
        <w:tc>
          <w:tcPr>
            <w:tcW w:w="3681" w:type="dxa"/>
            <w:shd w:val="clear" w:color="auto" w:fill="auto"/>
          </w:tcPr>
          <w:p w14:paraId="52F72BA3" w14:textId="04BBD770" w:rsidR="006D2F6B" w:rsidRPr="00D03B0C" w:rsidRDefault="00F3771A" w:rsidP="00D03B0C">
            <w:pPr>
              <w:pStyle w:val="PlainText"/>
            </w:pPr>
            <w:r w:rsidRPr="00F3771A">
              <w:t>Increasing the proportion of students achieving at or above standard in writing by 6%. (C and above)</w:t>
            </w:r>
          </w:p>
        </w:tc>
        <w:tc>
          <w:tcPr>
            <w:tcW w:w="1134" w:type="dxa"/>
            <w:shd w:val="clear" w:color="auto" w:fill="auto"/>
          </w:tcPr>
          <w:p w14:paraId="6F51F004" w14:textId="33A5EC73" w:rsidR="006D2F6B" w:rsidRPr="00D03B0C" w:rsidRDefault="001F03F5" w:rsidP="00D03B0C">
            <w:r>
              <w:t>Not measured</w:t>
            </w:r>
          </w:p>
        </w:tc>
        <w:tc>
          <w:tcPr>
            <w:tcW w:w="1114" w:type="dxa"/>
            <w:shd w:val="clear" w:color="auto" w:fill="auto"/>
          </w:tcPr>
          <w:p w14:paraId="3571C78F" w14:textId="70DFB00D" w:rsidR="006D2F6B" w:rsidRPr="00D03B0C" w:rsidRDefault="00F16E1E" w:rsidP="00D03B0C">
            <w:r>
              <w:t>64</w:t>
            </w:r>
            <w:r w:rsidR="001F03F5">
              <w:t>%</w:t>
            </w:r>
          </w:p>
        </w:tc>
        <w:tc>
          <w:tcPr>
            <w:tcW w:w="777" w:type="dxa"/>
            <w:shd w:val="clear" w:color="auto" w:fill="auto"/>
          </w:tcPr>
          <w:p w14:paraId="69018766" w14:textId="77777777" w:rsidR="006D2F6B" w:rsidRPr="00D03B0C" w:rsidRDefault="006D2F6B" w:rsidP="00D03B0C"/>
        </w:tc>
        <w:tc>
          <w:tcPr>
            <w:tcW w:w="777" w:type="dxa"/>
            <w:shd w:val="clear" w:color="auto" w:fill="auto"/>
          </w:tcPr>
          <w:p w14:paraId="7AB434B5" w14:textId="77777777" w:rsidR="006D2F6B" w:rsidRPr="00D03B0C" w:rsidRDefault="006D2F6B" w:rsidP="00D03B0C"/>
        </w:tc>
        <w:tc>
          <w:tcPr>
            <w:tcW w:w="777" w:type="dxa"/>
            <w:shd w:val="clear" w:color="auto" w:fill="auto"/>
          </w:tcPr>
          <w:p w14:paraId="6E571018" w14:textId="77777777" w:rsidR="006D2F6B" w:rsidRPr="00D03B0C" w:rsidRDefault="006D2F6B" w:rsidP="00D03B0C"/>
        </w:tc>
        <w:tc>
          <w:tcPr>
            <w:tcW w:w="778" w:type="dxa"/>
            <w:shd w:val="clear" w:color="auto" w:fill="auto"/>
          </w:tcPr>
          <w:p w14:paraId="1D114ACD" w14:textId="77777777" w:rsidR="006D2F6B" w:rsidRPr="00D03B0C" w:rsidRDefault="006D2F6B" w:rsidP="00D03B0C"/>
        </w:tc>
      </w:tr>
      <w:tr w:rsidR="006D2F6B" w14:paraId="3E447EBE" w14:textId="77777777" w:rsidTr="00F16E1E">
        <w:trPr>
          <w:jc w:val="center"/>
        </w:trPr>
        <w:tc>
          <w:tcPr>
            <w:tcW w:w="3681" w:type="dxa"/>
            <w:shd w:val="clear" w:color="auto" w:fill="auto"/>
          </w:tcPr>
          <w:p w14:paraId="3C7AC1FF" w14:textId="2AABD84C" w:rsidR="006D2F6B" w:rsidRPr="00D03B0C" w:rsidRDefault="007D4677" w:rsidP="006D2F6B">
            <w:r w:rsidRPr="007D4677">
              <w:t>Increasing the proportion of students achieving to be above standard in writing by 10% (A and B)</w:t>
            </w:r>
          </w:p>
        </w:tc>
        <w:tc>
          <w:tcPr>
            <w:tcW w:w="1134" w:type="dxa"/>
            <w:shd w:val="clear" w:color="auto" w:fill="auto"/>
          </w:tcPr>
          <w:p w14:paraId="4C712096" w14:textId="7EF20D7A" w:rsidR="006D2F6B" w:rsidRPr="00D03B0C" w:rsidRDefault="001F03F5" w:rsidP="00D03B0C">
            <w:r>
              <w:t>Not measured</w:t>
            </w:r>
          </w:p>
        </w:tc>
        <w:tc>
          <w:tcPr>
            <w:tcW w:w="1114" w:type="dxa"/>
            <w:shd w:val="clear" w:color="auto" w:fill="auto"/>
          </w:tcPr>
          <w:p w14:paraId="2AFC093D" w14:textId="4E1455BC" w:rsidR="006D2F6B" w:rsidRPr="00D03B0C" w:rsidRDefault="00F16E1E" w:rsidP="00D03B0C">
            <w:r>
              <w:t>1</w:t>
            </w:r>
            <w:r w:rsidR="001F03F5">
              <w:t>6%</w:t>
            </w:r>
          </w:p>
        </w:tc>
        <w:tc>
          <w:tcPr>
            <w:tcW w:w="777" w:type="dxa"/>
            <w:shd w:val="clear" w:color="auto" w:fill="auto"/>
          </w:tcPr>
          <w:p w14:paraId="21FB2E79" w14:textId="77777777" w:rsidR="006D2F6B" w:rsidRPr="00D03B0C" w:rsidRDefault="006D2F6B" w:rsidP="00D03B0C"/>
        </w:tc>
        <w:tc>
          <w:tcPr>
            <w:tcW w:w="777" w:type="dxa"/>
            <w:shd w:val="clear" w:color="auto" w:fill="auto"/>
          </w:tcPr>
          <w:p w14:paraId="3C328C1C" w14:textId="77777777" w:rsidR="006D2F6B" w:rsidRPr="00D03B0C" w:rsidRDefault="006D2F6B" w:rsidP="00D03B0C"/>
        </w:tc>
        <w:tc>
          <w:tcPr>
            <w:tcW w:w="777" w:type="dxa"/>
            <w:shd w:val="clear" w:color="auto" w:fill="auto"/>
          </w:tcPr>
          <w:p w14:paraId="7A35D1D4" w14:textId="77777777" w:rsidR="006D2F6B" w:rsidRPr="00D03B0C" w:rsidRDefault="006D2F6B" w:rsidP="00D03B0C"/>
        </w:tc>
        <w:tc>
          <w:tcPr>
            <w:tcW w:w="778" w:type="dxa"/>
            <w:shd w:val="clear" w:color="auto" w:fill="auto"/>
          </w:tcPr>
          <w:p w14:paraId="7DBFB30A" w14:textId="77777777" w:rsidR="006D2F6B" w:rsidRPr="00D03B0C" w:rsidRDefault="006D2F6B" w:rsidP="00D03B0C"/>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745"/>
        <w:gridCol w:w="1008"/>
        <w:gridCol w:w="1325"/>
        <w:gridCol w:w="740"/>
        <w:gridCol w:w="740"/>
        <w:gridCol w:w="740"/>
        <w:gridCol w:w="740"/>
      </w:tblGrid>
      <w:tr w:rsidR="006D2F6B" w14:paraId="4EF7DD9F" w14:textId="77777777" w:rsidTr="008F6C60">
        <w:trPr>
          <w:jc w:val="center"/>
        </w:trPr>
        <w:tc>
          <w:tcPr>
            <w:tcW w:w="3745" w:type="dxa"/>
            <w:shd w:val="clear" w:color="auto" w:fill="auto"/>
          </w:tcPr>
          <w:p w14:paraId="13269C94" w14:textId="77777777" w:rsidR="006D2F6B" w:rsidRPr="006D2F6B" w:rsidRDefault="006D2F6B" w:rsidP="00D03B0C">
            <w:pPr>
              <w:rPr>
                <w:b/>
              </w:rPr>
            </w:pPr>
            <w:r w:rsidRPr="006D2F6B">
              <w:rPr>
                <w:b/>
              </w:rPr>
              <w:t>Targets or Measures</w:t>
            </w:r>
          </w:p>
        </w:tc>
        <w:tc>
          <w:tcPr>
            <w:tcW w:w="1008" w:type="dxa"/>
            <w:shd w:val="clear" w:color="auto" w:fill="auto"/>
          </w:tcPr>
          <w:p w14:paraId="4B51A1C5" w14:textId="77777777" w:rsidR="006D2F6B" w:rsidRPr="006D2F6B" w:rsidRDefault="006D2F6B" w:rsidP="00D56F59">
            <w:pPr>
              <w:jc w:val="center"/>
              <w:rPr>
                <w:b/>
              </w:rPr>
            </w:pPr>
            <w:r w:rsidRPr="006D2F6B">
              <w:rPr>
                <w:b/>
              </w:rPr>
              <w:t>Base</w:t>
            </w:r>
          </w:p>
        </w:tc>
        <w:tc>
          <w:tcPr>
            <w:tcW w:w="1325" w:type="dxa"/>
            <w:shd w:val="clear" w:color="auto" w:fill="auto"/>
          </w:tcPr>
          <w:p w14:paraId="15B7F1C3" w14:textId="77777777" w:rsidR="006D2F6B" w:rsidRPr="006D2F6B" w:rsidRDefault="006D2F6B" w:rsidP="00D56F59">
            <w:pPr>
              <w:jc w:val="center"/>
              <w:rPr>
                <w:b/>
              </w:rPr>
            </w:pPr>
            <w:r w:rsidRPr="006D2F6B">
              <w:rPr>
                <w:b/>
              </w:rPr>
              <w:t>Year 1</w:t>
            </w:r>
          </w:p>
        </w:tc>
        <w:tc>
          <w:tcPr>
            <w:tcW w:w="740" w:type="dxa"/>
            <w:shd w:val="clear" w:color="auto" w:fill="auto"/>
          </w:tcPr>
          <w:p w14:paraId="4CC28E98" w14:textId="77777777" w:rsidR="006D2F6B" w:rsidRPr="006D2F6B" w:rsidRDefault="006D2F6B" w:rsidP="00D56F59">
            <w:pPr>
              <w:jc w:val="center"/>
              <w:rPr>
                <w:b/>
              </w:rPr>
            </w:pPr>
            <w:r w:rsidRPr="006D2F6B">
              <w:rPr>
                <w:b/>
              </w:rPr>
              <w:t>Year 2</w:t>
            </w:r>
          </w:p>
        </w:tc>
        <w:tc>
          <w:tcPr>
            <w:tcW w:w="740" w:type="dxa"/>
            <w:shd w:val="clear" w:color="auto" w:fill="auto"/>
          </w:tcPr>
          <w:p w14:paraId="5EE5455E" w14:textId="77777777" w:rsidR="006D2F6B" w:rsidRPr="006D2F6B" w:rsidRDefault="006D2F6B" w:rsidP="00D56F59">
            <w:pPr>
              <w:jc w:val="center"/>
              <w:rPr>
                <w:b/>
              </w:rPr>
            </w:pPr>
            <w:r w:rsidRPr="006D2F6B">
              <w:rPr>
                <w:b/>
              </w:rPr>
              <w:t>Year 3</w:t>
            </w:r>
          </w:p>
        </w:tc>
        <w:tc>
          <w:tcPr>
            <w:tcW w:w="740" w:type="dxa"/>
            <w:shd w:val="clear" w:color="auto" w:fill="auto"/>
          </w:tcPr>
          <w:p w14:paraId="1CA3136C" w14:textId="77777777" w:rsidR="006D2F6B" w:rsidRPr="006D2F6B" w:rsidRDefault="006D2F6B" w:rsidP="00D56F59">
            <w:pPr>
              <w:jc w:val="center"/>
              <w:rPr>
                <w:b/>
              </w:rPr>
            </w:pPr>
            <w:r w:rsidRPr="006D2F6B">
              <w:rPr>
                <w:b/>
              </w:rPr>
              <w:t>Year 4</w:t>
            </w:r>
          </w:p>
        </w:tc>
        <w:tc>
          <w:tcPr>
            <w:tcW w:w="740" w:type="dxa"/>
            <w:shd w:val="clear" w:color="auto" w:fill="auto"/>
          </w:tcPr>
          <w:p w14:paraId="372CDBC5" w14:textId="77777777" w:rsidR="006D2F6B" w:rsidRPr="006D2F6B" w:rsidRDefault="006D2F6B" w:rsidP="00D56F59">
            <w:pPr>
              <w:jc w:val="center"/>
              <w:rPr>
                <w:b/>
              </w:rPr>
            </w:pPr>
            <w:r w:rsidRPr="006D2F6B">
              <w:rPr>
                <w:b/>
              </w:rPr>
              <w:t>Year 5</w:t>
            </w:r>
          </w:p>
        </w:tc>
      </w:tr>
      <w:tr w:rsidR="006D2F6B" w14:paraId="71FE611D" w14:textId="77777777" w:rsidTr="008F6C60">
        <w:trPr>
          <w:jc w:val="center"/>
        </w:trPr>
        <w:tc>
          <w:tcPr>
            <w:tcW w:w="3745" w:type="dxa"/>
            <w:shd w:val="clear" w:color="auto" w:fill="auto"/>
          </w:tcPr>
          <w:p w14:paraId="15FDFA6D" w14:textId="048B4D9D" w:rsidR="006D2F6B" w:rsidRPr="006D2F6B" w:rsidRDefault="00F16E1E" w:rsidP="00D03B0C">
            <w:pPr>
              <w:pStyle w:val="PlainText"/>
            </w:pPr>
            <w:r w:rsidRPr="007D4677">
              <w:t>Measure the perception of students in understanding what good writers do, how students can improve their writing, knowing where they are at and knowing how to improve.</w:t>
            </w:r>
          </w:p>
        </w:tc>
        <w:tc>
          <w:tcPr>
            <w:tcW w:w="1008" w:type="dxa"/>
            <w:shd w:val="clear" w:color="auto" w:fill="auto"/>
          </w:tcPr>
          <w:p w14:paraId="4B7CDD05" w14:textId="5395122E" w:rsidR="006D2F6B" w:rsidRPr="006D2F6B" w:rsidRDefault="001F03F5" w:rsidP="00D03B0C">
            <w:r>
              <w:t>Not measured</w:t>
            </w:r>
          </w:p>
        </w:tc>
        <w:tc>
          <w:tcPr>
            <w:tcW w:w="1325" w:type="dxa"/>
            <w:shd w:val="clear" w:color="auto" w:fill="auto"/>
          </w:tcPr>
          <w:p w14:paraId="1037F637" w14:textId="1D5D3F0A" w:rsidR="006D2F6B" w:rsidRPr="008F6C60" w:rsidRDefault="008F6C60" w:rsidP="00D03B0C">
            <w:r w:rsidRPr="008F6C60">
              <w:t xml:space="preserve">Survey </w:t>
            </w:r>
            <w:r w:rsidR="009D7542">
              <w:t>d</w:t>
            </w:r>
            <w:r w:rsidRPr="008F6C60">
              <w:t>evelopment in Progress</w:t>
            </w:r>
          </w:p>
        </w:tc>
        <w:tc>
          <w:tcPr>
            <w:tcW w:w="740" w:type="dxa"/>
            <w:shd w:val="clear" w:color="auto" w:fill="auto"/>
          </w:tcPr>
          <w:p w14:paraId="4DED56F3" w14:textId="77777777" w:rsidR="006D2F6B" w:rsidRPr="008F6C60" w:rsidRDefault="006D2F6B" w:rsidP="00D03B0C"/>
        </w:tc>
        <w:tc>
          <w:tcPr>
            <w:tcW w:w="740" w:type="dxa"/>
            <w:shd w:val="clear" w:color="auto" w:fill="auto"/>
          </w:tcPr>
          <w:p w14:paraId="252D803F" w14:textId="77777777" w:rsidR="006D2F6B" w:rsidRPr="006D2F6B" w:rsidRDefault="006D2F6B" w:rsidP="00D03B0C"/>
        </w:tc>
        <w:tc>
          <w:tcPr>
            <w:tcW w:w="740" w:type="dxa"/>
            <w:shd w:val="clear" w:color="auto" w:fill="auto"/>
          </w:tcPr>
          <w:p w14:paraId="5D9DADCD" w14:textId="77777777" w:rsidR="006D2F6B" w:rsidRPr="006D2F6B" w:rsidRDefault="006D2F6B" w:rsidP="00D03B0C"/>
        </w:tc>
        <w:tc>
          <w:tcPr>
            <w:tcW w:w="740" w:type="dxa"/>
            <w:shd w:val="clear" w:color="auto" w:fill="auto"/>
          </w:tcPr>
          <w:p w14:paraId="0521852A" w14:textId="77777777" w:rsidR="006D2F6B" w:rsidRPr="006D2F6B" w:rsidRDefault="006D2F6B" w:rsidP="00D03B0C"/>
        </w:tc>
      </w:tr>
      <w:tr w:rsidR="008F6C60" w14:paraId="38F74B11" w14:textId="77777777" w:rsidTr="008F6C60">
        <w:trPr>
          <w:jc w:val="center"/>
        </w:trPr>
        <w:tc>
          <w:tcPr>
            <w:tcW w:w="3745" w:type="dxa"/>
            <w:shd w:val="clear" w:color="auto" w:fill="auto"/>
          </w:tcPr>
          <w:p w14:paraId="46E092F7" w14:textId="0909E433" w:rsidR="008F6C60" w:rsidRPr="006D2F6B" w:rsidRDefault="008F6C60" w:rsidP="008F6C60">
            <w:r w:rsidRPr="007D4677">
              <w:t>Measure parent satisfaction of students understanding of what good writers do, how students can improve their writing, knowing where they are at and knowing how to improve by 5%.</w:t>
            </w:r>
          </w:p>
        </w:tc>
        <w:tc>
          <w:tcPr>
            <w:tcW w:w="1008" w:type="dxa"/>
            <w:shd w:val="clear" w:color="auto" w:fill="auto"/>
          </w:tcPr>
          <w:p w14:paraId="3072EA45" w14:textId="2DEA1861" w:rsidR="008F6C60" w:rsidRPr="006D2F6B" w:rsidRDefault="008F6C60" w:rsidP="008F6C60">
            <w:r>
              <w:t>Not measured</w:t>
            </w:r>
          </w:p>
        </w:tc>
        <w:tc>
          <w:tcPr>
            <w:tcW w:w="1325" w:type="dxa"/>
            <w:shd w:val="clear" w:color="auto" w:fill="auto"/>
          </w:tcPr>
          <w:p w14:paraId="4392190E" w14:textId="75D4D02E" w:rsidR="008F6C60" w:rsidRPr="008F6C60" w:rsidRDefault="008F6C60" w:rsidP="008F6C60">
            <w:r w:rsidRPr="008F6C60">
              <w:t xml:space="preserve">Survey </w:t>
            </w:r>
            <w:r w:rsidR="009D7542">
              <w:t>d</w:t>
            </w:r>
            <w:r w:rsidRPr="008F6C60">
              <w:t>evelopment in Progress</w:t>
            </w:r>
          </w:p>
        </w:tc>
        <w:tc>
          <w:tcPr>
            <w:tcW w:w="740" w:type="dxa"/>
            <w:shd w:val="clear" w:color="auto" w:fill="auto"/>
          </w:tcPr>
          <w:p w14:paraId="56D80C92" w14:textId="77777777" w:rsidR="008F6C60" w:rsidRPr="008F6C60" w:rsidRDefault="008F6C60" w:rsidP="008F6C60"/>
        </w:tc>
        <w:tc>
          <w:tcPr>
            <w:tcW w:w="740" w:type="dxa"/>
            <w:shd w:val="clear" w:color="auto" w:fill="auto"/>
          </w:tcPr>
          <w:p w14:paraId="396718C1" w14:textId="77777777" w:rsidR="008F6C60" w:rsidRPr="006D2F6B" w:rsidRDefault="008F6C60" w:rsidP="008F6C60"/>
        </w:tc>
        <w:tc>
          <w:tcPr>
            <w:tcW w:w="740" w:type="dxa"/>
            <w:shd w:val="clear" w:color="auto" w:fill="auto"/>
          </w:tcPr>
          <w:p w14:paraId="432D642D" w14:textId="77777777" w:rsidR="008F6C60" w:rsidRPr="006D2F6B" w:rsidRDefault="008F6C60" w:rsidP="008F6C60"/>
        </w:tc>
        <w:tc>
          <w:tcPr>
            <w:tcW w:w="740" w:type="dxa"/>
            <w:shd w:val="clear" w:color="auto" w:fill="auto"/>
          </w:tcPr>
          <w:p w14:paraId="3F68F7CD" w14:textId="77777777" w:rsidR="008F6C60" w:rsidRPr="006D2F6B" w:rsidRDefault="008F6C60" w:rsidP="008F6C60"/>
        </w:tc>
      </w:tr>
      <w:tr w:rsidR="008F6C60" w14:paraId="02E95196" w14:textId="77777777" w:rsidTr="008F6C60">
        <w:trPr>
          <w:jc w:val="center"/>
        </w:trPr>
        <w:tc>
          <w:tcPr>
            <w:tcW w:w="3745" w:type="dxa"/>
            <w:shd w:val="clear" w:color="auto" w:fill="auto"/>
          </w:tcPr>
          <w:p w14:paraId="54271819" w14:textId="1331C12D" w:rsidR="008F6C60" w:rsidRPr="007D4677" w:rsidRDefault="008F6C60" w:rsidP="008F6C60">
            <w:r w:rsidRPr="007D4677">
              <w:t xml:space="preserve">Measure teaching staff confidence levels in teaching writing and spelling and how well supported they feel to teach writing and spelling as expected.  </w:t>
            </w:r>
          </w:p>
        </w:tc>
        <w:tc>
          <w:tcPr>
            <w:tcW w:w="1008" w:type="dxa"/>
            <w:shd w:val="clear" w:color="auto" w:fill="auto"/>
          </w:tcPr>
          <w:p w14:paraId="7AD4618D" w14:textId="5B6A3B25" w:rsidR="008F6C60" w:rsidRPr="006D2F6B" w:rsidRDefault="008F6C60" w:rsidP="008F6C60">
            <w:r>
              <w:t>Not measured</w:t>
            </w:r>
          </w:p>
        </w:tc>
        <w:tc>
          <w:tcPr>
            <w:tcW w:w="1325" w:type="dxa"/>
            <w:shd w:val="clear" w:color="auto" w:fill="auto"/>
          </w:tcPr>
          <w:p w14:paraId="40AF62B2" w14:textId="3567D816" w:rsidR="008F6C60" w:rsidRPr="008F6C60" w:rsidRDefault="008F6C60" w:rsidP="008F6C60">
            <w:r w:rsidRPr="008F6C60">
              <w:t xml:space="preserve">Survey </w:t>
            </w:r>
            <w:r w:rsidR="009D7542">
              <w:t>d</w:t>
            </w:r>
            <w:r w:rsidRPr="008F6C60">
              <w:t>evelopment in Progress</w:t>
            </w:r>
          </w:p>
        </w:tc>
        <w:tc>
          <w:tcPr>
            <w:tcW w:w="740" w:type="dxa"/>
            <w:shd w:val="clear" w:color="auto" w:fill="auto"/>
          </w:tcPr>
          <w:p w14:paraId="236A25E6" w14:textId="77777777" w:rsidR="008F6C60" w:rsidRPr="006D2F6B" w:rsidRDefault="008F6C60" w:rsidP="008F6C60"/>
        </w:tc>
        <w:tc>
          <w:tcPr>
            <w:tcW w:w="740" w:type="dxa"/>
            <w:shd w:val="clear" w:color="auto" w:fill="auto"/>
          </w:tcPr>
          <w:p w14:paraId="3A3CBD39" w14:textId="77777777" w:rsidR="008F6C60" w:rsidRPr="006D2F6B" w:rsidRDefault="008F6C60" w:rsidP="008F6C60"/>
        </w:tc>
        <w:tc>
          <w:tcPr>
            <w:tcW w:w="740" w:type="dxa"/>
            <w:shd w:val="clear" w:color="auto" w:fill="auto"/>
          </w:tcPr>
          <w:p w14:paraId="47341749" w14:textId="77777777" w:rsidR="008F6C60" w:rsidRPr="006D2F6B" w:rsidRDefault="008F6C60" w:rsidP="008F6C60"/>
        </w:tc>
        <w:tc>
          <w:tcPr>
            <w:tcW w:w="740" w:type="dxa"/>
            <w:shd w:val="clear" w:color="auto" w:fill="auto"/>
          </w:tcPr>
          <w:p w14:paraId="346E34B8" w14:textId="77777777" w:rsidR="008F6C60" w:rsidRPr="006D2F6B" w:rsidRDefault="008F6C60" w:rsidP="008F6C60"/>
        </w:tc>
      </w:tr>
    </w:tbl>
    <w:p w14:paraId="02078B9E" w14:textId="77777777" w:rsidR="008A01DA" w:rsidRPr="008A01DA" w:rsidRDefault="008A01DA" w:rsidP="00C0648C">
      <w:pPr>
        <w:pStyle w:val="Heading4"/>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941"/>
        <w:gridCol w:w="1306"/>
        <w:gridCol w:w="758"/>
        <w:gridCol w:w="758"/>
        <w:gridCol w:w="758"/>
        <w:gridCol w:w="758"/>
        <w:gridCol w:w="759"/>
      </w:tblGrid>
      <w:tr w:rsidR="001F03F5"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3D66D815" w14:textId="77777777" w:rsidR="006D2F6B" w:rsidRPr="006D2F6B" w:rsidRDefault="006D2F6B" w:rsidP="00D56F59">
            <w:pPr>
              <w:jc w:val="center"/>
              <w:rPr>
                <w:b/>
              </w:rPr>
            </w:pPr>
            <w:r w:rsidRPr="006D2F6B">
              <w:rPr>
                <w:b/>
              </w:rPr>
              <w:t>Base</w:t>
            </w:r>
          </w:p>
        </w:tc>
        <w:tc>
          <w:tcPr>
            <w:tcW w:w="790" w:type="dxa"/>
            <w:shd w:val="clear" w:color="auto" w:fill="auto"/>
          </w:tcPr>
          <w:p w14:paraId="2D7C7705" w14:textId="77777777" w:rsidR="006D2F6B" w:rsidRPr="006D2F6B" w:rsidRDefault="006D2F6B" w:rsidP="00D56F59">
            <w:pPr>
              <w:jc w:val="center"/>
              <w:rPr>
                <w:b/>
              </w:rPr>
            </w:pPr>
            <w:r w:rsidRPr="006D2F6B">
              <w:rPr>
                <w:b/>
              </w:rPr>
              <w:t>Year 1</w:t>
            </w:r>
          </w:p>
        </w:tc>
        <w:tc>
          <w:tcPr>
            <w:tcW w:w="790" w:type="dxa"/>
            <w:shd w:val="clear" w:color="auto" w:fill="auto"/>
          </w:tcPr>
          <w:p w14:paraId="1AEEC90B" w14:textId="77777777" w:rsidR="006D2F6B" w:rsidRPr="006D2F6B" w:rsidRDefault="006D2F6B" w:rsidP="00D56F59">
            <w:pPr>
              <w:jc w:val="center"/>
              <w:rPr>
                <w:b/>
              </w:rPr>
            </w:pPr>
            <w:r w:rsidRPr="006D2F6B">
              <w:rPr>
                <w:b/>
              </w:rPr>
              <w:t>Year 2</w:t>
            </w:r>
          </w:p>
        </w:tc>
        <w:tc>
          <w:tcPr>
            <w:tcW w:w="790" w:type="dxa"/>
            <w:shd w:val="clear" w:color="auto" w:fill="auto"/>
          </w:tcPr>
          <w:p w14:paraId="55A376BF" w14:textId="77777777" w:rsidR="006D2F6B" w:rsidRPr="006D2F6B" w:rsidRDefault="006D2F6B" w:rsidP="00D56F59">
            <w:pPr>
              <w:jc w:val="center"/>
              <w:rPr>
                <w:b/>
              </w:rPr>
            </w:pPr>
            <w:r w:rsidRPr="006D2F6B">
              <w:rPr>
                <w:b/>
              </w:rPr>
              <w:t>Year 3</w:t>
            </w:r>
          </w:p>
        </w:tc>
        <w:tc>
          <w:tcPr>
            <w:tcW w:w="790" w:type="dxa"/>
            <w:shd w:val="clear" w:color="auto" w:fill="auto"/>
          </w:tcPr>
          <w:p w14:paraId="7B0F6FB9" w14:textId="77777777" w:rsidR="006D2F6B" w:rsidRPr="006D2F6B" w:rsidRDefault="006D2F6B" w:rsidP="00D56F59">
            <w:pPr>
              <w:jc w:val="center"/>
              <w:rPr>
                <w:b/>
              </w:rPr>
            </w:pPr>
            <w:r w:rsidRPr="006D2F6B">
              <w:rPr>
                <w:b/>
              </w:rPr>
              <w:t>Year 4</w:t>
            </w:r>
          </w:p>
        </w:tc>
        <w:tc>
          <w:tcPr>
            <w:tcW w:w="791" w:type="dxa"/>
            <w:shd w:val="clear" w:color="auto" w:fill="auto"/>
          </w:tcPr>
          <w:p w14:paraId="1A3E1375" w14:textId="77777777" w:rsidR="006D2F6B" w:rsidRPr="006D2F6B" w:rsidRDefault="006D2F6B" w:rsidP="00D56F59">
            <w:pPr>
              <w:jc w:val="center"/>
              <w:rPr>
                <w:b/>
              </w:rPr>
            </w:pPr>
            <w:r w:rsidRPr="006D2F6B">
              <w:rPr>
                <w:b/>
              </w:rPr>
              <w:t>Year 5</w:t>
            </w:r>
          </w:p>
        </w:tc>
      </w:tr>
      <w:tr w:rsidR="001F03F5" w14:paraId="511DB66E" w14:textId="77777777" w:rsidTr="00D03B0C">
        <w:trPr>
          <w:jc w:val="center"/>
        </w:trPr>
        <w:tc>
          <w:tcPr>
            <w:tcW w:w="4297" w:type="dxa"/>
            <w:shd w:val="clear" w:color="auto" w:fill="auto"/>
          </w:tcPr>
          <w:p w14:paraId="0CEA91E9" w14:textId="7D40839D" w:rsidR="006D2F6B" w:rsidRPr="006D2F6B" w:rsidRDefault="007D4677" w:rsidP="00D03B0C">
            <w:pPr>
              <w:pStyle w:val="PlainText"/>
            </w:pPr>
            <w:r w:rsidRPr="007D4677">
              <w:t>By 2023, we will have an agreed and implemented set of principles which guide curriculum planning for writing and spelling.</w:t>
            </w:r>
          </w:p>
        </w:tc>
        <w:tc>
          <w:tcPr>
            <w:tcW w:w="790" w:type="dxa"/>
            <w:shd w:val="clear" w:color="auto" w:fill="auto"/>
          </w:tcPr>
          <w:p w14:paraId="1DEC5E9B" w14:textId="3D59A225" w:rsidR="006D2F6B" w:rsidRPr="006D2F6B" w:rsidRDefault="001F03F5" w:rsidP="00D03B0C">
            <w:r>
              <w:t>Shared belief document completed</w:t>
            </w:r>
          </w:p>
        </w:tc>
        <w:tc>
          <w:tcPr>
            <w:tcW w:w="790" w:type="dxa"/>
            <w:shd w:val="clear" w:color="auto" w:fill="auto"/>
          </w:tcPr>
          <w:p w14:paraId="0FF61450" w14:textId="77777777" w:rsidR="006D2F6B" w:rsidRPr="006D2F6B" w:rsidRDefault="006D2F6B" w:rsidP="00D03B0C"/>
        </w:tc>
        <w:tc>
          <w:tcPr>
            <w:tcW w:w="790" w:type="dxa"/>
            <w:shd w:val="clear" w:color="auto" w:fill="auto"/>
          </w:tcPr>
          <w:p w14:paraId="6E75F6C9" w14:textId="77777777" w:rsidR="006D2F6B" w:rsidRPr="006D2F6B" w:rsidRDefault="006D2F6B" w:rsidP="00D03B0C"/>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r w:rsidR="001F03F5" w14:paraId="67C433EE" w14:textId="77777777" w:rsidTr="008F6C60">
        <w:trPr>
          <w:jc w:val="center"/>
        </w:trPr>
        <w:tc>
          <w:tcPr>
            <w:tcW w:w="4297" w:type="dxa"/>
            <w:shd w:val="clear" w:color="auto" w:fill="auto"/>
          </w:tcPr>
          <w:p w14:paraId="0D673DE8" w14:textId="77777777" w:rsidR="007D4677" w:rsidRDefault="007D4677" w:rsidP="007D4677">
            <w:r>
              <w:t xml:space="preserve">Consistency in pedagogical practice in the teaching of writing and spelling. </w:t>
            </w:r>
          </w:p>
          <w:p w14:paraId="7BEC87F4" w14:textId="4CBE9A8A" w:rsidR="006D2F6B" w:rsidRPr="006D2F6B" w:rsidRDefault="007D4677" w:rsidP="007D4677">
            <w:r>
              <w:t>Source: Observations (Learning Walk and Talks and emersion visits) and school based Teacher survey</w:t>
            </w:r>
          </w:p>
        </w:tc>
        <w:tc>
          <w:tcPr>
            <w:tcW w:w="790" w:type="dxa"/>
            <w:shd w:val="clear" w:color="auto" w:fill="auto"/>
          </w:tcPr>
          <w:p w14:paraId="3C288E5B" w14:textId="249ED953" w:rsidR="006D2F6B" w:rsidRPr="006D2F6B" w:rsidRDefault="008F6C60" w:rsidP="00D03B0C">
            <w:r>
              <w:t xml:space="preserve">Learning Walk and Talk evaluation and Teacher </w:t>
            </w:r>
            <w:r w:rsidRPr="008F6C60">
              <w:t xml:space="preserve">Survey </w:t>
            </w:r>
            <w:r w:rsidR="009D7542">
              <w:t>d</w:t>
            </w:r>
            <w:r w:rsidRPr="008F6C60">
              <w:t>evelopment in Progress</w:t>
            </w:r>
          </w:p>
        </w:tc>
        <w:tc>
          <w:tcPr>
            <w:tcW w:w="790" w:type="dxa"/>
            <w:shd w:val="clear" w:color="auto" w:fill="auto"/>
          </w:tcPr>
          <w:p w14:paraId="7AEA167E" w14:textId="77777777" w:rsidR="006D2F6B" w:rsidRPr="006D2F6B" w:rsidRDefault="006D2F6B" w:rsidP="00D03B0C"/>
        </w:tc>
        <w:tc>
          <w:tcPr>
            <w:tcW w:w="790" w:type="dxa"/>
            <w:shd w:val="clear" w:color="auto" w:fill="auto"/>
          </w:tcPr>
          <w:p w14:paraId="016DCD06" w14:textId="77777777" w:rsidR="006D2F6B" w:rsidRPr="006D2F6B" w:rsidRDefault="006D2F6B" w:rsidP="00D03B0C"/>
        </w:tc>
        <w:tc>
          <w:tcPr>
            <w:tcW w:w="790" w:type="dxa"/>
            <w:shd w:val="clear" w:color="auto" w:fill="auto"/>
          </w:tcPr>
          <w:p w14:paraId="6C5F0C5C" w14:textId="77777777" w:rsidR="006D2F6B" w:rsidRPr="006D2F6B" w:rsidRDefault="006D2F6B" w:rsidP="00D03B0C"/>
        </w:tc>
        <w:tc>
          <w:tcPr>
            <w:tcW w:w="790" w:type="dxa"/>
            <w:shd w:val="clear" w:color="auto" w:fill="auto"/>
          </w:tcPr>
          <w:p w14:paraId="156A1392" w14:textId="77777777" w:rsidR="006D2F6B" w:rsidRPr="006D2F6B" w:rsidRDefault="006D2F6B" w:rsidP="00D03B0C"/>
        </w:tc>
        <w:tc>
          <w:tcPr>
            <w:tcW w:w="791" w:type="dxa"/>
            <w:shd w:val="clear" w:color="auto" w:fill="auto"/>
          </w:tcPr>
          <w:p w14:paraId="217D8781" w14:textId="77777777" w:rsidR="006D2F6B" w:rsidRPr="006D2F6B" w:rsidRDefault="006D2F6B" w:rsidP="00D03B0C"/>
        </w:tc>
      </w:tr>
      <w:tr w:rsidR="001F03F5" w14:paraId="27D9CEA8" w14:textId="77777777" w:rsidTr="00D03B0C">
        <w:trPr>
          <w:jc w:val="center"/>
        </w:trPr>
        <w:tc>
          <w:tcPr>
            <w:tcW w:w="4297" w:type="dxa"/>
            <w:shd w:val="clear" w:color="auto" w:fill="auto"/>
          </w:tcPr>
          <w:p w14:paraId="732E56F9" w14:textId="2B56AD1B" w:rsidR="007D4677" w:rsidRDefault="007D4677" w:rsidP="007D4677">
            <w:r w:rsidRPr="007D4677">
              <w:t>Evidence of long-term team planning aligned to a developed scope and sequence for spelling and writing.</w:t>
            </w:r>
          </w:p>
        </w:tc>
        <w:tc>
          <w:tcPr>
            <w:tcW w:w="790" w:type="dxa"/>
            <w:shd w:val="clear" w:color="auto" w:fill="auto"/>
          </w:tcPr>
          <w:p w14:paraId="53CB7209" w14:textId="779F0CF0" w:rsidR="007D4677" w:rsidRPr="006D2F6B" w:rsidRDefault="001F03F5" w:rsidP="00D03B0C">
            <w:r>
              <w:t>Scope and Sequence under development</w:t>
            </w:r>
          </w:p>
        </w:tc>
        <w:tc>
          <w:tcPr>
            <w:tcW w:w="790" w:type="dxa"/>
            <w:shd w:val="clear" w:color="auto" w:fill="auto"/>
          </w:tcPr>
          <w:p w14:paraId="3EE2AC8B" w14:textId="77777777" w:rsidR="007D4677" w:rsidRPr="006D2F6B" w:rsidRDefault="007D4677" w:rsidP="00D03B0C"/>
        </w:tc>
        <w:tc>
          <w:tcPr>
            <w:tcW w:w="790" w:type="dxa"/>
            <w:shd w:val="clear" w:color="auto" w:fill="auto"/>
          </w:tcPr>
          <w:p w14:paraId="19023235" w14:textId="77777777" w:rsidR="007D4677" w:rsidRPr="006D2F6B" w:rsidRDefault="007D4677" w:rsidP="00D03B0C"/>
        </w:tc>
        <w:tc>
          <w:tcPr>
            <w:tcW w:w="790" w:type="dxa"/>
            <w:shd w:val="clear" w:color="auto" w:fill="auto"/>
          </w:tcPr>
          <w:p w14:paraId="044CC957" w14:textId="77777777" w:rsidR="007D4677" w:rsidRPr="006D2F6B" w:rsidRDefault="007D4677" w:rsidP="00D03B0C"/>
        </w:tc>
        <w:tc>
          <w:tcPr>
            <w:tcW w:w="790" w:type="dxa"/>
            <w:shd w:val="clear" w:color="auto" w:fill="auto"/>
          </w:tcPr>
          <w:p w14:paraId="10D4B6EC" w14:textId="77777777" w:rsidR="007D4677" w:rsidRPr="006D2F6B" w:rsidRDefault="007D4677" w:rsidP="00D03B0C"/>
        </w:tc>
        <w:tc>
          <w:tcPr>
            <w:tcW w:w="791" w:type="dxa"/>
            <w:shd w:val="clear" w:color="auto" w:fill="auto"/>
          </w:tcPr>
          <w:p w14:paraId="4B7A2492" w14:textId="77777777" w:rsidR="007D4677" w:rsidRPr="006D2F6B" w:rsidRDefault="007D4677" w:rsidP="00D03B0C"/>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0CA7F0F1" w14:textId="1482B9CE" w:rsidR="001F03F5" w:rsidRDefault="00EE0392" w:rsidP="003C69DC">
            <w:pPr>
              <w:pStyle w:val="PlainText"/>
              <w:numPr>
                <w:ilvl w:val="0"/>
                <w:numId w:val="2"/>
              </w:numPr>
              <w:ind w:left="426" w:hanging="425"/>
            </w:pPr>
            <w:r>
              <w:t>2019 was the first year that Southern Cross Early Childhood School recorded a grade in writing for Year 1 and 2 children separately from the overall English grade.</w:t>
            </w:r>
          </w:p>
          <w:p w14:paraId="761ED47F" w14:textId="7D29DDB1" w:rsidR="00EE0392" w:rsidRDefault="00EE0392" w:rsidP="003C69DC">
            <w:pPr>
              <w:pStyle w:val="PlainText"/>
              <w:numPr>
                <w:ilvl w:val="0"/>
                <w:numId w:val="2"/>
              </w:numPr>
              <w:ind w:left="426" w:hanging="425"/>
            </w:pPr>
            <w:r>
              <w:t xml:space="preserve">In 2019 </w:t>
            </w:r>
            <w:proofErr w:type="gramStart"/>
            <w:r>
              <w:t>Year</w:t>
            </w:r>
            <w:proofErr w:type="gramEnd"/>
            <w:r>
              <w:t xml:space="preserve"> 1 children achieving at or above standard in writing was 55.5% and Year 2 achieving at or above standard in writing was 76.6%</w:t>
            </w:r>
          </w:p>
          <w:p w14:paraId="4A2ACBAE" w14:textId="142A7DDE" w:rsidR="00F16E1E" w:rsidRDefault="00F16E1E" w:rsidP="003C69DC">
            <w:pPr>
              <w:pStyle w:val="PlainText"/>
              <w:numPr>
                <w:ilvl w:val="0"/>
                <w:numId w:val="2"/>
              </w:numPr>
              <w:ind w:left="426" w:hanging="425"/>
            </w:pPr>
            <w:r>
              <w:t>Over 2019 we have been developing a survey to m</w:t>
            </w:r>
            <w:r w:rsidRPr="007D4677">
              <w:t>easure the perception of students in understanding what good writers do, how students can improve their writing, knowing where they are at and knowing how to improve.</w:t>
            </w:r>
          </w:p>
          <w:p w14:paraId="3D2B5E21" w14:textId="7B909FDB" w:rsidR="00F16E1E" w:rsidRDefault="00F16E1E" w:rsidP="003C69DC">
            <w:pPr>
              <w:pStyle w:val="PlainText"/>
              <w:numPr>
                <w:ilvl w:val="0"/>
                <w:numId w:val="2"/>
              </w:numPr>
              <w:ind w:left="426" w:hanging="425"/>
            </w:pPr>
            <w:r>
              <w:t xml:space="preserve">We have also developed a process to better understand parent satisfaction </w:t>
            </w:r>
            <w:r w:rsidRPr="007D4677">
              <w:t>of students understanding of what good writers do, how students can improve their writing, knowing where they are at and knowing how to improve</w:t>
            </w:r>
            <w:r>
              <w:t xml:space="preserve"> as part of our current parent engagement processes for 2020.</w:t>
            </w:r>
          </w:p>
          <w:p w14:paraId="2DFB70DA" w14:textId="76519535" w:rsidR="00161E50" w:rsidRDefault="00161E50" w:rsidP="00F16E1E">
            <w:pPr>
              <w:pStyle w:val="PlainText"/>
            </w:pPr>
          </w:p>
        </w:tc>
      </w:tr>
    </w:tbl>
    <w:p w14:paraId="113E7E85" w14:textId="4A8004DD" w:rsidR="002F4184" w:rsidRDefault="00937D6F" w:rsidP="002F4184">
      <w:pPr>
        <w:pStyle w:val="Heading3"/>
      </w:pPr>
      <w:r>
        <w:t>Our achievements for this priority</w:t>
      </w:r>
    </w:p>
    <w:tbl>
      <w:tblPr>
        <w:tblStyle w:val="TableGrid"/>
        <w:tblW w:w="9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27"/>
      </w:tblGrid>
      <w:tr w:rsidR="00937D6F" w14:paraId="67D0E0F5" w14:textId="77777777" w:rsidTr="000B79F4">
        <w:trPr>
          <w:trHeight w:val="223"/>
          <w:jc w:val="center"/>
        </w:trPr>
        <w:tc>
          <w:tcPr>
            <w:tcW w:w="9027" w:type="dxa"/>
            <w:shd w:val="clear" w:color="auto" w:fill="auto"/>
          </w:tcPr>
          <w:p w14:paraId="2A6BF917" w14:textId="4FD78439" w:rsidR="00CA26FB" w:rsidRPr="00CA26FB" w:rsidRDefault="00186753" w:rsidP="00CA26FB">
            <w:pPr>
              <w:pStyle w:val="BodyText"/>
              <w:rPr>
                <w:b/>
              </w:rPr>
            </w:pPr>
            <w:r>
              <w:rPr>
                <w:b/>
              </w:rPr>
              <w:t xml:space="preserve">Consistent </w:t>
            </w:r>
            <w:r w:rsidR="00653821">
              <w:rPr>
                <w:b/>
              </w:rPr>
              <w:t>i</w:t>
            </w:r>
            <w:r>
              <w:rPr>
                <w:b/>
              </w:rPr>
              <w:t>mplementation of the teaching of writing and spelling across the school</w:t>
            </w:r>
          </w:p>
          <w:p w14:paraId="71CDF82F" w14:textId="4A38D5DA" w:rsidR="002F4184" w:rsidRDefault="00186753" w:rsidP="00CA26FB">
            <w:pPr>
              <w:pStyle w:val="ListBullet"/>
            </w:pPr>
            <w:r>
              <w:t xml:space="preserve">All new staff have attended that Early Years Literacy Project professional learning with </w:t>
            </w:r>
            <w:r w:rsidR="00AE72F3">
              <w:t xml:space="preserve">Literacy Expert and critical friend </w:t>
            </w:r>
            <w:r>
              <w:t>Christine Topfer</w:t>
            </w:r>
          </w:p>
          <w:p w14:paraId="77D17A3C" w14:textId="6FBBCBF4" w:rsidR="00186753" w:rsidRDefault="00186753" w:rsidP="00CA26FB">
            <w:pPr>
              <w:pStyle w:val="ListBullet"/>
            </w:pPr>
            <w:r>
              <w:t xml:space="preserve">Work has begun on </w:t>
            </w:r>
            <w:r w:rsidR="00AE72F3">
              <w:t>moving our Phonological Scope and Sequence to include spelling</w:t>
            </w:r>
          </w:p>
          <w:p w14:paraId="128C38C5" w14:textId="5E8D42BC" w:rsidR="00AE72F3" w:rsidRDefault="00AE72F3" w:rsidP="00CA26FB">
            <w:pPr>
              <w:pStyle w:val="ListBullet"/>
            </w:pPr>
            <w:r>
              <w:t>Our Shared Beliefs document for Writing and Spelling has been drafted</w:t>
            </w:r>
          </w:p>
          <w:p w14:paraId="6C460B4C" w14:textId="21591767" w:rsidR="00AE72F3" w:rsidRDefault="00AE72F3" w:rsidP="00CA26FB">
            <w:pPr>
              <w:pStyle w:val="ListBullet"/>
            </w:pPr>
            <w:r>
              <w:t>Christine Topfer attended the school on two days in Semester 2 to build staff capacity in the understanding of the links between the morphology and phonology of words</w:t>
            </w:r>
          </w:p>
          <w:p w14:paraId="5C168074" w14:textId="77777777" w:rsidR="00CA26FB" w:rsidRDefault="00CA26FB" w:rsidP="00CA26FB">
            <w:pPr>
              <w:pStyle w:val="ListBullet"/>
              <w:numPr>
                <w:ilvl w:val="0"/>
                <w:numId w:val="0"/>
              </w:numPr>
              <w:ind w:left="360" w:hanging="360"/>
            </w:pPr>
          </w:p>
          <w:p w14:paraId="202E5984" w14:textId="6E6E1A65" w:rsidR="00CA26FB" w:rsidRPr="00CA26FB" w:rsidRDefault="00653821" w:rsidP="00CA26FB">
            <w:pPr>
              <w:pStyle w:val="BodyText"/>
              <w:rPr>
                <w:b/>
              </w:rPr>
            </w:pPr>
            <w:r>
              <w:rPr>
                <w:b/>
              </w:rPr>
              <w:t>Centralisation of data and improved teacher efficacy in using data for programming and planning</w:t>
            </w:r>
          </w:p>
          <w:p w14:paraId="660D3B5C" w14:textId="77777777" w:rsidR="00CA26FB" w:rsidRDefault="00653821" w:rsidP="00CA26FB">
            <w:pPr>
              <w:pStyle w:val="ListBullet"/>
            </w:pPr>
            <w:r>
              <w:t>Whole School Data Plan has been developed</w:t>
            </w:r>
          </w:p>
          <w:p w14:paraId="70FA26DD" w14:textId="77777777" w:rsidR="00653821" w:rsidRDefault="00653821" w:rsidP="00CA26FB">
            <w:pPr>
              <w:pStyle w:val="ListBullet"/>
            </w:pPr>
            <w:r>
              <w:lastRenderedPageBreak/>
              <w:t>Staff are updating the data as required</w:t>
            </w:r>
          </w:p>
          <w:p w14:paraId="0C3F7249" w14:textId="4E09B916" w:rsidR="001C4BDD" w:rsidRDefault="001C4BDD" w:rsidP="00CA26FB">
            <w:pPr>
              <w:pStyle w:val="ListBullet"/>
            </w:pPr>
            <w:r>
              <w:t>Teams discuss data regularly as part of their PLC’s and whole school data is considered once per term</w:t>
            </w:r>
          </w:p>
          <w:p w14:paraId="660E5A3B" w14:textId="77777777" w:rsidR="00ED0F90" w:rsidRDefault="00ED0F90" w:rsidP="00ED0F90">
            <w:pPr>
              <w:pStyle w:val="ListBullet"/>
              <w:numPr>
                <w:ilvl w:val="0"/>
                <w:numId w:val="0"/>
              </w:numPr>
            </w:pPr>
          </w:p>
          <w:p w14:paraId="360B1903" w14:textId="1E092AC5" w:rsidR="00F3634A" w:rsidRDefault="00F3634A" w:rsidP="00ED0F90">
            <w:pPr>
              <w:pStyle w:val="BodyText"/>
              <w:rPr>
                <w:b/>
              </w:rPr>
            </w:pPr>
            <w:r>
              <w:rPr>
                <w:b/>
              </w:rPr>
              <w:t>Learning Walks and Talks are embedded across the school</w:t>
            </w:r>
          </w:p>
          <w:p w14:paraId="7E9DA428" w14:textId="239EA209" w:rsidR="00F3634A" w:rsidRDefault="00F3634A" w:rsidP="00F3634A">
            <w:pPr>
              <w:pStyle w:val="ListBullet"/>
            </w:pPr>
            <w:r>
              <w:t>Procedure developed for Learning Walks and Talks</w:t>
            </w:r>
          </w:p>
          <w:p w14:paraId="17BAE8D9" w14:textId="2AAF7621" w:rsidR="00F3634A" w:rsidRDefault="00F3634A" w:rsidP="00F3634A">
            <w:pPr>
              <w:pStyle w:val="ListBullet"/>
            </w:pPr>
            <w:r>
              <w:t>Sh</w:t>
            </w:r>
            <w:r w:rsidR="000B79F4">
              <w:t>a</w:t>
            </w:r>
            <w:r>
              <w:t>red beliefs document created to support the specific focus for learning Walks and Talks</w:t>
            </w:r>
          </w:p>
          <w:p w14:paraId="285398E5" w14:textId="1C45ED91" w:rsidR="000B79F4" w:rsidRDefault="000B79F4" w:rsidP="000B79F4">
            <w:pPr>
              <w:pStyle w:val="ListBullet"/>
            </w:pPr>
            <w:r>
              <w:t>All teachers were observed through a Learning Walk and Talk with written feedback provided by the Leadership Team</w:t>
            </w:r>
          </w:p>
          <w:p w14:paraId="60BA7CB0" w14:textId="5C09DE4F" w:rsidR="00F3634A" w:rsidRPr="000B79F4" w:rsidRDefault="00F3634A" w:rsidP="005F0D50">
            <w:pPr>
              <w:pStyle w:val="ListBullet"/>
              <w:rPr>
                <w:b/>
              </w:rPr>
            </w:pPr>
            <w:r>
              <w:t xml:space="preserve">All </w:t>
            </w:r>
            <w:r w:rsidR="000B79F4">
              <w:t>teachers</w:t>
            </w:r>
            <w:r>
              <w:t xml:space="preserve"> received an observation visit from a peer</w:t>
            </w:r>
            <w:r w:rsidR="000B79F4">
              <w:t xml:space="preserve"> with written feedback provided by their peer</w:t>
            </w:r>
          </w:p>
          <w:p w14:paraId="01A25199" w14:textId="77777777" w:rsidR="000B79F4" w:rsidRPr="000B79F4" w:rsidRDefault="000B79F4" w:rsidP="000B79F4">
            <w:pPr>
              <w:pStyle w:val="ListBullet"/>
              <w:numPr>
                <w:ilvl w:val="0"/>
                <w:numId w:val="0"/>
              </w:numPr>
              <w:rPr>
                <w:b/>
              </w:rPr>
            </w:pPr>
          </w:p>
          <w:p w14:paraId="6BC17A42" w14:textId="62CB6B11" w:rsidR="00ED0F90" w:rsidRPr="00CA26FB" w:rsidRDefault="00F3634A" w:rsidP="00ED0F90">
            <w:pPr>
              <w:pStyle w:val="BodyText"/>
              <w:rPr>
                <w:b/>
              </w:rPr>
            </w:pPr>
            <w:r>
              <w:rPr>
                <w:b/>
              </w:rPr>
              <w:t>I</w:t>
            </w:r>
            <w:r w:rsidR="00ED0F90">
              <w:rPr>
                <w:b/>
              </w:rPr>
              <w:t>mproved mentoring and coaching</w:t>
            </w:r>
          </w:p>
          <w:p w14:paraId="1E1FE82F" w14:textId="77777777" w:rsidR="00653821" w:rsidRDefault="00D81EBB" w:rsidP="00ED0F90">
            <w:pPr>
              <w:pStyle w:val="ListBullet"/>
            </w:pPr>
            <w:r>
              <w:t xml:space="preserve">Members of the Executive Team have undertaken </w:t>
            </w:r>
            <w:r w:rsidR="00F3634A">
              <w:t>further Professional Learning in Mentoring and Coaching</w:t>
            </w:r>
          </w:p>
          <w:p w14:paraId="73380ED3" w14:textId="2C243BBC" w:rsidR="00F3634A" w:rsidRDefault="00F3634A" w:rsidP="00ED0F90">
            <w:pPr>
              <w:pStyle w:val="ListBullet"/>
            </w:pPr>
            <w:r>
              <w:t xml:space="preserve">Additional mentoring and coaching </w:t>
            </w:r>
            <w:proofErr w:type="gramStart"/>
            <w:r w:rsidR="000B79F4">
              <w:t>wa</w:t>
            </w:r>
            <w:r>
              <w:t>s</w:t>
            </w:r>
            <w:proofErr w:type="gramEnd"/>
            <w:r>
              <w:t xml:space="preserve"> provided to teachers in their first three years of teaching</w:t>
            </w:r>
          </w:p>
          <w:p w14:paraId="48C5D032" w14:textId="71AC1F42" w:rsidR="00F3634A" w:rsidRPr="00CA26FB" w:rsidRDefault="00F3634A" w:rsidP="000B79F4">
            <w:pPr>
              <w:pStyle w:val="ListBullet"/>
              <w:numPr>
                <w:ilvl w:val="0"/>
                <w:numId w:val="0"/>
              </w:numPr>
              <w:ind w:left="360"/>
            </w:pP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27"/>
      </w:tblGrid>
      <w:tr w:rsidR="00937D6F" w14:paraId="18CB09D5" w14:textId="77777777" w:rsidTr="003C148D">
        <w:trPr>
          <w:trHeight w:val="116"/>
          <w:jc w:val="center"/>
        </w:trPr>
        <w:tc>
          <w:tcPr>
            <w:tcW w:w="9027" w:type="dxa"/>
            <w:shd w:val="clear" w:color="auto" w:fill="auto"/>
          </w:tcPr>
          <w:p w14:paraId="0065A678" w14:textId="11A2482B" w:rsidR="00A26431" w:rsidRDefault="00A26431" w:rsidP="00932E67">
            <w:pPr>
              <w:pStyle w:val="ListBullet"/>
            </w:pPr>
            <w:r>
              <w:t>Continue to build consistency of practice through and shared understanding of quality literacy practices across the Whole School - birth to Year 2</w:t>
            </w:r>
          </w:p>
          <w:p w14:paraId="39DF9DF4" w14:textId="77777777" w:rsidR="00A26431" w:rsidRDefault="00A26431" w:rsidP="00A26431">
            <w:pPr>
              <w:pStyle w:val="ListBullet"/>
              <w:numPr>
                <w:ilvl w:val="0"/>
                <w:numId w:val="0"/>
              </w:numPr>
            </w:pPr>
          </w:p>
          <w:p w14:paraId="132701CA" w14:textId="32A5DF48" w:rsidR="00A26431" w:rsidRDefault="00A26431" w:rsidP="00A26431">
            <w:pPr>
              <w:pStyle w:val="ListBullet2"/>
              <w:numPr>
                <w:ilvl w:val="0"/>
                <w:numId w:val="0"/>
              </w:numPr>
              <w:ind w:left="321" w:firstLine="36"/>
            </w:pPr>
            <w:r w:rsidRPr="003C148D">
              <w:rPr>
                <w:i/>
              </w:rPr>
              <w:t>Action</w:t>
            </w:r>
            <w:r>
              <w:t>: Provide Whole School professional learning (inclu</w:t>
            </w:r>
            <w:r w:rsidR="005918F1">
              <w:t>ding our Anglicare component) in quality Early Childhood Literacy practices</w:t>
            </w:r>
          </w:p>
          <w:p w14:paraId="20739FA8" w14:textId="25766B00" w:rsidR="008F6C60" w:rsidRPr="0062707A" w:rsidRDefault="008F6C60" w:rsidP="00A26431">
            <w:pPr>
              <w:pStyle w:val="ListBullet2"/>
              <w:numPr>
                <w:ilvl w:val="0"/>
                <w:numId w:val="0"/>
              </w:numPr>
              <w:ind w:left="321" w:firstLine="36"/>
            </w:pPr>
            <w:r w:rsidRPr="008F6C60">
              <w:rPr>
                <w:i/>
              </w:rPr>
              <w:t xml:space="preserve">Action: </w:t>
            </w:r>
            <w:r w:rsidR="0062707A">
              <w:t>Undertake analysis of the Learning Walk and Talk data that is gathered over the year</w:t>
            </w:r>
          </w:p>
          <w:p w14:paraId="7A7E1C0B" w14:textId="77777777" w:rsidR="00A26431" w:rsidRDefault="00A26431" w:rsidP="00A26431">
            <w:pPr>
              <w:pStyle w:val="ListBullet"/>
              <w:numPr>
                <w:ilvl w:val="0"/>
                <w:numId w:val="0"/>
              </w:numPr>
            </w:pPr>
          </w:p>
          <w:p w14:paraId="4D467D62" w14:textId="3DC2FDBB" w:rsidR="00932E67" w:rsidRDefault="003C148D" w:rsidP="00932E67">
            <w:pPr>
              <w:pStyle w:val="ListBullet"/>
            </w:pPr>
            <w:r>
              <w:t>The Executive Team have identified that staff absences impacted on our capacity to undertake Learning Walks and Talks</w:t>
            </w:r>
          </w:p>
          <w:p w14:paraId="7BB4916D" w14:textId="77777777" w:rsidR="003C148D" w:rsidRDefault="003C148D" w:rsidP="003C148D">
            <w:pPr>
              <w:pStyle w:val="ListBullet"/>
              <w:numPr>
                <w:ilvl w:val="0"/>
                <w:numId w:val="0"/>
              </w:numPr>
              <w:ind w:left="360" w:hanging="360"/>
            </w:pPr>
          </w:p>
          <w:p w14:paraId="7BBB8A24" w14:textId="107F3D8F" w:rsidR="003C148D" w:rsidRDefault="003C148D" w:rsidP="005918F1">
            <w:pPr>
              <w:pStyle w:val="ListBullet2"/>
              <w:numPr>
                <w:ilvl w:val="0"/>
                <w:numId w:val="0"/>
              </w:numPr>
              <w:ind w:left="321" w:firstLine="36"/>
            </w:pPr>
            <w:r w:rsidRPr="003C148D">
              <w:rPr>
                <w:i/>
              </w:rPr>
              <w:t>Action</w:t>
            </w:r>
            <w:r>
              <w:t xml:space="preserve">: </w:t>
            </w:r>
            <w:r w:rsidR="005918F1">
              <w:t>Finalise our shared beliefs document and monitor implementation through Learning Walks and Talks with built in flexibility to allow for teacher absences</w:t>
            </w:r>
          </w:p>
          <w:p w14:paraId="4B51664B" w14:textId="77777777" w:rsidR="003C148D" w:rsidRDefault="003C148D" w:rsidP="003C148D">
            <w:pPr>
              <w:pStyle w:val="ListBullet"/>
              <w:numPr>
                <w:ilvl w:val="0"/>
                <w:numId w:val="0"/>
              </w:numPr>
              <w:ind w:left="360" w:hanging="360"/>
            </w:pPr>
          </w:p>
          <w:p w14:paraId="41DFF88E" w14:textId="5BB1597D" w:rsidR="00210F01" w:rsidRDefault="00210F01" w:rsidP="00210F01">
            <w:pPr>
              <w:pStyle w:val="ListBullet"/>
            </w:pPr>
            <w:r>
              <w:t>The Executive Team have identified that we can gather additional perception data from families to gain a deeper understanding of their goals for their children as writers</w:t>
            </w:r>
          </w:p>
          <w:p w14:paraId="484F263E" w14:textId="77777777" w:rsidR="00210F01" w:rsidRDefault="00210F01" w:rsidP="00210F01">
            <w:pPr>
              <w:pStyle w:val="ListBullet"/>
              <w:numPr>
                <w:ilvl w:val="0"/>
                <w:numId w:val="0"/>
              </w:numPr>
              <w:ind w:left="360" w:hanging="360"/>
            </w:pPr>
          </w:p>
          <w:p w14:paraId="1F7AFD61" w14:textId="30B97409" w:rsidR="00210F01" w:rsidRDefault="00210F01" w:rsidP="00210F01">
            <w:pPr>
              <w:pStyle w:val="ListBullet2"/>
              <w:numPr>
                <w:ilvl w:val="0"/>
                <w:numId w:val="0"/>
              </w:numPr>
              <w:ind w:left="321" w:firstLine="36"/>
            </w:pPr>
            <w:r w:rsidRPr="003C148D">
              <w:rPr>
                <w:i/>
              </w:rPr>
              <w:t>Action</w:t>
            </w:r>
            <w:r>
              <w:t xml:space="preserve">: Build the understanding across our community of </w:t>
            </w:r>
            <w:r w:rsidR="006D6615">
              <w:t xml:space="preserve">possible </w:t>
            </w:r>
            <w:r>
              <w:t xml:space="preserve">writing goals for </w:t>
            </w:r>
            <w:r w:rsidR="006D6615">
              <w:t xml:space="preserve">their </w:t>
            </w:r>
            <w:r>
              <w:t>childr</w:t>
            </w:r>
            <w:r w:rsidR="006D6615">
              <w:t>en, discuss at the Getting to Know You interviews and seek feedback from families at Learning Journeys</w:t>
            </w:r>
          </w:p>
          <w:p w14:paraId="4C573872" w14:textId="77777777" w:rsidR="00210F01" w:rsidRDefault="00210F01" w:rsidP="00210F01">
            <w:pPr>
              <w:pStyle w:val="ListBullet"/>
              <w:numPr>
                <w:ilvl w:val="0"/>
                <w:numId w:val="0"/>
              </w:numPr>
              <w:ind w:left="360" w:hanging="360"/>
            </w:pPr>
          </w:p>
          <w:p w14:paraId="21501890" w14:textId="485DB915" w:rsidR="00937D6F" w:rsidRDefault="00937D6F" w:rsidP="005918F1">
            <w:pPr>
              <w:pStyle w:val="ListBullet"/>
              <w:numPr>
                <w:ilvl w:val="0"/>
                <w:numId w:val="0"/>
              </w:numPr>
              <w:ind w:left="360"/>
            </w:pPr>
          </w:p>
        </w:tc>
      </w:tr>
      <w:tr w:rsidR="008F6C60" w14:paraId="27DD02B6" w14:textId="77777777" w:rsidTr="003C148D">
        <w:trPr>
          <w:trHeight w:val="116"/>
          <w:jc w:val="center"/>
        </w:trPr>
        <w:tc>
          <w:tcPr>
            <w:tcW w:w="9027" w:type="dxa"/>
            <w:shd w:val="clear" w:color="auto" w:fill="auto"/>
          </w:tcPr>
          <w:p w14:paraId="0F3964CF" w14:textId="77777777" w:rsidR="008F6C60" w:rsidRDefault="008F6C60" w:rsidP="0062707A">
            <w:pPr>
              <w:pStyle w:val="ListBullet"/>
              <w:numPr>
                <w:ilvl w:val="0"/>
                <w:numId w:val="0"/>
              </w:numPr>
            </w:pP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76BFA6B8"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007D4677">
        <w:rPr>
          <w:color w:val="auto"/>
        </w:rPr>
        <w:t xml:space="preserve"> </w:t>
      </w:r>
      <w:bookmarkStart w:id="3" w:name="_Hlk2682335"/>
      <w:r w:rsidR="007D4677">
        <w:t>To develop student agency and confidence to improve numeracy and understanding of the language of mathematics.</w:t>
      </w:r>
      <w:bookmarkEnd w:id="3"/>
    </w:p>
    <w:p w14:paraId="516A240E" w14:textId="77777777" w:rsidR="00EB70CE" w:rsidRPr="00837137" w:rsidRDefault="00EB70CE" w:rsidP="00EB70CE">
      <w:pPr>
        <w:pStyle w:val="Heading3"/>
      </w:pPr>
      <w:r w:rsidRPr="00837137">
        <w:t>Targets or measures</w:t>
      </w:r>
    </w:p>
    <w:p w14:paraId="6FF6208C" w14:textId="1856D1D7" w:rsidR="00EB70CE" w:rsidRDefault="00EB70CE" w:rsidP="00EB70CE">
      <w:pPr>
        <w:pStyle w:val="BodyText"/>
      </w:pPr>
      <w:r>
        <w:t>By the end of 20</w:t>
      </w:r>
      <w:r w:rsidR="007D4677">
        <w:t>19</w:t>
      </w:r>
      <w:r>
        <w:t xml:space="preserve"> we will achieve:</w:t>
      </w:r>
    </w:p>
    <w:p w14:paraId="504B978A" w14:textId="6CEECEF5" w:rsidR="00EB70CE" w:rsidRPr="00837137" w:rsidRDefault="001806FB" w:rsidP="00EB70CE">
      <w:pPr>
        <w:pStyle w:val="ListBullet"/>
      </w:pPr>
      <w:r>
        <w:t>An i</w:t>
      </w:r>
      <w:r w:rsidR="006D6615">
        <w:t xml:space="preserve">ncrease </w:t>
      </w:r>
      <w:r>
        <w:t xml:space="preserve">in </w:t>
      </w:r>
      <w:r w:rsidR="006D6615">
        <w:t xml:space="preserve">the </w:t>
      </w:r>
      <w:r>
        <w:t>proportion</w:t>
      </w:r>
      <w:r w:rsidR="006D6615">
        <w:t xml:space="preserve"> of children achieving at or above expected growth in numeracy in PIPS</w:t>
      </w:r>
    </w:p>
    <w:p w14:paraId="7F016C8F" w14:textId="6ECAC2C1" w:rsidR="00EB70CE" w:rsidRPr="00837137" w:rsidRDefault="001806FB" w:rsidP="00EB70CE">
      <w:pPr>
        <w:pStyle w:val="ListBullet"/>
      </w:pPr>
      <w:r>
        <w:t>An increase in the proportion of children achieving at or above standard in numeracy (C and above)</w:t>
      </w:r>
    </w:p>
    <w:p w14:paraId="29FA6989" w14:textId="780C8066" w:rsidR="001806FB" w:rsidRPr="00837137" w:rsidRDefault="001806FB" w:rsidP="001806FB">
      <w:pPr>
        <w:pStyle w:val="ListBullet"/>
      </w:pPr>
      <w:r>
        <w:t>An increase in the proportion of children achieving above standard in numeracy (A and B)</w:t>
      </w:r>
    </w:p>
    <w:p w14:paraId="74AEAB93" w14:textId="63294FEA" w:rsidR="00EB70CE" w:rsidRPr="00837137" w:rsidRDefault="00EB70CE" w:rsidP="001806FB">
      <w:pPr>
        <w:pStyle w:val="ListBullet"/>
        <w:numPr>
          <w:ilvl w:val="0"/>
          <w:numId w:val="0"/>
        </w:numPr>
      </w:pPr>
    </w:p>
    <w:p w14:paraId="6BF90988" w14:textId="146F5DCC" w:rsidR="00EB70CE" w:rsidRPr="00373DC0" w:rsidRDefault="00EB70CE" w:rsidP="00EB70CE">
      <w:pPr>
        <w:pStyle w:val="BodyText"/>
      </w:pPr>
      <w:r w:rsidRPr="00373DC0">
        <w:t>In 20</w:t>
      </w:r>
      <w:r w:rsidR="007D4677">
        <w:t>19</w:t>
      </w:r>
      <w:r w:rsidRPr="00373DC0">
        <w:t xml:space="preserve"> we </w:t>
      </w:r>
      <w:r>
        <w:t>implemented</w:t>
      </w:r>
      <w:r w:rsidRPr="00373DC0">
        <w:t xml:space="preserve"> this priority throug</w:t>
      </w:r>
      <w:r>
        <w:t xml:space="preserve">h the following </w:t>
      </w:r>
      <w:r w:rsidRPr="00373DC0">
        <w:t>strategies.</w:t>
      </w:r>
    </w:p>
    <w:p w14:paraId="3282B39E" w14:textId="7993588E" w:rsidR="00222E40" w:rsidRPr="000F0410" w:rsidRDefault="00222E40" w:rsidP="00222E40">
      <w:pPr>
        <w:pStyle w:val="ListBullet"/>
      </w:pPr>
      <w:r>
        <w:t>Developing a suite of documents to support teachers in their delivery of numeracy across the school</w:t>
      </w:r>
    </w:p>
    <w:p w14:paraId="5B319009" w14:textId="59CC0902" w:rsidR="00222E40" w:rsidRPr="000F0410" w:rsidRDefault="00222E40" w:rsidP="00222E40">
      <w:pPr>
        <w:pStyle w:val="ListBullet"/>
      </w:pPr>
      <w:r>
        <w:t xml:space="preserve">Continuing to develop the capacity </w:t>
      </w:r>
      <w:r w:rsidR="00DD651A">
        <w:t xml:space="preserve">of teachers </w:t>
      </w:r>
      <w:r>
        <w:t xml:space="preserve">to use effective, evidence-based strategies in the teaching of </w:t>
      </w:r>
      <w:r w:rsidR="00DD651A">
        <w:t>numeracy</w:t>
      </w:r>
    </w:p>
    <w:p w14:paraId="176F88BB" w14:textId="5D67285E" w:rsidR="00222E40" w:rsidRDefault="00222E40" w:rsidP="00222E40">
      <w:pPr>
        <w:pStyle w:val="ListBullet"/>
      </w:pPr>
      <w:r>
        <w:t xml:space="preserve">Enhancing teacher abilities to interpret data and use it to plan in meaningful ways to improve outcomes </w:t>
      </w:r>
      <w:r w:rsidR="00DD651A">
        <w:t xml:space="preserve">for children </w:t>
      </w:r>
      <w:r>
        <w:t xml:space="preserve">in </w:t>
      </w:r>
      <w:r w:rsidR="00DD651A">
        <w:t>numeracy</w:t>
      </w:r>
    </w:p>
    <w:p w14:paraId="13F17F2B" w14:textId="77777777" w:rsidR="00EB70CE" w:rsidRDefault="00EB70CE" w:rsidP="00EB70CE">
      <w:pPr>
        <w:pStyle w:val="BodyText"/>
      </w:pPr>
    </w:p>
    <w:p w14:paraId="32A84660" w14:textId="0149156D"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5F0D50">
        <w:trPr>
          <w:jc w:val="center"/>
        </w:trPr>
        <w:tc>
          <w:tcPr>
            <w:tcW w:w="4297" w:type="dxa"/>
            <w:shd w:val="clear" w:color="auto" w:fill="auto"/>
          </w:tcPr>
          <w:p w14:paraId="38831A05" w14:textId="77777777" w:rsidR="00EB70CE" w:rsidRPr="00D03B0C" w:rsidRDefault="00EB70CE" w:rsidP="005F0D50">
            <w:pPr>
              <w:rPr>
                <w:b/>
              </w:rPr>
            </w:pPr>
            <w:r w:rsidRPr="00D03B0C">
              <w:rPr>
                <w:b/>
              </w:rPr>
              <w:t>Targets or Measures</w:t>
            </w:r>
          </w:p>
        </w:tc>
        <w:tc>
          <w:tcPr>
            <w:tcW w:w="790" w:type="dxa"/>
            <w:shd w:val="clear" w:color="auto" w:fill="auto"/>
          </w:tcPr>
          <w:p w14:paraId="1889F794" w14:textId="77777777" w:rsidR="00EB70CE" w:rsidRPr="00D03B0C" w:rsidRDefault="00EB70CE" w:rsidP="005F0D50">
            <w:pPr>
              <w:jc w:val="center"/>
              <w:rPr>
                <w:b/>
              </w:rPr>
            </w:pPr>
            <w:r w:rsidRPr="00D03B0C">
              <w:rPr>
                <w:b/>
              </w:rPr>
              <w:t>Base</w:t>
            </w:r>
          </w:p>
        </w:tc>
        <w:tc>
          <w:tcPr>
            <w:tcW w:w="790" w:type="dxa"/>
            <w:shd w:val="clear" w:color="auto" w:fill="auto"/>
          </w:tcPr>
          <w:p w14:paraId="7FEBA05C" w14:textId="77777777" w:rsidR="00EB70CE" w:rsidRPr="00D03B0C" w:rsidRDefault="00EB70CE" w:rsidP="005F0D50">
            <w:pPr>
              <w:jc w:val="center"/>
              <w:rPr>
                <w:b/>
              </w:rPr>
            </w:pPr>
            <w:r w:rsidRPr="00D03B0C">
              <w:rPr>
                <w:b/>
              </w:rPr>
              <w:t>Year 1</w:t>
            </w:r>
          </w:p>
        </w:tc>
        <w:tc>
          <w:tcPr>
            <w:tcW w:w="790" w:type="dxa"/>
            <w:shd w:val="clear" w:color="auto" w:fill="auto"/>
          </w:tcPr>
          <w:p w14:paraId="0D73E116" w14:textId="77777777" w:rsidR="00EB70CE" w:rsidRPr="00D03B0C" w:rsidRDefault="00EB70CE" w:rsidP="005F0D50">
            <w:pPr>
              <w:jc w:val="center"/>
              <w:rPr>
                <w:b/>
              </w:rPr>
            </w:pPr>
            <w:r w:rsidRPr="00D03B0C">
              <w:rPr>
                <w:b/>
              </w:rPr>
              <w:t>Year 2</w:t>
            </w:r>
          </w:p>
        </w:tc>
        <w:tc>
          <w:tcPr>
            <w:tcW w:w="790" w:type="dxa"/>
            <w:shd w:val="clear" w:color="auto" w:fill="auto"/>
          </w:tcPr>
          <w:p w14:paraId="318EBF9E" w14:textId="77777777" w:rsidR="00EB70CE" w:rsidRPr="00D03B0C" w:rsidRDefault="00EB70CE" w:rsidP="005F0D50">
            <w:pPr>
              <w:jc w:val="center"/>
              <w:rPr>
                <w:b/>
              </w:rPr>
            </w:pPr>
            <w:r w:rsidRPr="00D03B0C">
              <w:rPr>
                <w:b/>
              </w:rPr>
              <w:t>Year 3</w:t>
            </w:r>
          </w:p>
        </w:tc>
        <w:tc>
          <w:tcPr>
            <w:tcW w:w="790" w:type="dxa"/>
            <w:shd w:val="clear" w:color="auto" w:fill="auto"/>
          </w:tcPr>
          <w:p w14:paraId="4C59D3D5" w14:textId="77777777" w:rsidR="00EB70CE" w:rsidRPr="00D03B0C" w:rsidRDefault="00EB70CE" w:rsidP="005F0D50">
            <w:pPr>
              <w:jc w:val="center"/>
              <w:rPr>
                <w:b/>
              </w:rPr>
            </w:pPr>
            <w:r w:rsidRPr="00D03B0C">
              <w:rPr>
                <w:b/>
              </w:rPr>
              <w:t>Year 4</w:t>
            </w:r>
          </w:p>
        </w:tc>
        <w:tc>
          <w:tcPr>
            <w:tcW w:w="791" w:type="dxa"/>
            <w:shd w:val="clear" w:color="auto" w:fill="auto"/>
          </w:tcPr>
          <w:p w14:paraId="2D207E80" w14:textId="77777777" w:rsidR="00EB70CE" w:rsidRPr="00D03B0C" w:rsidRDefault="00EB70CE" w:rsidP="005F0D50">
            <w:pPr>
              <w:jc w:val="center"/>
              <w:rPr>
                <w:b/>
              </w:rPr>
            </w:pPr>
            <w:r w:rsidRPr="00D03B0C">
              <w:rPr>
                <w:b/>
              </w:rPr>
              <w:t>Year 5</w:t>
            </w:r>
          </w:p>
        </w:tc>
      </w:tr>
      <w:tr w:rsidR="00EB70CE" w14:paraId="619F7E44" w14:textId="77777777" w:rsidTr="005F0D50">
        <w:trPr>
          <w:jc w:val="center"/>
        </w:trPr>
        <w:tc>
          <w:tcPr>
            <w:tcW w:w="4297" w:type="dxa"/>
            <w:shd w:val="clear" w:color="auto" w:fill="auto"/>
          </w:tcPr>
          <w:p w14:paraId="2513CA2B" w14:textId="0153A762" w:rsidR="00EB70CE" w:rsidRPr="00D03B0C" w:rsidRDefault="007D4677" w:rsidP="005F0D50">
            <w:pPr>
              <w:pStyle w:val="PlainText"/>
            </w:pPr>
            <w:r w:rsidRPr="007D4677">
              <w:t>By 2023</w:t>
            </w:r>
            <w:r w:rsidR="005918F1">
              <w:t>,</w:t>
            </w:r>
            <w:r w:rsidRPr="007D4677">
              <w:t xml:space="preserve"> 72% of students will be achieving at or above expected growth in PIPS numeracy.</w:t>
            </w:r>
          </w:p>
        </w:tc>
        <w:tc>
          <w:tcPr>
            <w:tcW w:w="790" w:type="dxa"/>
            <w:shd w:val="clear" w:color="auto" w:fill="auto"/>
          </w:tcPr>
          <w:p w14:paraId="033F8A2C" w14:textId="61BA4638" w:rsidR="00EB70CE" w:rsidRPr="00D03B0C" w:rsidRDefault="00222E40" w:rsidP="005F0D50">
            <w:r>
              <w:t>66%</w:t>
            </w:r>
          </w:p>
        </w:tc>
        <w:tc>
          <w:tcPr>
            <w:tcW w:w="790" w:type="dxa"/>
            <w:shd w:val="clear" w:color="auto" w:fill="auto"/>
          </w:tcPr>
          <w:p w14:paraId="37A47674" w14:textId="65D8E9EE" w:rsidR="00EB70CE" w:rsidRPr="00D03B0C" w:rsidRDefault="00AC1C1B" w:rsidP="005F0D50">
            <w:r>
              <w:t>66.7%</w:t>
            </w:r>
          </w:p>
        </w:tc>
        <w:tc>
          <w:tcPr>
            <w:tcW w:w="790" w:type="dxa"/>
            <w:shd w:val="clear" w:color="auto" w:fill="auto"/>
          </w:tcPr>
          <w:p w14:paraId="3B610A06" w14:textId="77777777" w:rsidR="00EB70CE" w:rsidRPr="00D03B0C" w:rsidRDefault="00EB70CE" w:rsidP="005F0D50"/>
        </w:tc>
        <w:tc>
          <w:tcPr>
            <w:tcW w:w="790" w:type="dxa"/>
            <w:shd w:val="clear" w:color="auto" w:fill="auto"/>
          </w:tcPr>
          <w:p w14:paraId="14CA5668" w14:textId="77777777" w:rsidR="00EB70CE" w:rsidRPr="00D03B0C" w:rsidRDefault="00EB70CE" w:rsidP="005F0D50"/>
        </w:tc>
        <w:tc>
          <w:tcPr>
            <w:tcW w:w="790" w:type="dxa"/>
            <w:shd w:val="clear" w:color="auto" w:fill="auto"/>
          </w:tcPr>
          <w:p w14:paraId="31619F89" w14:textId="77777777" w:rsidR="00EB70CE" w:rsidRPr="00D03B0C" w:rsidRDefault="00EB70CE" w:rsidP="005F0D50"/>
        </w:tc>
        <w:tc>
          <w:tcPr>
            <w:tcW w:w="791" w:type="dxa"/>
            <w:shd w:val="clear" w:color="auto" w:fill="auto"/>
          </w:tcPr>
          <w:p w14:paraId="093216C0" w14:textId="77777777" w:rsidR="00EB70CE" w:rsidRPr="00D03B0C" w:rsidRDefault="00EB70CE" w:rsidP="005F0D50"/>
        </w:tc>
      </w:tr>
      <w:tr w:rsidR="00EB70CE" w14:paraId="4B3410E5" w14:textId="77777777" w:rsidTr="005F0D50">
        <w:trPr>
          <w:jc w:val="center"/>
        </w:trPr>
        <w:tc>
          <w:tcPr>
            <w:tcW w:w="4297" w:type="dxa"/>
            <w:shd w:val="clear" w:color="auto" w:fill="auto"/>
          </w:tcPr>
          <w:p w14:paraId="3EBBF196" w14:textId="00968183" w:rsidR="00EB70CE" w:rsidRPr="00D03B0C" w:rsidRDefault="007D4677" w:rsidP="005F0D50">
            <w:r w:rsidRPr="007D4677">
              <w:t>Increasing the proportion of students achieving at or above standard in numeracy (C and above) by 8%.</w:t>
            </w:r>
          </w:p>
        </w:tc>
        <w:tc>
          <w:tcPr>
            <w:tcW w:w="790" w:type="dxa"/>
            <w:shd w:val="clear" w:color="auto" w:fill="auto"/>
          </w:tcPr>
          <w:p w14:paraId="4B2FDD23" w14:textId="2650AFB9" w:rsidR="00EB70CE" w:rsidRPr="00D03B0C" w:rsidRDefault="00AC1C1B" w:rsidP="005F0D50">
            <w:r>
              <w:t>77%</w:t>
            </w:r>
          </w:p>
        </w:tc>
        <w:tc>
          <w:tcPr>
            <w:tcW w:w="790" w:type="dxa"/>
            <w:shd w:val="clear" w:color="auto" w:fill="auto"/>
          </w:tcPr>
          <w:p w14:paraId="064352CC" w14:textId="1708B57F" w:rsidR="00EB70CE" w:rsidRPr="00D03B0C" w:rsidRDefault="00EE5926" w:rsidP="005F0D50">
            <w:r w:rsidRPr="00EE5926">
              <w:t>81.3%</w:t>
            </w:r>
          </w:p>
        </w:tc>
        <w:tc>
          <w:tcPr>
            <w:tcW w:w="790" w:type="dxa"/>
            <w:shd w:val="clear" w:color="auto" w:fill="auto"/>
          </w:tcPr>
          <w:p w14:paraId="5FCC0FBC" w14:textId="77777777" w:rsidR="00EB70CE" w:rsidRPr="00D03B0C" w:rsidRDefault="00EB70CE" w:rsidP="005F0D50"/>
        </w:tc>
        <w:tc>
          <w:tcPr>
            <w:tcW w:w="790" w:type="dxa"/>
            <w:shd w:val="clear" w:color="auto" w:fill="auto"/>
          </w:tcPr>
          <w:p w14:paraId="32847EE8" w14:textId="77777777" w:rsidR="00EB70CE" w:rsidRPr="00D03B0C" w:rsidRDefault="00EB70CE" w:rsidP="005F0D50"/>
        </w:tc>
        <w:tc>
          <w:tcPr>
            <w:tcW w:w="790" w:type="dxa"/>
            <w:shd w:val="clear" w:color="auto" w:fill="auto"/>
          </w:tcPr>
          <w:p w14:paraId="20055B6E" w14:textId="77777777" w:rsidR="00EB70CE" w:rsidRPr="00D03B0C" w:rsidRDefault="00EB70CE" w:rsidP="005F0D50"/>
        </w:tc>
        <w:tc>
          <w:tcPr>
            <w:tcW w:w="791" w:type="dxa"/>
            <w:shd w:val="clear" w:color="auto" w:fill="auto"/>
          </w:tcPr>
          <w:p w14:paraId="089159F0" w14:textId="77777777" w:rsidR="00EB70CE" w:rsidRPr="00D03B0C" w:rsidRDefault="00EB70CE" w:rsidP="005F0D50"/>
        </w:tc>
      </w:tr>
      <w:tr w:rsidR="007D4677" w14:paraId="4868F7DA" w14:textId="77777777" w:rsidTr="005F0D50">
        <w:trPr>
          <w:jc w:val="center"/>
        </w:trPr>
        <w:tc>
          <w:tcPr>
            <w:tcW w:w="4297" w:type="dxa"/>
            <w:shd w:val="clear" w:color="auto" w:fill="auto"/>
          </w:tcPr>
          <w:p w14:paraId="648C08F2" w14:textId="30D258C8" w:rsidR="007D4677" w:rsidRPr="00FD1C6E" w:rsidRDefault="00FD1C6E" w:rsidP="00FD1C6E">
            <w:pPr>
              <w:pStyle w:val="BodyText"/>
              <w:tabs>
                <w:tab w:val="left" w:pos="1560"/>
              </w:tabs>
              <w:spacing w:before="22"/>
              <w:rPr>
                <w:b/>
                <w:i/>
                <w:color w:val="000000" w:themeColor="text1"/>
              </w:rPr>
            </w:pPr>
            <w:r>
              <w:rPr>
                <w:color w:val="000000" w:themeColor="text1"/>
              </w:rPr>
              <w:t>Increasing the proportion of students achieving to be above standard in numeracy (A and B).</w:t>
            </w:r>
          </w:p>
        </w:tc>
        <w:tc>
          <w:tcPr>
            <w:tcW w:w="790" w:type="dxa"/>
            <w:shd w:val="clear" w:color="auto" w:fill="auto"/>
          </w:tcPr>
          <w:p w14:paraId="6B401782" w14:textId="51C40F4F" w:rsidR="007D4677" w:rsidRPr="00D03B0C" w:rsidRDefault="00AC1C1B" w:rsidP="005F0D50">
            <w:r>
              <w:t>39%</w:t>
            </w:r>
          </w:p>
        </w:tc>
        <w:tc>
          <w:tcPr>
            <w:tcW w:w="790" w:type="dxa"/>
            <w:shd w:val="clear" w:color="auto" w:fill="auto"/>
          </w:tcPr>
          <w:p w14:paraId="14D2D023" w14:textId="25221EA4" w:rsidR="007D4677" w:rsidRPr="00D03B0C" w:rsidRDefault="00EE5926" w:rsidP="005F0D50">
            <w:r w:rsidRPr="00EE5926">
              <w:t>34.6%</w:t>
            </w:r>
          </w:p>
        </w:tc>
        <w:tc>
          <w:tcPr>
            <w:tcW w:w="790" w:type="dxa"/>
            <w:shd w:val="clear" w:color="auto" w:fill="auto"/>
          </w:tcPr>
          <w:p w14:paraId="76879691" w14:textId="77777777" w:rsidR="007D4677" w:rsidRPr="00D03B0C" w:rsidRDefault="007D4677" w:rsidP="005F0D50"/>
        </w:tc>
        <w:tc>
          <w:tcPr>
            <w:tcW w:w="790" w:type="dxa"/>
            <w:shd w:val="clear" w:color="auto" w:fill="auto"/>
          </w:tcPr>
          <w:p w14:paraId="4AA8404C" w14:textId="77777777" w:rsidR="007D4677" w:rsidRPr="00D03B0C" w:rsidRDefault="007D4677" w:rsidP="005F0D50"/>
        </w:tc>
        <w:tc>
          <w:tcPr>
            <w:tcW w:w="790" w:type="dxa"/>
            <w:shd w:val="clear" w:color="auto" w:fill="auto"/>
          </w:tcPr>
          <w:p w14:paraId="33B774C2" w14:textId="77777777" w:rsidR="007D4677" w:rsidRPr="00D03B0C" w:rsidRDefault="007D4677" w:rsidP="005F0D50"/>
        </w:tc>
        <w:tc>
          <w:tcPr>
            <w:tcW w:w="791" w:type="dxa"/>
            <w:shd w:val="clear" w:color="auto" w:fill="auto"/>
          </w:tcPr>
          <w:p w14:paraId="20070574" w14:textId="77777777" w:rsidR="007D4677" w:rsidRPr="00D03B0C" w:rsidRDefault="007D4677" w:rsidP="005F0D50"/>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5F0D50">
        <w:trPr>
          <w:jc w:val="center"/>
        </w:trPr>
        <w:tc>
          <w:tcPr>
            <w:tcW w:w="4297" w:type="dxa"/>
            <w:shd w:val="clear" w:color="auto" w:fill="auto"/>
          </w:tcPr>
          <w:p w14:paraId="6A81EE33" w14:textId="77777777" w:rsidR="00EB70CE" w:rsidRPr="006D2F6B" w:rsidRDefault="00EB70CE" w:rsidP="005F0D50">
            <w:pPr>
              <w:rPr>
                <w:b/>
              </w:rPr>
            </w:pPr>
            <w:r w:rsidRPr="006D2F6B">
              <w:rPr>
                <w:b/>
              </w:rPr>
              <w:t>Targets or Measures</w:t>
            </w:r>
          </w:p>
        </w:tc>
        <w:tc>
          <w:tcPr>
            <w:tcW w:w="790" w:type="dxa"/>
            <w:shd w:val="clear" w:color="auto" w:fill="auto"/>
          </w:tcPr>
          <w:p w14:paraId="159C188F" w14:textId="77777777" w:rsidR="00EB70CE" w:rsidRPr="006D2F6B" w:rsidRDefault="00EB70CE" w:rsidP="005F0D50">
            <w:pPr>
              <w:jc w:val="center"/>
              <w:rPr>
                <w:b/>
              </w:rPr>
            </w:pPr>
            <w:r w:rsidRPr="006D2F6B">
              <w:rPr>
                <w:b/>
              </w:rPr>
              <w:t>Base</w:t>
            </w:r>
          </w:p>
        </w:tc>
        <w:tc>
          <w:tcPr>
            <w:tcW w:w="790" w:type="dxa"/>
            <w:shd w:val="clear" w:color="auto" w:fill="auto"/>
          </w:tcPr>
          <w:p w14:paraId="2066ED5C" w14:textId="77777777" w:rsidR="00EB70CE" w:rsidRPr="006D2F6B" w:rsidRDefault="00EB70CE" w:rsidP="005F0D50">
            <w:pPr>
              <w:jc w:val="center"/>
              <w:rPr>
                <w:b/>
              </w:rPr>
            </w:pPr>
            <w:r w:rsidRPr="006D2F6B">
              <w:rPr>
                <w:b/>
              </w:rPr>
              <w:t>Year 1</w:t>
            </w:r>
          </w:p>
        </w:tc>
        <w:tc>
          <w:tcPr>
            <w:tcW w:w="790" w:type="dxa"/>
            <w:shd w:val="clear" w:color="auto" w:fill="auto"/>
          </w:tcPr>
          <w:p w14:paraId="27AC99DF" w14:textId="77777777" w:rsidR="00EB70CE" w:rsidRPr="006D2F6B" w:rsidRDefault="00EB70CE" w:rsidP="005F0D50">
            <w:pPr>
              <w:jc w:val="center"/>
              <w:rPr>
                <w:b/>
              </w:rPr>
            </w:pPr>
            <w:r w:rsidRPr="006D2F6B">
              <w:rPr>
                <w:b/>
              </w:rPr>
              <w:t>Year 2</w:t>
            </w:r>
          </w:p>
        </w:tc>
        <w:tc>
          <w:tcPr>
            <w:tcW w:w="790" w:type="dxa"/>
            <w:shd w:val="clear" w:color="auto" w:fill="auto"/>
          </w:tcPr>
          <w:p w14:paraId="2397C360" w14:textId="77777777" w:rsidR="00EB70CE" w:rsidRPr="006D2F6B" w:rsidRDefault="00EB70CE" w:rsidP="005F0D50">
            <w:pPr>
              <w:jc w:val="center"/>
              <w:rPr>
                <w:b/>
              </w:rPr>
            </w:pPr>
            <w:r w:rsidRPr="006D2F6B">
              <w:rPr>
                <w:b/>
              </w:rPr>
              <w:t>Year 3</w:t>
            </w:r>
          </w:p>
        </w:tc>
        <w:tc>
          <w:tcPr>
            <w:tcW w:w="790" w:type="dxa"/>
            <w:shd w:val="clear" w:color="auto" w:fill="auto"/>
          </w:tcPr>
          <w:p w14:paraId="102EF8AB" w14:textId="77777777" w:rsidR="00EB70CE" w:rsidRPr="006D2F6B" w:rsidRDefault="00EB70CE" w:rsidP="005F0D50">
            <w:pPr>
              <w:jc w:val="center"/>
              <w:rPr>
                <w:b/>
              </w:rPr>
            </w:pPr>
            <w:r w:rsidRPr="006D2F6B">
              <w:rPr>
                <w:b/>
              </w:rPr>
              <w:t>Year 4</w:t>
            </w:r>
          </w:p>
        </w:tc>
        <w:tc>
          <w:tcPr>
            <w:tcW w:w="791" w:type="dxa"/>
            <w:shd w:val="clear" w:color="auto" w:fill="auto"/>
          </w:tcPr>
          <w:p w14:paraId="750673D6" w14:textId="77777777" w:rsidR="00EB70CE" w:rsidRPr="006D2F6B" w:rsidRDefault="00EB70CE" w:rsidP="005F0D50">
            <w:pPr>
              <w:jc w:val="center"/>
              <w:rPr>
                <w:b/>
              </w:rPr>
            </w:pPr>
            <w:r w:rsidRPr="006D2F6B">
              <w:rPr>
                <w:b/>
              </w:rPr>
              <w:t>Year 5</w:t>
            </w:r>
          </w:p>
        </w:tc>
      </w:tr>
      <w:tr w:rsidR="00EB70CE" w14:paraId="715AAF1C" w14:textId="77777777" w:rsidTr="0062707A">
        <w:trPr>
          <w:jc w:val="center"/>
        </w:trPr>
        <w:tc>
          <w:tcPr>
            <w:tcW w:w="4297" w:type="dxa"/>
            <w:shd w:val="clear" w:color="auto" w:fill="auto"/>
          </w:tcPr>
          <w:p w14:paraId="1BB77CFA" w14:textId="1F94D6FF" w:rsidR="00EB70CE" w:rsidRPr="006D2F6B" w:rsidRDefault="00FD1C6E" w:rsidP="005F0D50">
            <w:pPr>
              <w:pStyle w:val="PlainText"/>
            </w:pPr>
            <w:r>
              <w:rPr>
                <w:color w:val="000000" w:themeColor="text1"/>
              </w:rPr>
              <w:t xml:space="preserve">Teacher satisfaction with </w:t>
            </w:r>
            <w:r w:rsidRPr="00130E3C">
              <w:rPr>
                <w:color w:val="000000" w:themeColor="text1"/>
              </w:rPr>
              <w:t>our Effective Target Setting Guide (to be developed 2019)</w:t>
            </w:r>
          </w:p>
        </w:tc>
        <w:tc>
          <w:tcPr>
            <w:tcW w:w="790" w:type="dxa"/>
            <w:shd w:val="clear" w:color="auto" w:fill="auto"/>
          </w:tcPr>
          <w:p w14:paraId="694253E4" w14:textId="18D98B60" w:rsidR="00EB70CE" w:rsidRPr="006D2F6B" w:rsidRDefault="00EB70CE" w:rsidP="005F0D50"/>
        </w:tc>
        <w:tc>
          <w:tcPr>
            <w:tcW w:w="790" w:type="dxa"/>
            <w:shd w:val="clear" w:color="auto" w:fill="auto"/>
          </w:tcPr>
          <w:p w14:paraId="30994033" w14:textId="77777777" w:rsidR="00EB70CE" w:rsidRPr="006D2F6B" w:rsidRDefault="00EB70CE" w:rsidP="005F0D50"/>
        </w:tc>
        <w:tc>
          <w:tcPr>
            <w:tcW w:w="790" w:type="dxa"/>
            <w:shd w:val="clear" w:color="auto" w:fill="auto"/>
          </w:tcPr>
          <w:p w14:paraId="0240AD5D" w14:textId="77777777" w:rsidR="00EB70CE" w:rsidRPr="006D2F6B" w:rsidRDefault="00EB70CE" w:rsidP="005F0D50"/>
        </w:tc>
        <w:tc>
          <w:tcPr>
            <w:tcW w:w="790" w:type="dxa"/>
            <w:shd w:val="clear" w:color="auto" w:fill="auto"/>
          </w:tcPr>
          <w:p w14:paraId="06476B2E" w14:textId="77777777" w:rsidR="00EB70CE" w:rsidRPr="006D2F6B" w:rsidRDefault="00EB70CE" w:rsidP="005F0D50"/>
        </w:tc>
        <w:tc>
          <w:tcPr>
            <w:tcW w:w="790" w:type="dxa"/>
            <w:shd w:val="clear" w:color="auto" w:fill="auto"/>
          </w:tcPr>
          <w:p w14:paraId="7CE7857F" w14:textId="77777777" w:rsidR="00EB70CE" w:rsidRPr="006D2F6B" w:rsidRDefault="00EB70CE" w:rsidP="005F0D50"/>
        </w:tc>
        <w:tc>
          <w:tcPr>
            <w:tcW w:w="791" w:type="dxa"/>
            <w:shd w:val="clear" w:color="auto" w:fill="auto"/>
          </w:tcPr>
          <w:p w14:paraId="58F95C67" w14:textId="77777777" w:rsidR="00EB70CE" w:rsidRPr="006D2F6B" w:rsidRDefault="00EB70CE" w:rsidP="005F0D50"/>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902"/>
        <w:gridCol w:w="1361"/>
        <w:gridCol w:w="754"/>
        <w:gridCol w:w="755"/>
        <w:gridCol w:w="755"/>
        <w:gridCol w:w="755"/>
        <w:gridCol w:w="756"/>
      </w:tblGrid>
      <w:tr w:rsidR="00EB70CE" w14:paraId="18FB16D9" w14:textId="77777777" w:rsidTr="005F0D50">
        <w:trPr>
          <w:jc w:val="center"/>
        </w:trPr>
        <w:tc>
          <w:tcPr>
            <w:tcW w:w="4297" w:type="dxa"/>
            <w:shd w:val="clear" w:color="auto" w:fill="auto"/>
          </w:tcPr>
          <w:p w14:paraId="78C0C329" w14:textId="77777777" w:rsidR="00EB70CE" w:rsidRPr="006D2F6B" w:rsidRDefault="00EB70CE" w:rsidP="005F0D50">
            <w:pPr>
              <w:rPr>
                <w:b/>
              </w:rPr>
            </w:pPr>
            <w:r w:rsidRPr="006D2F6B">
              <w:rPr>
                <w:b/>
              </w:rPr>
              <w:t>Targets or Measures</w:t>
            </w:r>
          </w:p>
        </w:tc>
        <w:tc>
          <w:tcPr>
            <w:tcW w:w="790" w:type="dxa"/>
            <w:shd w:val="clear" w:color="auto" w:fill="auto"/>
          </w:tcPr>
          <w:p w14:paraId="160BF761" w14:textId="77777777" w:rsidR="00EB70CE" w:rsidRPr="006D2F6B" w:rsidRDefault="00EB70CE" w:rsidP="005F0D50">
            <w:pPr>
              <w:jc w:val="center"/>
              <w:rPr>
                <w:b/>
              </w:rPr>
            </w:pPr>
            <w:r w:rsidRPr="006D2F6B">
              <w:rPr>
                <w:b/>
              </w:rPr>
              <w:t>Base</w:t>
            </w:r>
          </w:p>
        </w:tc>
        <w:tc>
          <w:tcPr>
            <w:tcW w:w="790" w:type="dxa"/>
            <w:shd w:val="clear" w:color="auto" w:fill="auto"/>
          </w:tcPr>
          <w:p w14:paraId="641E04E6" w14:textId="77777777" w:rsidR="00EB70CE" w:rsidRPr="006D2F6B" w:rsidRDefault="00EB70CE" w:rsidP="005F0D50">
            <w:pPr>
              <w:jc w:val="center"/>
              <w:rPr>
                <w:b/>
              </w:rPr>
            </w:pPr>
            <w:r w:rsidRPr="006D2F6B">
              <w:rPr>
                <w:b/>
              </w:rPr>
              <w:t>Year 1</w:t>
            </w:r>
          </w:p>
        </w:tc>
        <w:tc>
          <w:tcPr>
            <w:tcW w:w="790" w:type="dxa"/>
            <w:shd w:val="clear" w:color="auto" w:fill="auto"/>
          </w:tcPr>
          <w:p w14:paraId="6EAEE263" w14:textId="77777777" w:rsidR="00EB70CE" w:rsidRPr="006D2F6B" w:rsidRDefault="00EB70CE" w:rsidP="005F0D50">
            <w:pPr>
              <w:jc w:val="center"/>
              <w:rPr>
                <w:b/>
              </w:rPr>
            </w:pPr>
            <w:r w:rsidRPr="006D2F6B">
              <w:rPr>
                <w:b/>
              </w:rPr>
              <w:t>Year 2</w:t>
            </w:r>
          </w:p>
        </w:tc>
        <w:tc>
          <w:tcPr>
            <w:tcW w:w="790" w:type="dxa"/>
            <w:shd w:val="clear" w:color="auto" w:fill="auto"/>
          </w:tcPr>
          <w:p w14:paraId="462FF350" w14:textId="77777777" w:rsidR="00EB70CE" w:rsidRPr="006D2F6B" w:rsidRDefault="00EB70CE" w:rsidP="005F0D50">
            <w:pPr>
              <w:jc w:val="center"/>
              <w:rPr>
                <w:b/>
              </w:rPr>
            </w:pPr>
            <w:r w:rsidRPr="006D2F6B">
              <w:rPr>
                <w:b/>
              </w:rPr>
              <w:t>Year 3</w:t>
            </w:r>
          </w:p>
        </w:tc>
        <w:tc>
          <w:tcPr>
            <w:tcW w:w="790" w:type="dxa"/>
            <w:shd w:val="clear" w:color="auto" w:fill="auto"/>
          </w:tcPr>
          <w:p w14:paraId="38962DF0" w14:textId="77777777" w:rsidR="00EB70CE" w:rsidRPr="006D2F6B" w:rsidRDefault="00EB70CE" w:rsidP="005F0D50">
            <w:pPr>
              <w:jc w:val="center"/>
              <w:rPr>
                <w:b/>
              </w:rPr>
            </w:pPr>
            <w:r w:rsidRPr="006D2F6B">
              <w:rPr>
                <w:b/>
              </w:rPr>
              <w:t>Year 4</w:t>
            </w:r>
          </w:p>
        </w:tc>
        <w:tc>
          <w:tcPr>
            <w:tcW w:w="791" w:type="dxa"/>
            <w:shd w:val="clear" w:color="auto" w:fill="auto"/>
          </w:tcPr>
          <w:p w14:paraId="746D1CE9" w14:textId="77777777" w:rsidR="00EB70CE" w:rsidRPr="006D2F6B" w:rsidRDefault="00EB70CE" w:rsidP="005F0D50">
            <w:pPr>
              <w:jc w:val="center"/>
              <w:rPr>
                <w:b/>
              </w:rPr>
            </w:pPr>
            <w:r w:rsidRPr="006D2F6B">
              <w:rPr>
                <w:b/>
              </w:rPr>
              <w:t>Year 5</w:t>
            </w:r>
          </w:p>
        </w:tc>
      </w:tr>
      <w:tr w:rsidR="00EB70CE" w14:paraId="1A210E0B" w14:textId="77777777" w:rsidTr="005F0D50">
        <w:trPr>
          <w:jc w:val="center"/>
        </w:trPr>
        <w:tc>
          <w:tcPr>
            <w:tcW w:w="4297" w:type="dxa"/>
            <w:shd w:val="clear" w:color="auto" w:fill="auto"/>
          </w:tcPr>
          <w:p w14:paraId="73A85493" w14:textId="6C4DB9EC" w:rsidR="00EB70CE" w:rsidRPr="006D2F6B" w:rsidRDefault="00FD1C6E" w:rsidP="005F0D50">
            <w:pPr>
              <w:pStyle w:val="PlainText"/>
            </w:pPr>
            <w:r w:rsidRPr="00FD1C6E">
              <w:t>By 2023, we will have an agreed and implemented set of beliefs which guide curriculum planning for numeracy.</w:t>
            </w:r>
          </w:p>
        </w:tc>
        <w:tc>
          <w:tcPr>
            <w:tcW w:w="790" w:type="dxa"/>
            <w:shd w:val="clear" w:color="auto" w:fill="auto"/>
          </w:tcPr>
          <w:p w14:paraId="1BC19220" w14:textId="43A63AB5" w:rsidR="00EB70CE" w:rsidRPr="006D2F6B" w:rsidRDefault="00723DEB" w:rsidP="005F0D50">
            <w:r>
              <w:t>Shared belief document completed</w:t>
            </w:r>
          </w:p>
        </w:tc>
        <w:tc>
          <w:tcPr>
            <w:tcW w:w="790" w:type="dxa"/>
            <w:shd w:val="clear" w:color="auto" w:fill="auto"/>
          </w:tcPr>
          <w:p w14:paraId="6C0F9FE0" w14:textId="77777777" w:rsidR="00EB70CE" w:rsidRPr="006D2F6B" w:rsidRDefault="00EB70CE" w:rsidP="005F0D50"/>
        </w:tc>
        <w:tc>
          <w:tcPr>
            <w:tcW w:w="790" w:type="dxa"/>
            <w:shd w:val="clear" w:color="auto" w:fill="auto"/>
          </w:tcPr>
          <w:p w14:paraId="2E7554CE" w14:textId="77777777" w:rsidR="00EB70CE" w:rsidRPr="006D2F6B" w:rsidRDefault="00EB70CE" w:rsidP="005F0D50"/>
        </w:tc>
        <w:tc>
          <w:tcPr>
            <w:tcW w:w="790" w:type="dxa"/>
            <w:shd w:val="clear" w:color="auto" w:fill="auto"/>
          </w:tcPr>
          <w:p w14:paraId="66432333" w14:textId="77777777" w:rsidR="00EB70CE" w:rsidRPr="006D2F6B" w:rsidRDefault="00EB70CE" w:rsidP="005F0D50"/>
        </w:tc>
        <w:tc>
          <w:tcPr>
            <w:tcW w:w="790" w:type="dxa"/>
            <w:shd w:val="clear" w:color="auto" w:fill="auto"/>
          </w:tcPr>
          <w:p w14:paraId="38AA367E" w14:textId="77777777" w:rsidR="00EB70CE" w:rsidRPr="006D2F6B" w:rsidRDefault="00EB70CE" w:rsidP="005F0D50"/>
        </w:tc>
        <w:tc>
          <w:tcPr>
            <w:tcW w:w="791" w:type="dxa"/>
            <w:shd w:val="clear" w:color="auto" w:fill="auto"/>
          </w:tcPr>
          <w:p w14:paraId="74F946E1" w14:textId="77777777" w:rsidR="00EB70CE" w:rsidRPr="006D2F6B" w:rsidRDefault="00EB70CE" w:rsidP="005F0D50"/>
        </w:tc>
      </w:tr>
      <w:tr w:rsidR="00EB70CE" w14:paraId="5C5005AD" w14:textId="77777777" w:rsidTr="005F0D50">
        <w:trPr>
          <w:jc w:val="center"/>
        </w:trPr>
        <w:tc>
          <w:tcPr>
            <w:tcW w:w="4297" w:type="dxa"/>
            <w:shd w:val="clear" w:color="auto" w:fill="auto"/>
          </w:tcPr>
          <w:p w14:paraId="0124697B" w14:textId="0C47571E" w:rsidR="00EB70CE" w:rsidRPr="006D2F6B" w:rsidRDefault="00FD1C6E" w:rsidP="005F0D50">
            <w:r w:rsidRPr="00FD1C6E">
              <w:lastRenderedPageBreak/>
              <w:t xml:space="preserve">Consistency in pedagogical practice with a </w:t>
            </w:r>
            <w:proofErr w:type="gramStart"/>
            <w:r w:rsidRPr="00FD1C6E">
              <w:t>particular focus</w:t>
            </w:r>
            <w:proofErr w:type="gramEnd"/>
            <w:r w:rsidRPr="00FD1C6E">
              <w:t xml:space="preserve"> on mathematical language and problem solving.</w:t>
            </w:r>
          </w:p>
        </w:tc>
        <w:tc>
          <w:tcPr>
            <w:tcW w:w="790" w:type="dxa"/>
            <w:shd w:val="clear" w:color="auto" w:fill="auto"/>
          </w:tcPr>
          <w:p w14:paraId="6CEF50F9" w14:textId="1C00D52B" w:rsidR="00EB70CE" w:rsidRPr="006D2F6B" w:rsidRDefault="00A53791" w:rsidP="005F0D50">
            <w:r>
              <w:t>Mathematical Vocabulary documents for P-2 developed</w:t>
            </w:r>
          </w:p>
        </w:tc>
        <w:tc>
          <w:tcPr>
            <w:tcW w:w="790" w:type="dxa"/>
            <w:shd w:val="clear" w:color="auto" w:fill="auto"/>
          </w:tcPr>
          <w:p w14:paraId="340250A0" w14:textId="77777777" w:rsidR="00EB70CE" w:rsidRPr="006D2F6B" w:rsidRDefault="00EB70CE" w:rsidP="005F0D50"/>
        </w:tc>
        <w:tc>
          <w:tcPr>
            <w:tcW w:w="790" w:type="dxa"/>
            <w:shd w:val="clear" w:color="auto" w:fill="auto"/>
          </w:tcPr>
          <w:p w14:paraId="57DBEC5B" w14:textId="77777777" w:rsidR="00EB70CE" w:rsidRPr="006D2F6B" w:rsidRDefault="00EB70CE" w:rsidP="005F0D50"/>
        </w:tc>
        <w:tc>
          <w:tcPr>
            <w:tcW w:w="790" w:type="dxa"/>
            <w:shd w:val="clear" w:color="auto" w:fill="auto"/>
          </w:tcPr>
          <w:p w14:paraId="2B073DEB" w14:textId="77777777" w:rsidR="00EB70CE" w:rsidRPr="006D2F6B" w:rsidRDefault="00EB70CE" w:rsidP="005F0D50"/>
        </w:tc>
        <w:tc>
          <w:tcPr>
            <w:tcW w:w="790" w:type="dxa"/>
            <w:shd w:val="clear" w:color="auto" w:fill="auto"/>
          </w:tcPr>
          <w:p w14:paraId="4FDF3890" w14:textId="77777777" w:rsidR="00EB70CE" w:rsidRPr="006D2F6B" w:rsidRDefault="00EB70CE" w:rsidP="005F0D50"/>
        </w:tc>
        <w:tc>
          <w:tcPr>
            <w:tcW w:w="791" w:type="dxa"/>
            <w:shd w:val="clear" w:color="auto" w:fill="auto"/>
          </w:tcPr>
          <w:p w14:paraId="4189BE22" w14:textId="77777777" w:rsidR="00EB70CE" w:rsidRPr="006D2F6B" w:rsidRDefault="00EB70CE" w:rsidP="005F0D50"/>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37047AA5" w14:textId="77777777" w:rsidR="00A53791" w:rsidRDefault="00A53791" w:rsidP="005F0D50">
            <w:pPr>
              <w:pStyle w:val="PlainText"/>
              <w:numPr>
                <w:ilvl w:val="0"/>
                <w:numId w:val="2"/>
              </w:numPr>
              <w:ind w:left="426" w:hanging="425"/>
            </w:pPr>
            <w:r>
              <w:t>There has been a very small increase in the proportion of children achieving at or above expected growth in numeracy in PIPS</w:t>
            </w:r>
          </w:p>
          <w:p w14:paraId="7CCFE839" w14:textId="77777777" w:rsidR="00EB70CE" w:rsidRDefault="00A53791" w:rsidP="005F0D50">
            <w:pPr>
              <w:pStyle w:val="PlainText"/>
              <w:numPr>
                <w:ilvl w:val="0"/>
                <w:numId w:val="2"/>
              </w:numPr>
              <w:ind w:left="426" w:hanging="425"/>
            </w:pPr>
            <w:r>
              <w:t xml:space="preserve">There has been a 4.3% growth </w:t>
            </w:r>
            <w:r w:rsidRPr="007D4677">
              <w:t>the proportion of students achieving at or above standard in numeracy (C and above)</w:t>
            </w:r>
          </w:p>
          <w:p w14:paraId="5FF35E15" w14:textId="592C6D03" w:rsidR="00A53791" w:rsidRPr="00D86CA4" w:rsidRDefault="00A53791" w:rsidP="005F0D50">
            <w:pPr>
              <w:pStyle w:val="PlainText"/>
              <w:numPr>
                <w:ilvl w:val="0"/>
                <w:numId w:val="2"/>
              </w:numPr>
              <w:ind w:left="426" w:hanging="425"/>
            </w:pPr>
            <w:r>
              <w:rPr>
                <w:color w:val="000000" w:themeColor="text1"/>
              </w:rPr>
              <w:t>There has been a decrease in the proportion of students achieving to be above standard in numeracy (A and B) from our base of 39% to 34.6</w:t>
            </w:r>
            <w:r w:rsidR="00D86CA4">
              <w:rPr>
                <w:color w:val="000000" w:themeColor="text1"/>
              </w:rPr>
              <w:t>% in 2019</w:t>
            </w:r>
          </w:p>
          <w:p w14:paraId="17DDC188" w14:textId="238BF59B" w:rsidR="00D86CA4" w:rsidRDefault="00D86CA4" w:rsidP="005F0D50">
            <w:pPr>
              <w:pStyle w:val="PlainText"/>
              <w:numPr>
                <w:ilvl w:val="0"/>
                <w:numId w:val="2"/>
              </w:numPr>
              <w:ind w:left="426" w:hanging="425"/>
            </w:pPr>
            <w:r>
              <w:rPr>
                <w:color w:val="000000" w:themeColor="text1"/>
              </w:rPr>
              <w:t>We are building consistency through agreed beliefs and building a shared understanding of mathematical vocabulary</w:t>
            </w:r>
          </w:p>
        </w:tc>
      </w:tr>
    </w:tbl>
    <w:p w14:paraId="529C3E95" w14:textId="0BE20FDE" w:rsidR="00937D6F" w:rsidRDefault="00937D6F" w:rsidP="00937D6F">
      <w:pPr>
        <w:pStyle w:val="Heading3"/>
      </w:pPr>
      <w:r>
        <w:t>Our achievements for this priority</w:t>
      </w:r>
    </w:p>
    <w:tbl>
      <w:tblPr>
        <w:tblStyle w:val="TableGrid"/>
        <w:tblW w:w="9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27"/>
      </w:tblGrid>
      <w:tr w:rsidR="00937D6F" w14:paraId="2AEE622D" w14:textId="77777777" w:rsidTr="00DD651A">
        <w:trPr>
          <w:trHeight w:val="223"/>
          <w:jc w:val="center"/>
        </w:trPr>
        <w:tc>
          <w:tcPr>
            <w:tcW w:w="9027" w:type="dxa"/>
            <w:shd w:val="clear" w:color="auto" w:fill="auto"/>
          </w:tcPr>
          <w:p w14:paraId="476152A1" w14:textId="68100290" w:rsidR="00DD651A" w:rsidRPr="00CA26FB" w:rsidRDefault="008357FF" w:rsidP="00DD651A">
            <w:pPr>
              <w:pStyle w:val="BodyText"/>
              <w:rPr>
                <w:b/>
              </w:rPr>
            </w:pPr>
            <w:r>
              <w:rPr>
                <w:b/>
              </w:rPr>
              <w:t>Documentation developed to support the teaching of numeracy and ensure that implementation is consistent across the school</w:t>
            </w:r>
          </w:p>
          <w:p w14:paraId="2405BD02" w14:textId="77777777" w:rsidR="008357FF" w:rsidRDefault="008357FF" w:rsidP="00DD651A">
            <w:pPr>
              <w:pStyle w:val="ListBullet"/>
            </w:pPr>
            <w:r>
              <w:t>Our Shared Beliefs document was developed under the leadership of our Numeracy Coordinator and approved by the teaching team</w:t>
            </w:r>
          </w:p>
          <w:p w14:paraId="7BABBB55" w14:textId="7E729693" w:rsidR="00DD651A" w:rsidRDefault="008357FF" w:rsidP="00DD651A">
            <w:pPr>
              <w:pStyle w:val="ListBullet"/>
            </w:pPr>
            <w:r>
              <w:t>The teaching team undertook Professional Learning with our Numeracy Coordinator to continue to build capacity on quality early childhood numeracy teaching</w:t>
            </w:r>
          </w:p>
          <w:p w14:paraId="0D078875" w14:textId="4D09A3CB" w:rsidR="008357FF" w:rsidRDefault="008357FF" w:rsidP="00DD651A">
            <w:pPr>
              <w:pStyle w:val="ListBullet"/>
            </w:pPr>
            <w:r>
              <w:t>Numeracy take home bags have been developed and are being used within preschool</w:t>
            </w:r>
          </w:p>
          <w:p w14:paraId="05DD8B93" w14:textId="53A4357A" w:rsidR="008357FF" w:rsidRDefault="008357FF" w:rsidP="00DD651A">
            <w:pPr>
              <w:pStyle w:val="ListBullet"/>
            </w:pPr>
            <w:r>
              <w:t>Numeracy vocabulary documents have been developed for each year in the school</w:t>
            </w:r>
          </w:p>
          <w:p w14:paraId="4F19C6D9" w14:textId="091D8F4F" w:rsidR="00937D6F" w:rsidRPr="00CA26FB" w:rsidRDefault="00937D6F" w:rsidP="006B1A24">
            <w:pPr>
              <w:pStyle w:val="ListBullet"/>
              <w:numPr>
                <w:ilvl w:val="0"/>
                <w:numId w:val="0"/>
              </w:numPr>
              <w:ind w:left="360"/>
            </w:pPr>
          </w:p>
        </w:tc>
      </w:tr>
    </w:tbl>
    <w:p w14:paraId="5395F61E" w14:textId="77777777" w:rsidR="006B1A24" w:rsidRPr="00CA26FB" w:rsidRDefault="006B1A24" w:rsidP="006B1A24">
      <w:pPr>
        <w:pStyle w:val="BodyText"/>
        <w:rPr>
          <w:b/>
        </w:rPr>
      </w:pPr>
      <w:r>
        <w:rPr>
          <w:b/>
        </w:rPr>
        <w:t>Centralisation of data and improved teacher efficacy in using data for programming and planning</w:t>
      </w:r>
    </w:p>
    <w:p w14:paraId="3B0FBADC" w14:textId="77777777" w:rsidR="006B1A24" w:rsidRDefault="006B1A24" w:rsidP="006B1A24">
      <w:pPr>
        <w:pStyle w:val="ListBullet"/>
      </w:pPr>
      <w:r>
        <w:t>Whole School Data Plan has been developed</w:t>
      </w:r>
    </w:p>
    <w:p w14:paraId="65805B38" w14:textId="61A82948" w:rsidR="006B1A24" w:rsidRDefault="006B1A24" w:rsidP="006B1A24">
      <w:pPr>
        <w:pStyle w:val="ListBullet"/>
      </w:pPr>
      <w:r>
        <w:t>Staff are updating the data as required and are deepening their understanding of next steps for children following SENA 1 and 2 assessment</w:t>
      </w:r>
    </w:p>
    <w:p w14:paraId="08385042" w14:textId="77777777" w:rsidR="006B1A24" w:rsidRDefault="006B1A24" w:rsidP="006B1A24">
      <w:pPr>
        <w:pStyle w:val="ListBullet"/>
      </w:pPr>
      <w:r>
        <w:t>Teams discuss data regularly as part of their PLC’s and whole school data is considered once per term</w:t>
      </w: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27"/>
      </w:tblGrid>
      <w:tr w:rsidR="00937D6F" w14:paraId="078B8E06" w14:textId="77777777" w:rsidTr="000D7D66">
        <w:trPr>
          <w:trHeight w:val="116"/>
          <w:jc w:val="center"/>
        </w:trPr>
        <w:tc>
          <w:tcPr>
            <w:tcW w:w="9027" w:type="dxa"/>
            <w:shd w:val="clear" w:color="auto" w:fill="auto"/>
          </w:tcPr>
          <w:p w14:paraId="5F267A46" w14:textId="20CC4045" w:rsidR="00BB09D7" w:rsidRDefault="000D7D66" w:rsidP="00BB09D7">
            <w:pPr>
              <w:pStyle w:val="ListBullet"/>
            </w:pPr>
            <w:r>
              <w:t>Increasing the efficacy of teachers when differentiating for numeracy</w:t>
            </w:r>
          </w:p>
          <w:p w14:paraId="622DB76E" w14:textId="77777777" w:rsidR="00BB09D7" w:rsidRDefault="00BB09D7" w:rsidP="00BB09D7">
            <w:pPr>
              <w:pStyle w:val="ListBullet"/>
              <w:numPr>
                <w:ilvl w:val="0"/>
                <w:numId w:val="0"/>
              </w:numPr>
            </w:pPr>
          </w:p>
          <w:p w14:paraId="4E9543C5" w14:textId="4F6D6D12" w:rsidR="00BB09D7" w:rsidRDefault="00BB09D7" w:rsidP="00BB09D7">
            <w:pPr>
              <w:pStyle w:val="ListBullet"/>
              <w:numPr>
                <w:ilvl w:val="0"/>
                <w:numId w:val="0"/>
              </w:numPr>
              <w:ind w:left="360"/>
            </w:pPr>
            <w:r w:rsidRPr="003C148D">
              <w:rPr>
                <w:i/>
              </w:rPr>
              <w:t>Action</w:t>
            </w:r>
            <w:r>
              <w:t xml:space="preserve">: </w:t>
            </w:r>
            <w:r w:rsidR="000D7D66">
              <w:t>Continue to develop our suite of documents to assist teachers with understanding data and identifying next steps to support children’s learning</w:t>
            </w:r>
          </w:p>
          <w:p w14:paraId="4F55BB33" w14:textId="77777777" w:rsidR="00BB09D7" w:rsidRDefault="00BB09D7" w:rsidP="00BB09D7">
            <w:pPr>
              <w:pStyle w:val="ListParagraph"/>
            </w:pPr>
          </w:p>
          <w:p w14:paraId="1ECB1CE8" w14:textId="01D5C108" w:rsidR="00AC1C1B" w:rsidRDefault="00AC1C1B" w:rsidP="00AC1C1B">
            <w:pPr>
              <w:pStyle w:val="ListBullet"/>
            </w:pPr>
            <w:r>
              <w:t xml:space="preserve">Continue to monitor consistency of practice in the teaching of numeracy across the school </w:t>
            </w:r>
          </w:p>
          <w:p w14:paraId="7120BB0F" w14:textId="77777777" w:rsidR="00AC1C1B" w:rsidRDefault="00AC1C1B" w:rsidP="00AC1C1B">
            <w:pPr>
              <w:pStyle w:val="ListBullet"/>
              <w:numPr>
                <w:ilvl w:val="0"/>
                <w:numId w:val="0"/>
              </w:numPr>
            </w:pPr>
          </w:p>
          <w:p w14:paraId="0FB512EE" w14:textId="2B25C52C" w:rsidR="00AC1C1B" w:rsidRDefault="00AC1C1B" w:rsidP="00AC1C1B">
            <w:pPr>
              <w:pStyle w:val="ListBullet"/>
              <w:numPr>
                <w:ilvl w:val="0"/>
                <w:numId w:val="0"/>
              </w:numPr>
              <w:ind w:left="360"/>
            </w:pPr>
            <w:r w:rsidRPr="003C148D">
              <w:rPr>
                <w:i/>
              </w:rPr>
              <w:t>Action</w:t>
            </w:r>
            <w:r>
              <w:t>: Deepen our understanding of quality early childhood</w:t>
            </w:r>
            <w:r w:rsidR="00535A2B">
              <w:t xml:space="preserve"> numeracy practices with a focus on mathematical language and problem solving</w:t>
            </w:r>
            <w:r>
              <w:t xml:space="preserve"> </w:t>
            </w:r>
          </w:p>
          <w:p w14:paraId="30A3FE44" w14:textId="77777777" w:rsidR="00AC1C1B" w:rsidRDefault="00AC1C1B" w:rsidP="00AC1C1B">
            <w:pPr>
              <w:pStyle w:val="ListParagraph"/>
            </w:pPr>
          </w:p>
          <w:p w14:paraId="383707DF" w14:textId="1C85A846" w:rsidR="00BB09D7" w:rsidRDefault="006B1A24" w:rsidP="00BB09D7">
            <w:pPr>
              <w:pStyle w:val="ListBullet"/>
            </w:pPr>
            <w:r>
              <w:lastRenderedPageBreak/>
              <w:t xml:space="preserve">The team have identified that we could further deepen the understanding of our parent community </w:t>
            </w:r>
            <w:r w:rsidR="00EE5926">
              <w:t xml:space="preserve">about </w:t>
            </w:r>
            <w:r w:rsidR="00BB09D7">
              <w:t xml:space="preserve">ways to support our children with numeracy at home </w:t>
            </w:r>
          </w:p>
          <w:p w14:paraId="3235C510" w14:textId="77777777" w:rsidR="00BB09D7" w:rsidRDefault="00BB09D7" w:rsidP="00BB09D7">
            <w:pPr>
              <w:pStyle w:val="ListBullet"/>
              <w:numPr>
                <w:ilvl w:val="0"/>
                <w:numId w:val="0"/>
              </w:numPr>
            </w:pPr>
          </w:p>
          <w:p w14:paraId="3BA8910A" w14:textId="60692892" w:rsidR="00932E67" w:rsidRDefault="00BB09D7" w:rsidP="00BB09D7">
            <w:pPr>
              <w:pStyle w:val="ListBullet"/>
              <w:numPr>
                <w:ilvl w:val="0"/>
                <w:numId w:val="0"/>
              </w:numPr>
              <w:ind w:left="357"/>
            </w:pPr>
            <w:r w:rsidRPr="003C148D">
              <w:rPr>
                <w:i/>
              </w:rPr>
              <w:t>Action</w:t>
            </w:r>
            <w:r>
              <w:t xml:space="preserve">: Provide parent information sessions with a focus on numeracy (and </w:t>
            </w:r>
            <w:proofErr w:type="gramStart"/>
            <w:r>
              <w:t>in particular relevant</w:t>
            </w:r>
            <w:proofErr w:type="gramEnd"/>
            <w:r>
              <w:t xml:space="preserve"> vocabulary) across the year and develop Numeracy take home bags for use across the school</w:t>
            </w:r>
          </w:p>
          <w:p w14:paraId="113A5D2C" w14:textId="77777777" w:rsidR="00BB09D7" w:rsidRDefault="00BB09D7" w:rsidP="00BB09D7">
            <w:pPr>
              <w:pStyle w:val="ListBullet"/>
              <w:numPr>
                <w:ilvl w:val="0"/>
                <w:numId w:val="0"/>
              </w:numPr>
              <w:ind w:left="360" w:hanging="360"/>
            </w:pPr>
          </w:p>
          <w:p w14:paraId="4D0D0527" w14:textId="3967D36B" w:rsidR="00937D6F" w:rsidRDefault="00937D6F" w:rsidP="00BB09D7">
            <w:pPr>
              <w:pStyle w:val="ListBullet2"/>
              <w:numPr>
                <w:ilvl w:val="0"/>
                <w:numId w:val="0"/>
              </w:numPr>
              <w:ind w:left="714" w:hanging="357"/>
            </w:pP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05A9A145" w14:textId="2DF3D517" w:rsidR="00271528" w:rsidRPr="00557F65" w:rsidRDefault="00271528" w:rsidP="00E061B8">
      <w:pPr>
        <w:pStyle w:val="Heading2"/>
      </w:pPr>
      <w:bookmarkStart w:id="4" w:name="_Hlk23933037"/>
      <w:r>
        <w:lastRenderedPageBreak/>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27"/>
      </w:tblGrid>
      <w:tr w:rsidR="00271528" w14:paraId="330CC8EA" w14:textId="77777777" w:rsidTr="00F70CA2">
        <w:trPr>
          <w:trHeight w:val="76"/>
          <w:jc w:val="center"/>
        </w:trPr>
        <w:tc>
          <w:tcPr>
            <w:tcW w:w="9016" w:type="dxa"/>
            <w:shd w:val="clear" w:color="auto" w:fill="auto"/>
          </w:tcPr>
          <w:p w14:paraId="64339391" w14:textId="77777777" w:rsidR="00723DEB" w:rsidRPr="00614F3E" w:rsidRDefault="00723DEB" w:rsidP="004F5452">
            <w:pPr>
              <w:spacing w:line="276" w:lineRule="auto"/>
            </w:pPr>
            <w:r w:rsidRPr="00614F3E">
              <w:t xml:space="preserve">Key Improvement: The leadership team ensure that relief staff are aware of the needs of the preschool children. </w:t>
            </w:r>
          </w:p>
          <w:p w14:paraId="29B0FE5D" w14:textId="77777777" w:rsidR="00723DEB" w:rsidRPr="00614F3E" w:rsidRDefault="00723DEB" w:rsidP="004F5452">
            <w:pPr>
              <w:pStyle w:val="ListParagraph"/>
              <w:numPr>
                <w:ilvl w:val="0"/>
                <w:numId w:val="24"/>
              </w:numPr>
              <w:spacing w:line="276" w:lineRule="auto"/>
            </w:pPr>
            <w:r w:rsidRPr="00614F3E">
              <w:t xml:space="preserve">A relief folder for each preschool class has been developed and includes medical information, risk minimisation and communication plans, evacuation points, court orders if relevant and ways to support children with additional needs. </w:t>
            </w:r>
          </w:p>
          <w:p w14:paraId="061B03B7" w14:textId="77777777" w:rsidR="00723DEB" w:rsidRPr="00614F3E" w:rsidRDefault="00723DEB" w:rsidP="004F5452">
            <w:pPr>
              <w:pStyle w:val="ListParagraph"/>
              <w:numPr>
                <w:ilvl w:val="0"/>
                <w:numId w:val="24"/>
              </w:numPr>
              <w:spacing w:line="276" w:lineRule="auto"/>
            </w:pPr>
            <w:r w:rsidRPr="00614F3E">
              <w:t xml:space="preserve">Each relief staff member is shown the relief folder and key information is shared with them. </w:t>
            </w:r>
          </w:p>
          <w:p w14:paraId="556A335C" w14:textId="77777777" w:rsidR="00723DEB" w:rsidRPr="00614F3E" w:rsidRDefault="00723DEB" w:rsidP="004F5452">
            <w:pPr>
              <w:spacing w:line="276" w:lineRule="auto"/>
            </w:pPr>
          </w:p>
          <w:p w14:paraId="66412CE2" w14:textId="77777777" w:rsidR="00723DEB" w:rsidRPr="00614F3E" w:rsidRDefault="00723DEB" w:rsidP="004F5452">
            <w:pPr>
              <w:spacing w:line="276" w:lineRule="auto"/>
            </w:pPr>
            <w:r w:rsidRPr="00614F3E">
              <w:t xml:space="preserve">Key improvement: To ensure children’s voice is included into the program, with focus on the physically active aspects of the program. </w:t>
            </w:r>
          </w:p>
          <w:p w14:paraId="6D63B97C" w14:textId="77777777" w:rsidR="00723DEB" w:rsidRPr="00614F3E" w:rsidRDefault="00723DEB" w:rsidP="004F5452">
            <w:pPr>
              <w:pStyle w:val="ListParagraph"/>
              <w:numPr>
                <w:ilvl w:val="0"/>
                <w:numId w:val="25"/>
              </w:numPr>
              <w:spacing w:line="276" w:lineRule="auto"/>
            </w:pPr>
            <w:r w:rsidRPr="00614F3E">
              <w:t xml:space="preserve">Children are consulted at the end of the preschool week to seek their input into the program. Ideas are recorded and added to the following cycle of planning. </w:t>
            </w:r>
          </w:p>
          <w:p w14:paraId="25CFACA8" w14:textId="77777777" w:rsidR="00723DEB" w:rsidRDefault="00723DEB" w:rsidP="004F5452">
            <w:pPr>
              <w:pStyle w:val="ListParagraph"/>
              <w:numPr>
                <w:ilvl w:val="0"/>
                <w:numId w:val="25"/>
              </w:numPr>
              <w:spacing w:line="276" w:lineRule="auto"/>
            </w:pPr>
            <w:r w:rsidRPr="00614F3E">
              <w:t xml:space="preserve">We are continuing to support children to understand the importance of the outside learning as equal to their inside learning. </w:t>
            </w:r>
          </w:p>
          <w:p w14:paraId="2B1F5E02" w14:textId="77777777" w:rsidR="00723DEB" w:rsidRPr="00614F3E" w:rsidRDefault="00723DEB" w:rsidP="004F5452">
            <w:pPr>
              <w:pStyle w:val="ListParagraph"/>
              <w:numPr>
                <w:ilvl w:val="0"/>
                <w:numId w:val="25"/>
              </w:numPr>
              <w:spacing w:line="276" w:lineRule="auto"/>
            </w:pPr>
            <w:r>
              <w:t>Preschool classes are regularly accessing the K-2 outdoor learning environment, which includes the Balance Challenge Circuit, Forest Treehouse and the newly completed Oasis.</w:t>
            </w:r>
          </w:p>
          <w:p w14:paraId="6D66364F" w14:textId="77777777" w:rsidR="00723DEB" w:rsidRPr="00614F3E" w:rsidRDefault="00723DEB" w:rsidP="004F5452">
            <w:pPr>
              <w:spacing w:line="276" w:lineRule="auto"/>
            </w:pPr>
          </w:p>
          <w:p w14:paraId="053E6EC3" w14:textId="77777777" w:rsidR="00723DEB" w:rsidRPr="00614F3E" w:rsidRDefault="00723DEB" w:rsidP="004F5452">
            <w:pPr>
              <w:spacing w:line="276" w:lineRule="auto"/>
            </w:pPr>
            <w:r w:rsidRPr="00614F3E">
              <w:t xml:space="preserve">Key Improvement: The preschool team are encouraged to continue reflection in relation to the ways we celebrate diversity. </w:t>
            </w:r>
          </w:p>
          <w:p w14:paraId="472BDE45" w14:textId="77777777" w:rsidR="00723DEB" w:rsidRPr="00614F3E" w:rsidRDefault="00723DEB" w:rsidP="004F5452">
            <w:pPr>
              <w:pStyle w:val="ListParagraph"/>
              <w:numPr>
                <w:ilvl w:val="0"/>
                <w:numId w:val="26"/>
              </w:numPr>
              <w:spacing w:line="276" w:lineRule="auto"/>
            </w:pPr>
            <w:r w:rsidRPr="00614F3E">
              <w:t xml:space="preserve">Families were asked at the start of the year for a family photograph and information about their family to be shared with the class and then displayed within the preschool room. </w:t>
            </w:r>
          </w:p>
          <w:p w14:paraId="78FAD614" w14:textId="77777777" w:rsidR="00723DEB" w:rsidRPr="00614F3E" w:rsidRDefault="00723DEB" w:rsidP="004F5452">
            <w:pPr>
              <w:pStyle w:val="ListParagraph"/>
              <w:numPr>
                <w:ilvl w:val="0"/>
                <w:numId w:val="26"/>
              </w:numPr>
              <w:spacing w:line="276" w:lineRule="auto"/>
            </w:pPr>
            <w:r w:rsidRPr="00614F3E">
              <w:t>Educators are incorporating Aboriginal and Torres Strait Islander perspectives into most aspect of the preschool program.</w:t>
            </w:r>
          </w:p>
          <w:p w14:paraId="49F3B560" w14:textId="77777777" w:rsidR="00723DEB" w:rsidRPr="00614F3E" w:rsidRDefault="00723DEB" w:rsidP="004F5452">
            <w:pPr>
              <w:pStyle w:val="ListParagraph"/>
              <w:numPr>
                <w:ilvl w:val="0"/>
                <w:numId w:val="26"/>
              </w:numPr>
              <w:spacing w:line="276" w:lineRule="auto"/>
            </w:pPr>
            <w:r w:rsidRPr="00614F3E">
              <w:t xml:space="preserve">Educators are celebrating and sharing diversity with the children through the SEL (Social Emotional Learning) program, intentional teaching episodes, literature and hands-on experiences. </w:t>
            </w:r>
          </w:p>
          <w:p w14:paraId="2582044F" w14:textId="77777777" w:rsidR="00723DEB" w:rsidRPr="00614F3E" w:rsidRDefault="00723DEB" w:rsidP="004F5452">
            <w:pPr>
              <w:spacing w:line="276" w:lineRule="auto"/>
            </w:pPr>
          </w:p>
          <w:p w14:paraId="07EC1BC6" w14:textId="77777777" w:rsidR="00723DEB" w:rsidRPr="00614F3E" w:rsidRDefault="00723DEB" w:rsidP="004F5452">
            <w:pPr>
              <w:spacing w:line="276" w:lineRule="auto"/>
            </w:pPr>
            <w:r w:rsidRPr="00614F3E">
              <w:t xml:space="preserve">Key Improvement: That the cycle of planning implemented includes aspects of The Arts and the Early Years Learning Framework Outcome 5: Children are effective Communicators. This focus will be transparent to families through the program and evidence which is collected. </w:t>
            </w:r>
          </w:p>
          <w:p w14:paraId="07F242F1" w14:textId="77777777" w:rsidR="00723DEB" w:rsidRPr="00614F3E" w:rsidRDefault="00723DEB" w:rsidP="004F5452">
            <w:pPr>
              <w:pStyle w:val="ListParagraph"/>
              <w:numPr>
                <w:ilvl w:val="0"/>
                <w:numId w:val="27"/>
              </w:numPr>
              <w:spacing w:line="276" w:lineRule="auto"/>
            </w:pPr>
            <w:r w:rsidRPr="00614F3E">
              <w:t xml:space="preserve">The planning cycle documents the ways The Arts are incorporated into the daily program. </w:t>
            </w:r>
          </w:p>
          <w:p w14:paraId="73FEBA04" w14:textId="77777777" w:rsidR="00723DEB" w:rsidRPr="00614F3E" w:rsidRDefault="00723DEB" w:rsidP="004F5452">
            <w:pPr>
              <w:pStyle w:val="ListParagraph"/>
              <w:numPr>
                <w:ilvl w:val="0"/>
                <w:numId w:val="27"/>
              </w:numPr>
              <w:spacing w:line="276" w:lineRule="auto"/>
            </w:pPr>
            <w:r w:rsidRPr="00614F3E">
              <w:t xml:space="preserve">Links to The Arts is visible on the term overview and within the </w:t>
            </w:r>
            <w:proofErr w:type="gramStart"/>
            <w:r w:rsidRPr="00614F3E">
              <w:t>educators</w:t>
            </w:r>
            <w:proofErr w:type="gramEnd"/>
            <w:r w:rsidRPr="00614F3E">
              <w:t xml:space="preserve"> programs, including in Investigations and </w:t>
            </w:r>
            <w:r>
              <w:t>e</w:t>
            </w:r>
            <w:r w:rsidRPr="00614F3E">
              <w:t xml:space="preserve">xplicit teaching episodes. </w:t>
            </w:r>
          </w:p>
          <w:p w14:paraId="0E331A93" w14:textId="77777777" w:rsidR="00723DEB" w:rsidRPr="00614F3E" w:rsidRDefault="00723DEB" w:rsidP="004F5452">
            <w:pPr>
              <w:pStyle w:val="ListParagraph"/>
              <w:numPr>
                <w:ilvl w:val="0"/>
                <w:numId w:val="27"/>
              </w:numPr>
              <w:spacing w:line="276" w:lineRule="auto"/>
            </w:pPr>
            <w:r w:rsidRPr="00614F3E">
              <w:t xml:space="preserve">Seesaw posts and portfolio reflections share aspects of The Arts, such as music, dance, drama and visual arts. </w:t>
            </w:r>
          </w:p>
          <w:p w14:paraId="598F3B43" w14:textId="77777777" w:rsidR="00723DEB" w:rsidRPr="00614F3E" w:rsidRDefault="00723DEB" w:rsidP="004F5452">
            <w:pPr>
              <w:spacing w:line="276" w:lineRule="auto"/>
            </w:pPr>
          </w:p>
          <w:p w14:paraId="66E16C94" w14:textId="77777777" w:rsidR="00723DEB" w:rsidRPr="00614F3E" w:rsidRDefault="00723DEB" w:rsidP="004F5452">
            <w:pPr>
              <w:spacing w:line="276" w:lineRule="auto"/>
            </w:pPr>
            <w:r w:rsidRPr="00614F3E">
              <w:t>Key Improvement: Regular feedback of teaching practice will be incorporated into the executive teams Learning Walk and Talks Framework</w:t>
            </w:r>
            <w:r>
              <w:t>.</w:t>
            </w:r>
          </w:p>
          <w:p w14:paraId="710F518A" w14:textId="77777777" w:rsidR="00723DEB" w:rsidRPr="00614F3E" w:rsidRDefault="00723DEB" w:rsidP="004F5452">
            <w:pPr>
              <w:pStyle w:val="ListParagraph"/>
              <w:numPr>
                <w:ilvl w:val="0"/>
                <w:numId w:val="28"/>
              </w:numPr>
              <w:spacing w:line="276" w:lineRule="auto"/>
            </w:pPr>
            <w:r w:rsidRPr="00614F3E">
              <w:t>Executive members planned Learning Walk and Talk</w:t>
            </w:r>
            <w:r>
              <w:t>s</w:t>
            </w:r>
            <w:r w:rsidRPr="00614F3E">
              <w:t xml:space="preserve"> with preschool teaching staff. </w:t>
            </w:r>
          </w:p>
          <w:p w14:paraId="73B80AEC" w14:textId="77777777" w:rsidR="00723DEB" w:rsidRPr="00614F3E" w:rsidRDefault="00723DEB" w:rsidP="004F5452">
            <w:pPr>
              <w:pStyle w:val="ListParagraph"/>
              <w:numPr>
                <w:ilvl w:val="0"/>
                <w:numId w:val="28"/>
              </w:numPr>
              <w:spacing w:line="276" w:lineRule="auto"/>
            </w:pPr>
            <w:r w:rsidRPr="00614F3E">
              <w:lastRenderedPageBreak/>
              <w:t>During 2019 all preschool educators have been observed and provided feedback from another educator</w:t>
            </w:r>
            <w:r>
              <w:t xml:space="preserve"> on aspects of the 10Essential Literacy Practices.</w:t>
            </w:r>
          </w:p>
          <w:p w14:paraId="7688003C" w14:textId="77777777" w:rsidR="00723DEB" w:rsidRPr="00614F3E" w:rsidRDefault="00723DEB" w:rsidP="004F5452">
            <w:pPr>
              <w:pStyle w:val="ListParagraph"/>
              <w:numPr>
                <w:ilvl w:val="0"/>
                <w:numId w:val="28"/>
              </w:numPr>
              <w:spacing w:line="276" w:lineRule="auto"/>
            </w:pPr>
            <w:r w:rsidRPr="00614F3E">
              <w:t>During 2019 all preschool educators have observed other educators within the school</w:t>
            </w:r>
            <w:r>
              <w:t>,</w:t>
            </w:r>
            <w:r w:rsidRPr="00614F3E">
              <w:t xml:space="preserve"> P-2. </w:t>
            </w:r>
          </w:p>
          <w:p w14:paraId="29B5806E" w14:textId="5A7DEB6A" w:rsidR="00271528" w:rsidRDefault="00723DEB" w:rsidP="004F5452">
            <w:pPr>
              <w:pStyle w:val="ListBullet2"/>
              <w:numPr>
                <w:ilvl w:val="0"/>
                <w:numId w:val="28"/>
              </w:numPr>
              <w:spacing w:line="276" w:lineRule="auto"/>
            </w:pPr>
            <w:r w:rsidRPr="00614F3E">
              <w:t xml:space="preserve">At times, the Learning Walk and Talks were problematic, especially during </w:t>
            </w:r>
            <w:r>
              <w:t>wi</w:t>
            </w:r>
            <w:r w:rsidRPr="00614F3E">
              <w:t>nter months as there was a high number of teacher absenteeism. A lack of relief staff therefore made getting educators off class difficult.</w:t>
            </w:r>
          </w:p>
        </w:tc>
      </w:tr>
    </w:tbl>
    <w:p w14:paraId="0C848164" w14:textId="77777777" w:rsidR="00271528" w:rsidRDefault="00610A38" w:rsidP="009B454E">
      <w:pPr>
        <w:pStyle w:val="BodyText"/>
      </w:pPr>
      <w:r w:rsidRPr="0024781C">
        <w:rPr>
          <w:i/>
        </w:rPr>
        <w:lastRenderedPageBreak/>
        <w:t>*A copy of the QIP is available for viewing at the school.</w:t>
      </w:r>
      <w:bookmarkEnd w:id="4"/>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5252" w14:textId="77777777" w:rsidR="00097641" w:rsidRDefault="00097641" w:rsidP="00CA0BAD">
      <w:pPr>
        <w:spacing w:after="0" w:line="240" w:lineRule="auto"/>
      </w:pPr>
      <w:r>
        <w:separator/>
      </w:r>
    </w:p>
  </w:endnote>
  <w:endnote w:type="continuationSeparator" w:id="0">
    <w:p w14:paraId="31301997" w14:textId="77777777" w:rsidR="00097641" w:rsidRDefault="00097641"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632EB694" w:rsidR="005F0D50" w:rsidRPr="00BF488D" w:rsidRDefault="005F0D50"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3C428E">
              <w:rPr>
                <w:rFonts w:ascii="Arial" w:hAnsi="Arial" w:cs="Arial"/>
                <w:noProof/>
                <w:color w:val="808080" w:themeColor="background1" w:themeShade="80"/>
                <w:sz w:val="20"/>
                <w:szCs w:val="20"/>
              </w:rPr>
              <w:t>Friday, 20 December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5F0D50" w:rsidRPr="008679D5" w:rsidRDefault="005F0D50"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5"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5"/>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EEE7" w14:textId="77777777" w:rsidR="00097641" w:rsidRDefault="00097641" w:rsidP="00CA0BAD">
      <w:pPr>
        <w:spacing w:after="0" w:line="240" w:lineRule="auto"/>
      </w:pPr>
      <w:r>
        <w:separator/>
      </w:r>
    </w:p>
  </w:footnote>
  <w:footnote w:type="continuationSeparator" w:id="0">
    <w:p w14:paraId="63D9B0A9" w14:textId="77777777" w:rsidR="00097641" w:rsidRDefault="00097641"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5F0D50" w:rsidRDefault="005F0D50"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5F0D50" w:rsidRDefault="005F0D50"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568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EE92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A90B6F"/>
    <w:multiLevelType w:val="hybridMultilevel"/>
    <w:tmpl w:val="B29A67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305697"/>
    <w:multiLevelType w:val="hybridMultilevel"/>
    <w:tmpl w:val="3DD69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74CA9"/>
    <w:multiLevelType w:val="hybridMultilevel"/>
    <w:tmpl w:val="F2EABF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FE6BD0"/>
    <w:multiLevelType w:val="hybridMultilevel"/>
    <w:tmpl w:val="A5A2CF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7857F5"/>
    <w:multiLevelType w:val="hybridMultilevel"/>
    <w:tmpl w:val="2118F5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1A3814"/>
    <w:multiLevelType w:val="hybridMultilevel"/>
    <w:tmpl w:val="E3003452"/>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3B57D5"/>
    <w:multiLevelType w:val="hybridMultilevel"/>
    <w:tmpl w:val="8CEE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D5DAF"/>
    <w:multiLevelType w:val="hybridMultilevel"/>
    <w:tmpl w:val="8BD4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56E850D7"/>
    <w:multiLevelType w:val="hybridMultilevel"/>
    <w:tmpl w:val="3FF86B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5A7C1DD2"/>
    <w:multiLevelType w:val="hybridMultilevel"/>
    <w:tmpl w:val="7262B5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372510"/>
    <w:multiLevelType w:val="hybridMultilevel"/>
    <w:tmpl w:val="44C6EAB6"/>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77B51AD9"/>
    <w:multiLevelType w:val="hybridMultilevel"/>
    <w:tmpl w:val="387A1C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770D84"/>
    <w:multiLevelType w:val="hybridMultilevel"/>
    <w:tmpl w:val="69A0AA98"/>
    <w:lvl w:ilvl="0" w:tplc="0C090005">
      <w:start w:val="1"/>
      <w:numFmt w:val="bullet"/>
      <w:lvlText w:val=""/>
      <w:lvlJc w:val="left"/>
      <w:pPr>
        <w:ind w:left="397" w:hanging="360"/>
      </w:pPr>
      <w:rPr>
        <w:rFonts w:ascii="Wingdings" w:hAnsi="Wingdings" w:hint="default"/>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29" w15:restartNumberingAfterBreak="0">
    <w:nsid w:val="7FAC2C36"/>
    <w:multiLevelType w:val="hybridMultilevel"/>
    <w:tmpl w:val="8B7A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3"/>
  </w:num>
  <w:num w:numId="4">
    <w:abstractNumId w:val="17"/>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14"/>
  </w:num>
  <w:num w:numId="19">
    <w:abstractNumId w:val="22"/>
  </w:num>
  <w:num w:numId="20">
    <w:abstractNumId w:val="29"/>
  </w:num>
  <w:num w:numId="21">
    <w:abstractNumId w:val="24"/>
  </w:num>
  <w:num w:numId="22">
    <w:abstractNumId w:val="20"/>
  </w:num>
  <w:num w:numId="23">
    <w:abstractNumId w:val="13"/>
  </w:num>
  <w:num w:numId="24">
    <w:abstractNumId w:val="26"/>
  </w:num>
  <w:num w:numId="25">
    <w:abstractNumId w:val="11"/>
  </w:num>
  <w:num w:numId="26">
    <w:abstractNumId w:val="27"/>
  </w:num>
  <w:num w:numId="27">
    <w:abstractNumId w:val="16"/>
  </w:num>
  <w:num w:numId="28">
    <w:abstractNumId w:val="25"/>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20808"/>
    <w:rsid w:val="000452D4"/>
    <w:rsid w:val="00057DAD"/>
    <w:rsid w:val="00097641"/>
    <w:rsid w:val="000B79F4"/>
    <w:rsid w:val="000D7D66"/>
    <w:rsid w:val="000F334A"/>
    <w:rsid w:val="000F7E7C"/>
    <w:rsid w:val="00107AE2"/>
    <w:rsid w:val="00115AA9"/>
    <w:rsid w:val="00132917"/>
    <w:rsid w:val="00161E50"/>
    <w:rsid w:val="00163579"/>
    <w:rsid w:val="001806FB"/>
    <w:rsid w:val="00183DE5"/>
    <w:rsid w:val="00186753"/>
    <w:rsid w:val="001B26EA"/>
    <w:rsid w:val="001B2E33"/>
    <w:rsid w:val="001C4BDD"/>
    <w:rsid w:val="001F03F5"/>
    <w:rsid w:val="00210F01"/>
    <w:rsid w:val="002145F7"/>
    <w:rsid w:val="00222E40"/>
    <w:rsid w:val="002443CC"/>
    <w:rsid w:val="0024781C"/>
    <w:rsid w:val="00266E77"/>
    <w:rsid w:val="00271528"/>
    <w:rsid w:val="002A3FA2"/>
    <w:rsid w:val="002C2475"/>
    <w:rsid w:val="002F2C6F"/>
    <w:rsid w:val="002F4184"/>
    <w:rsid w:val="00300F72"/>
    <w:rsid w:val="00334BBF"/>
    <w:rsid w:val="00342B3F"/>
    <w:rsid w:val="00365890"/>
    <w:rsid w:val="00365A1C"/>
    <w:rsid w:val="00373DC0"/>
    <w:rsid w:val="00377F0F"/>
    <w:rsid w:val="003B31CC"/>
    <w:rsid w:val="003B5E3D"/>
    <w:rsid w:val="003C148D"/>
    <w:rsid w:val="003C2864"/>
    <w:rsid w:val="003C428E"/>
    <w:rsid w:val="003C69DC"/>
    <w:rsid w:val="003E1EFB"/>
    <w:rsid w:val="00435AB7"/>
    <w:rsid w:val="00435C6B"/>
    <w:rsid w:val="00436626"/>
    <w:rsid w:val="00461D07"/>
    <w:rsid w:val="00461E3E"/>
    <w:rsid w:val="00481BD2"/>
    <w:rsid w:val="00492440"/>
    <w:rsid w:val="004C32E2"/>
    <w:rsid w:val="004D00F4"/>
    <w:rsid w:val="004D5E45"/>
    <w:rsid w:val="004F5452"/>
    <w:rsid w:val="00520A86"/>
    <w:rsid w:val="00535A2B"/>
    <w:rsid w:val="00557F65"/>
    <w:rsid w:val="005611F4"/>
    <w:rsid w:val="0057672E"/>
    <w:rsid w:val="0058339C"/>
    <w:rsid w:val="005918F1"/>
    <w:rsid w:val="0059350F"/>
    <w:rsid w:val="005A4749"/>
    <w:rsid w:val="005C7432"/>
    <w:rsid w:val="005E76E4"/>
    <w:rsid w:val="005F0D50"/>
    <w:rsid w:val="005F3B55"/>
    <w:rsid w:val="00610A38"/>
    <w:rsid w:val="0062707A"/>
    <w:rsid w:val="00631663"/>
    <w:rsid w:val="00653821"/>
    <w:rsid w:val="0066643F"/>
    <w:rsid w:val="00674E1D"/>
    <w:rsid w:val="006830C3"/>
    <w:rsid w:val="006A31D6"/>
    <w:rsid w:val="006A5062"/>
    <w:rsid w:val="006B1A24"/>
    <w:rsid w:val="006D0688"/>
    <w:rsid w:val="006D2F6B"/>
    <w:rsid w:val="006D6615"/>
    <w:rsid w:val="00723DEB"/>
    <w:rsid w:val="007347A7"/>
    <w:rsid w:val="007375B4"/>
    <w:rsid w:val="00752390"/>
    <w:rsid w:val="00790821"/>
    <w:rsid w:val="007B0189"/>
    <w:rsid w:val="007D407C"/>
    <w:rsid w:val="007D4677"/>
    <w:rsid w:val="008300DD"/>
    <w:rsid w:val="008357FF"/>
    <w:rsid w:val="008367CF"/>
    <w:rsid w:val="00837137"/>
    <w:rsid w:val="00846E51"/>
    <w:rsid w:val="008679D5"/>
    <w:rsid w:val="00896B58"/>
    <w:rsid w:val="008A01DA"/>
    <w:rsid w:val="008F6C60"/>
    <w:rsid w:val="00915ADE"/>
    <w:rsid w:val="0093040B"/>
    <w:rsid w:val="00932E67"/>
    <w:rsid w:val="00937D6F"/>
    <w:rsid w:val="00997CD0"/>
    <w:rsid w:val="009B454E"/>
    <w:rsid w:val="009B7107"/>
    <w:rsid w:val="009D7542"/>
    <w:rsid w:val="009E2D26"/>
    <w:rsid w:val="00A112C4"/>
    <w:rsid w:val="00A1525D"/>
    <w:rsid w:val="00A26431"/>
    <w:rsid w:val="00A53791"/>
    <w:rsid w:val="00A857B2"/>
    <w:rsid w:val="00A967A3"/>
    <w:rsid w:val="00AB3505"/>
    <w:rsid w:val="00AC1C1B"/>
    <w:rsid w:val="00AC5C59"/>
    <w:rsid w:val="00AD7D38"/>
    <w:rsid w:val="00AE1CAD"/>
    <w:rsid w:val="00AE2FBD"/>
    <w:rsid w:val="00AE3C70"/>
    <w:rsid w:val="00AE72F3"/>
    <w:rsid w:val="00AF218A"/>
    <w:rsid w:val="00B06296"/>
    <w:rsid w:val="00B10319"/>
    <w:rsid w:val="00B36AF4"/>
    <w:rsid w:val="00B41802"/>
    <w:rsid w:val="00B53B59"/>
    <w:rsid w:val="00B610CE"/>
    <w:rsid w:val="00B734D8"/>
    <w:rsid w:val="00BB09D7"/>
    <w:rsid w:val="00BC3527"/>
    <w:rsid w:val="00C0648C"/>
    <w:rsid w:val="00C06492"/>
    <w:rsid w:val="00C162E3"/>
    <w:rsid w:val="00C36B48"/>
    <w:rsid w:val="00C63CC4"/>
    <w:rsid w:val="00C645A5"/>
    <w:rsid w:val="00C77B0A"/>
    <w:rsid w:val="00C91C8E"/>
    <w:rsid w:val="00CA0BAD"/>
    <w:rsid w:val="00CA26FB"/>
    <w:rsid w:val="00CF3F40"/>
    <w:rsid w:val="00D00F05"/>
    <w:rsid w:val="00D03B0C"/>
    <w:rsid w:val="00D21886"/>
    <w:rsid w:val="00D56F59"/>
    <w:rsid w:val="00D66148"/>
    <w:rsid w:val="00D731BD"/>
    <w:rsid w:val="00D733FB"/>
    <w:rsid w:val="00D81EBB"/>
    <w:rsid w:val="00D86CA4"/>
    <w:rsid w:val="00DA09ED"/>
    <w:rsid w:val="00DA4480"/>
    <w:rsid w:val="00DB037A"/>
    <w:rsid w:val="00DD651A"/>
    <w:rsid w:val="00DE43E6"/>
    <w:rsid w:val="00DE75EB"/>
    <w:rsid w:val="00DF0245"/>
    <w:rsid w:val="00DF695B"/>
    <w:rsid w:val="00E061B8"/>
    <w:rsid w:val="00E14A54"/>
    <w:rsid w:val="00E434FA"/>
    <w:rsid w:val="00EA1B8A"/>
    <w:rsid w:val="00EB70CE"/>
    <w:rsid w:val="00ED0F90"/>
    <w:rsid w:val="00EE0392"/>
    <w:rsid w:val="00EE5926"/>
    <w:rsid w:val="00EF2574"/>
    <w:rsid w:val="00F05C79"/>
    <w:rsid w:val="00F16E1E"/>
    <w:rsid w:val="00F3634A"/>
    <w:rsid w:val="00F3771A"/>
    <w:rsid w:val="00F536D7"/>
    <w:rsid w:val="00F547CE"/>
    <w:rsid w:val="00F70CA2"/>
    <w:rsid w:val="00F87A19"/>
    <w:rsid w:val="00FA6811"/>
    <w:rsid w:val="00FA6A61"/>
    <w:rsid w:val="00FB31F0"/>
    <w:rsid w:val="00FD1C6E"/>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A857B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264FF6"/>
    <w:rsid w:val="003D1F1C"/>
    <w:rsid w:val="005200CD"/>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2312</Words>
  <Characters>13184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Emerton, Nicole</cp:lastModifiedBy>
  <cp:revision>2</cp:revision>
  <cp:lastPrinted>2018-11-20T01:48:00Z</cp:lastPrinted>
  <dcterms:created xsi:type="dcterms:W3CDTF">2020-02-04T03:39:00Z</dcterms:created>
  <dcterms:modified xsi:type="dcterms:W3CDTF">2020-02-04T03:39:00Z</dcterms:modified>
</cp:coreProperties>
</file>