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7B04FB0C" w:rsidR="00FE1945" w:rsidRPr="00563A3D" w:rsidRDefault="00DF1E74" w:rsidP="00FE1945">
          <w:pPr>
            <w:rPr>
              <w:rStyle w:val="SchoolName"/>
              <w:color w:val="1F4E79"/>
            </w:rPr>
          </w:pPr>
          <w:r>
            <w:rPr>
              <w:rStyle w:val="SchoolName"/>
              <w:color w:val="1F4E79"/>
            </w:rPr>
            <w:t>Charnwood-Dunlop School</w:t>
          </w:r>
        </w:p>
      </w:sdtContent>
    </w:sdt>
    <w:p w14:paraId="63330FCF" w14:textId="2BA94D8F"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DF1E74">
            <w:t>Belconnen</w:t>
          </w:r>
        </w:sdtContent>
      </w:sdt>
    </w:p>
    <w:p w14:paraId="38F253B0" w14:textId="46619942" w:rsidR="00FE1945" w:rsidRDefault="00846E51" w:rsidP="00FE1945">
      <w:pPr>
        <w:pStyle w:val="Title"/>
        <w:jc w:val="left"/>
      </w:pPr>
      <w:r>
        <w:t>Impact</w:t>
      </w:r>
      <w:r w:rsidR="00FE1945" w:rsidRPr="005F3926">
        <w:t xml:space="preserve"> </w:t>
      </w:r>
      <w:r w:rsidR="00B10319">
        <w:t xml:space="preserve">Report </w:t>
      </w:r>
      <w:r w:rsidR="00FE1945">
        <w:t>20</w:t>
      </w:r>
      <w:r w:rsidR="00DF1E74">
        <w:t>19</w:t>
      </w:r>
    </w:p>
    <w:p w14:paraId="43815876" w14:textId="77777777" w:rsidR="00E434FA" w:rsidRPr="001B2E33" w:rsidRDefault="00E434FA" w:rsidP="001B2E33">
      <w:pPr>
        <w:pStyle w:val="Heading1"/>
      </w:pPr>
      <w:r w:rsidRPr="001B2E33">
        <w:t>The purpose of this document</w:t>
      </w:r>
    </w:p>
    <w:p w14:paraId="542B7252" w14:textId="6E395E86"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6691460D"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0E4AE3ED" w14:textId="5F22EF41"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080E98">
        <w:t>1 &amp; 2</w:t>
      </w:r>
      <w:r w:rsidRPr="00132917">
        <w:t xml:space="preserve"> (see reporting for detail):</w:t>
      </w:r>
    </w:p>
    <w:p w14:paraId="05831A13" w14:textId="451F8B43" w:rsidR="00300F72" w:rsidRDefault="0045509B" w:rsidP="00300F72">
      <w:pPr>
        <w:pStyle w:val="ListBullet"/>
      </w:pPr>
      <w:r>
        <w:t>Implementing effective pedagogical practices</w:t>
      </w:r>
    </w:p>
    <w:p w14:paraId="662E516B" w14:textId="726CEA5A" w:rsidR="0045509B" w:rsidRDefault="0045509B" w:rsidP="00300F72">
      <w:pPr>
        <w:pStyle w:val="ListBullet"/>
      </w:pPr>
      <w:r>
        <w:t>Systematic curriculum delivery</w:t>
      </w:r>
    </w:p>
    <w:p w14:paraId="57676EC9" w14:textId="12B0AC52" w:rsidR="0045509B" w:rsidRDefault="001C6C3A" w:rsidP="00300F72">
      <w:pPr>
        <w:pStyle w:val="ListBullet"/>
      </w:pPr>
      <w:r>
        <w:t xml:space="preserve">A culture that promotes learning </w:t>
      </w:r>
    </w:p>
    <w:p w14:paraId="1ECF8F72" w14:textId="5283688F" w:rsidR="001C6C3A" w:rsidRDefault="001C6C3A" w:rsidP="00300F72">
      <w:pPr>
        <w:pStyle w:val="ListBullet"/>
      </w:pPr>
      <w:r>
        <w:t>Improve differentiated learning across the school</w:t>
      </w:r>
    </w:p>
    <w:p w14:paraId="164F1E7A" w14:textId="03B140CA" w:rsidR="001C6C3A" w:rsidRPr="00300F72" w:rsidRDefault="001C6C3A" w:rsidP="00300F72">
      <w:pPr>
        <w:pStyle w:val="ListBullet"/>
      </w:pPr>
      <w:r>
        <w:t>Improve the engagement of families from all backgrounds</w:t>
      </w: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4162F1A" w14:textId="116060EE"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45509B">
        <w:t>1 &amp; 2</w:t>
      </w:r>
      <w:r w:rsidRPr="00132917">
        <w:t xml:space="preserve"> (see reporting for detail):</w:t>
      </w:r>
    </w:p>
    <w:p w14:paraId="3219AB53" w14:textId="27F7BF09" w:rsidR="00300F72" w:rsidRDefault="0045509B" w:rsidP="00300F72">
      <w:pPr>
        <w:pStyle w:val="ListBullet"/>
      </w:pPr>
      <w:r>
        <w:t>Develop an expert teaching team</w:t>
      </w:r>
    </w:p>
    <w:p w14:paraId="6668882B" w14:textId="6712F07F" w:rsidR="0045509B" w:rsidRDefault="0045509B" w:rsidP="00300F72">
      <w:pPr>
        <w:pStyle w:val="ListBullet"/>
      </w:pPr>
      <w:r>
        <w:t xml:space="preserve">Embed a culture of data analysis and discussion to inform teaching </w:t>
      </w:r>
    </w:p>
    <w:p w14:paraId="5CA11D10" w14:textId="1A7BDD36" w:rsidR="0045509B" w:rsidRPr="00300F72" w:rsidRDefault="0045509B" w:rsidP="00300F72">
      <w:pPr>
        <w:pStyle w:val="ListBullet"/>
      </w:pPr>
      <w:r>
        <w:t xml:space="preserve">Continue a culture of improvement through our coaching model </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6B398A53" w14:textId="18B92DDC"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45509B">
        <w:t>1 &amp; 2</w:t>
      </w:r>
      <w:r w:rsidRPr="00132917">
        <w:t xml:space="preserve"> (see reporting for detail):</w:t>
      </w:r>
    </w:p>
    <w:p w14:paraId="200F6B8B" w14:textId="47E00786" w:rsidR="0093040B" w:rsidRDefault="0045509B" w:rsidP="001B26EA">
      <w:pPr>
        <w:pStyle w:val="ListBullet"/>
      </w:pPr>
      <w:r>
        <w:t xml:space="preserve">Build a consistent whole school inquiry maths approach </w:t>
      </w:r>
    </w:p>
    <w:p w14:paraId="788D82CF" w14:textId="420F3C3B" w:rsidR="0045509B" w:rsidRDefault="001C6C3A" w:rsidP="001B26EA">
      <w:pPr>
        <w:pStyle w:val="ListBullet"/>
      </w:pPr>
      <w:r>
        <w:t>Improve data collection, analysis and planning through a systematic data and curriculum plan</w:t>
      </w:r>
    </w:p>
    <w:p w14:paraId="5D867BC6" w14:textId="1C1B8385" w:rsidR="001C6C3A" w:rsidRDefault="001C6C3A" w:rsidP="001B26EA">
      <w:pPr>
        <w:pStyle w:val="ListBullet"/>
      </w:pPr>
      <w:r>
        <w:t xml:space="preserve">Improve engagement of families from all backgrounds </w:t>
      </w: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5A7DC0CC" w14:textId="57B5F149"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180966" w:rsidRPr="00A753A4">
        <w:rPr>
          <w:rFonts w:asciiTheme="minorHAnsi" w:hAnsiTheme="minorHAnsi" w:cstheme="minorHAnsi"/>
          <w:color w:val="auto"/>
          <w:sz w:val="22"/>
        </w:rPr>
        <w:t>Improve student outcomes in literacy and numeracy through embedding a culture of data analysis and building teacher expertise.</w:t>
      </w:r>
    </w:p>
    <w:p w14:paraId="255A28BA" w14:textId="77777777" w:rsidR="004D5E45" w:rsidRPr="00837137" w:rsidRDefault="006D2F6B" w:rsidP="00837137">
      <w:pPr>
        <w:pStyle w:val="Heading3"/>
      </w:pPr>
      <w:r w:rsidRPr="00837137">
        <w:t>Targets or measures</w:t>
      </w:r>
    </w:p>
    <w:p w14:paraId="0ED94083" w14:textId="6915F5DE" w:rsidR="000031B5" w:rsidRDefault="00481BD2" w:rsidP="0058339C">
      <w:pPr>
        <w:pStyle w:val="BodyText"/>
      </w:pPr>
      <w:r>
        <w:t>By the end of 20</w:t>
      </w:r>
      <w:r w:rsidR="00250DF5">
        <w:t>20</w:t>
      </w:r>
      <w:r w:rsidR="000031B5">
        <w:t xml:space="preserve"> we will achieve:</w:t>
      </w:r>
    </w:p>
    <w:p w14:paraId="0A8623D6" w14:textId="77777777" w:rsidR="00250DF5" w:rsidRDefault="00250DF5" w:rsidP="00250DF5">
      <w:pPr>
        <w:widowControl w:val="0"/>
        <w:numPr>
          <w:ilvl w:val="0"/>
          <w:numId w:val="17"/>
        </w:numPr>
        <w:spacing w:after="0" w:line="240" w:lineRule="auto"/>
        <w:ind w:hanging="360"/>
      </w:pPr>
      <w:r>
        <w:t xml:space="preserve">Proportion of within matched students who make expected or better than expected growth in NAPLAN tests in Year 5 improves by 5% points annually. </w:t>
      </w:r>
    </w:p>
    <w:p w14:paraId="57198894" w14:textId="77777777" w:rsidR="00250DF5" w:rsidRDefault="00250DF5" w:rsidP="00250DF5">
      <w:pPr>
        <w:numPr>
          <w:ilvl w:val="0"/>
          <w:numId w:val="17"/>
        </w:numPr>
        <w:spacing w:after="0" w:line="276" w:lineRule="auto"/>
        <w:ind w:hanging="360"/>
        <w:contextualSpacing/>
      </w:pPr>
      <w:r>
        <w:t>Proportion of students in the top two bands of NAPLAN reading and maths (Years 3 and 5) increases by 2% points annually</w:t>
      </w:r>
    </w:p>
    <w:p w14:paraId="09998CAE" w14:textId="1ACE4908" w:rsidR="00250DF5" w:rsidRDefault="00250DF5" w:rsidP="00250DF5">
      <w:pPr>
        <w:numPr>
          <w:ilvl w:val="0"/>
          <w:numId w:val="17"/>
        </w:numPr>
        <w:spacing w:after="0" w:line="276" w:lineRule="auto"/>
        <w:ind w:hanging="360"/>
        <w:contextualSpacing/>
      </w:pPr>
      <w:r>
        <w:t>Proportion of students in the bottom two bands of NAPLAN reading and maths (Year 3 and 5</w:t>
      </w:r>
      <w:r w:rsidR="00AA4211">
        <w:t>) decreases</w:t>
      </w:r>
      <w:r>
        <w:t xml:space="preserve"> by 2% points annually</w:t>
      </w:r>
    </w:p>
    <w:p w14:paraId="62B6ACCD" w14:textId="77777777" w:rsidR="00250DF5" w:rsidRDefault="00250DF5" w:rsidP="00250DF5">
      <w:pPr>
        <w:numPr>
          <w:ilvl w:val="0"/>
          <w:numId w:val="17"/>
        </w:numPr>
        <w:spacing w:after="0" w:line="276" w:lineRule="auto"/>
        <w:ind w:hanging="360"/>
        <w:contextualSpacing/>
      </w:pPr>
      <w:r>
        <w:t xml:space="preserve">The proportion of students who achieve expected growth or better in PIPS Reading and Numeracy increases by 2% points as an average over the last 5 years. </w:t>
      </w:r>
    </w:p>
    <w:p w14:paraId="0726346A" w14:textId="77777777" w:rsidR="00250DF5" w:rsidRDefault="00250DF5" w:rsidP="00250DF5">
      <w:pPr>
        <w:numPr>
          <w:ilvl w:val="0"/>
          <w:numId w:val="17"/>
        </w:numPr>
        <w:spacing w:after="0" w:line="276" w:lineRule="auto"/>
        <w:ind w:hanging="360"/>
        <w:contextualSpacing/>
      </w:pPr>
      <w:r>
        <w:t xml:space="preserve">Proportion of staff, students and parents who agree that students are getting a good education at CDS improves by 2% points annually in the school satisfaction survey. </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75264755" w14:textId="0386B62C" w:rsidR="00D205AA" w:rsidRPr="00D205AA" w:rsidRDefault="00D205AA" w:rsidP="00D205AA">
      <w:pPr>
        <w:pStyle w:val="ListParagraph"/>
        <w:numPr>
          <w:ilvl w:val="0"/>
          <w:numId w:val="18"/>
        </w:numPr>
        <w:spacing w:line="240" w:lineRule="auto"/>
        <w:rPr>
          <w:rFonts w:ascii="Times New Roman" w:eastAsia="Times New Roman" w:hAnsi="Times New Roman" w:cs="Times New Roman"/>
          <w:lang w:eastAsia="en-AU"/>
        </w:rPr>
      </w:pPr>
      <w:r w:rsidRPr="00D205AA">
        <w:rPr>
          <w:rFonts w:ascii="Calibri" w:eastAsia="Times New Roman" w:hAnsi="Calibri" w:cs="Calibri"/>
          <w:color w:val="000000"/>
          <w:lang w:eastAsia="en-AU"/>
        </w:rPr>
        <w:t>Use an action research inquiry approach to improve student writing outcomes through aligning teaching, learning, feedback and data analysis</w:t>
      </w:r>
    </w:p>
    <w:p w14:paraId="528465C4" w14:textId="77777777" w:rsidR="00E12199" w:rsidRPr="00E12199" w:rsidRDefault="00E12199" w:rsidP="00E12199">
      <w:pPr>
        <w:pStyle w:val="ListParagraph"/>
        <w:numPr>
          <w:ilvl w:val="0"/>
          <w:numId w:val="18"/>
        </w:numPr>
        <w:spacing w:line="240" w:lineRule="auto"/>
        <w:rPr>
          <w:rFonts w:ascii="Times New Roman" w:eastAsia="Times New Roman" w:hAnsi="Times New Roman" w:cs="Times New Roman"/>
          <w:lang w:eastAsia="en-AU"/>
        </w:rPr>
      </w:pPr>
      <w:r w:rsidRPr="00E12199">
        <w:rPr>
          <w:rFonts w:ascii="Calibri" w:eastAsia="Times New Roman" w:hAnsi="Calibri" w:cs="Calibri"/>
          <w:color w:val="000000"/>
          <w:lang w:eastAsia="en-AU"/>
        </w:rPr>
        <w:t>Improve numeracy outcomes through a consistent whole school inquiry mathematics approach</w:t>
      </w:r>
    </w:p>
    <w:p w14:paraId="2B695649" w14:textId="77777777" w:rsidR="00E12199" w:rsidRPr="00E12199" w:rsidRDefault="00E12199" w:rsidP="00E12199">
      <w:pPr>
        <w:pStyle w:val="ListParagraph"/>
        <w:numPr>
          <w:ilvl w:val="0"/>
          <w:numId w:val="18"/>
        </w:numPr>
        <w:spacing w:line="240" w:lineRule="auto"/>
        <w:rPr>
          <w:rFonts w:ascii="Times New Roman" w:eastAsia="Times New Roman" w:hAnsi="Times New Roman" w:cs="Times New Roman"/>
          <w:lang w:eastAsia="en-AU"/>
        </w:rPr>
      </w:pPr>
      <w:r w:rsidRPr="00E12199">
        <w:rPr>
          <w:rFonts w:ascii="Calibri" w:hAnsi="Calibri" w:cs="Calibri"/>
          <w:color w:val="000000"/>
        </w:rPr>
        <w:t>Continue a culture of improvement through coaching</w:t>
      </w:r>
    </w:p>
    <w:p w14:paraId="6151E43F" w14:textId="77777777" w:rsidR="00E12199" w:rsidRPr="00E12199" w:rsidRDefault="00E12199" w:rsidP="00E12199">
      <w:pPr>
        <w:pStyle w:val="ListParagraph"/>
        <w:numPr>
          <w:ilvl w:val="0"/>
          <w:numId w:val="18"/>
        </w:numPr>
        <w:spacing w:line="240" w:lineRule="auto"/>
        <w:rPr>
          <w:rFonts w:ascii="Times New Roman" w:eastAsia="Times New Roman" w:hAnsi="Times New Roman" w:cs="Times New Roman"/>
          <w:lang w:eastAsia="en-AU"/>
        </w:rPr>
      </w:pPr>
      <w:r w:rsidRPr="00E12199">
        <w:rPr>
          <w:rFonts w:ascii="Calibri" w:eastAsia="Times New Roman" w:hAnsi="Calibri" w:cs="Calibri"/>
          <w:color w:val="000000"/>
          <w:lang w:eastAsia="en-AU"/>
        </w:rPr>
        <w:t>Improve data collection. analysis and</w:t>
      </w:r>
      <w:r w:rsidRPr="00E12199">
        <w:rPr>
          <w:rFonts w:ascii="Calibri" w:eastAsia="Times New Roman" w:hAnsi="Calibri" w:cs="Calibri"/>
          <w:b/>
          <w:bCs/>
          <w:color w:val="000000"/>
          <w:lang w:eastAsia="en-AU"/>
        </w:rPr>
        <w:t xml:space="preserve"> </w:t>
      </w:r>
      <w:r w:rsidRPr="00E12199">
        <w:rPr>
          <w:rFonts w:ascii="Calibri" w:eastAsia="Times New Roman" w:hAnsi="Calibri" w:cs="Calibri"/>
          <w:color w:val="000000"/>
          <w:lang w:eastAsia="en-AU"/>
        </w:rPr>
        <w:t>planning through a systematic data and curriculum plan</w:t>
      </w:r>
    </w:p>
    <w:p w14:paraId="62077AEB" w14:textId="29EF7F07" w:rsidR="00D205AA" w:rsidRPr="00E12199" w:rsidRDefault="00E12199" w:rsidP="00D205AA">
      <w:pPr>
        <w:pStyle w:val="ListParagraph"/>
        <w:numPr>
          <w:ilvl w:val="0"/>
          <w:numId w:val="18"/>
        </w:numPr>
        <w:spacing w:line="240" w:lineRule="auto"/>
        <w:rPr>
          <w:rFonts w:ascii="Times New Roman" w:eastAsia="Times New Roman" w:hAnsi="Times New Roman" w:cs="Times New Roman"/>
          <w:lang w:eastAsia="en-AU"/>
        </w:rPr>
      </w:pPr>
      <w:r w:rsidRPr="00E12199">
        <w:rPr>
          <w:rFonts w:ascii="Calibri" w:eastAsia="Times New Roman" w:hAnsi="Calibri" w:cs="Calibri"/>
          <w:color w:val="000000"/>
          <w:lang w:eastAsia="en-AU"/>
        </w:rPr>
        <w:t>Preschool: Continue to develop the capacity of the preschool team to take detailed, timely observations of children’s learning and rigorous analysis of observations to inform teaching</w:t>
      </w:r>
    </w:p>
    <w:p w14:paraId="6403B9E2" w14:textId="77777777" w:rsidR="009B454E" w:rsidRDefault="009B454E" w:rsidP="009B454E">
      <w:pPr>
        <w:pStyle w:val="BodyText"/>
      </w:pPr>
    </w:p>
    <w:p w14:paraId="7DFF073D" w14:textId="0506E6CE"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089"/>
        <w:gridCol w:w="775"/>
        <w:gridCol w:w="782"/>
        <w:gridCol w:w="782"/>
        <w:gridCol w:w="782"/>
        <w:gridCol w:w="1052"/>
        <w:gridCol w:w="776"/>
      </w:tblGrid>
      <w:tr w:rsidR="00F950DD" w14:paraId="15165F07" w14:textId="77777777" w:rsidTr="00E57136">
        <w:trPr>
          <w:jc w:val="center"/>
        </w:trPr>
        <w:tc>
          <w:tcPr>
            <w:tcW w:w="4089" w:type="dxa"/>
            <w:shd w:val="clear" w:color="auto" w:fill="auto"/>
            <w:vAlign w:val="center"/>
          </w:tcPr>
          <w:p w14:paraId="1B22BDFA" w14:textId="77777777" w:rsidR="00F950DD" w:rsidRPr="00D03B0C" w:rsidRDefault="00F950DD" w:rsidP="00E57136">
            <w:pPr>
              <w:jc w:val="center"/>
              <w:rPr>
                <w:b/>
              </w:rPr>
            </w:pPr>
            <w:r w:rsidRPr="00D03B0C">
              <w:rPr>
                <w:b/>
              </w:rPr>
              <w:t>Targets or Measures</w:t>
            </w:r>
          </w:p>
        </w:tc>
        <w:tc>
          <w:tcPr>
            <w:tcW w:w="775" w:type="dxa"/>
            <w:shd w:val="clear" w:color="auto" w:fill="auto"/>
          </w:tcPr>
          <w:p w14:paraId="4F16F58A" w14:textId="77777777" w:rsidR="00F950DD" w:rsidRDefault="00F950DD" w:rsidP="009C7FD9">
            <w:pPr>
              <w:jc w:val="center"/>
              <w:rPr>
                <w:b/>
              </w:rPr>
            </w:pPr>
            <w:r w:rsidRPr="00D03B0C">
              <w:rPr>
                <w:b/>
              </w:rPr>
              <w:t>Base</w:t>
            </w:r>
          </w:p>
          <w:p w14:paraId="1EDED15A" w14:textId="39EF582B" w:rsidR="00AA4211" w:rsidRPr="00D03B0C" w:rsidRDefault="00AA4211" w:rsidP="009C7FD9">
            <w:pPr>
              <w:jc w:val="center"/>
              <w:rPr>
                <w:b/>
              </w:rPr>
            </w:pPr>
            <w:r>
              <w:rPr>
                <w:b/>
              </w:rPr>
              <w:t>2015</w:t>
            </w:r>
          </w:p>
        </w:tc>
        <w:tc>
          <w:tcPr>
            <w:tcW w:w="782" w:type="dxa"/>
            <w:shd w:val="clear" w:color="auto" w:fill="auto"/>
            <w:vAlign w:val="center"/>
          </w:tcPr>
          <w:p w14:paraId="65121FA4" w14:textId="77777777" w:rsidR="00F950DD" w:rsidRPr="00D03B0C" w:rsidRDefault="00F950DD" w:rsidP="00AA4211">
            <w:pPr>
              <w:jc w:val="center"/>
              <w:rPr>
                <w:b/>
              </w:rPr>
            </w:pPr>
            <w:r>
              <w:rPr>
                <w:b/>
              </w:rPr>
              <w:t>2016</w:t>
            </w:r>
          </w:p>
        </w:tc>
        <w:tc>
          <w:tcPr>
            <w:tcW w:w="782" w:type="dxa"/>
            <w:shd w:val="clear" w:color="auto" w:fill="auto"/>
            <w:vAlign w:val="center"/>
          </w:tcPr>
          <w:p w14:paraId="0354CE64" w14:textId="77777777" w:rsidR="00F950DD" w:rsidRPr="00D03B0C" w:rsidRDefault="00F950DD" w:rsidP="00AA4211">
            <w:pPr>
              <w:jc w:val="center"/>
              <w:rPr>
                <w:b/>
              </w:rPr>
            </w:pPr>
            <w:r>
              <w:rPr>
                <w:b/>
              </w:rPr>
              <w:t>2017</w:t>
            </w:r>
          </w:p>
        </w:tc>
        <w:tc>
          <w:tcPr>
            <w:tcW w:w="782" w:type="dxa"/>
            <w:shd w:val="clear" w:color="auto" w:fill="auto"/>
            <w:vAlign w:val="center"/>
          </w:tcPr>
          <w:p w14:paraId="677E96CF" w14:textId="77777777" w:rsidR="00F950DD" w:rsidRPr="00D03B0C" w:rsidRDefault="00F950DD" w:rsidP="00AA4211">
            <w:pPr>
              <w:jc w:val="center"/>
              <w:rPr>
                <w:b/>
              </w:rPr>
            </w:pPr>
            <w:r>
              <w:rPr>
                <w:b/>
              </w:rPr>
              <w:t>2018</w:t>
            </w:r>
          </w:p>
        </w:tc>
        <w:tc>
          <w:tcPr>
            <w:tcW w:w="1052" w:type="dxa"/>
            <w:shd w:val="clear" w:color="auto" w:fill="auto"/>
            <w:vAlign w:val="center"/>
          </w:tcPr>
          <w:p w14:paraId="7E6C8426" w14:textId="34AC98B2" w:rsidR="00F950DD" w:rsidRPr="00D03B0C" w:rsidRDefault="00B027BE" w:rsidP="00AA4211">
            <w:pPr>
              <w:jc w:val="center"/>
              <w:rPr>
                <w:b/>
              </w:rPr>
            </w:pPr>
            <w:r>
              <w:rPr>
                <w:b/>
              </w:rPr>
              <w:t>2019</w:t>
            </w:r>
          </w:p>
        </w:tc>
        <w:tc>
          <w:tcPr>
            <w:tcW w:w="776" w:type="dxa"/>
            <w:shd w:val="clear" w:color="auto" w:fill="auto"/>
            <w:vAlign w:val="center"/>
          </w:tcPr>
          <w:p w14:paraId="2416ADCD" w14:textId="4A693735" w:rsidR="00F950DD" w:rsidRPr="00D03B0C" w:rsidRDefault="00AA4211" w:rsidP="00AA4211">
            <w:pPr>
              <w:jc w:val="center"/>
              <w:rPr>
                <w:b/>
              </w:rPr>
            </w:pPr>
            <w:r>
              <w:rPr>
                <w:b/>
              </w:rPr>
              <w:t>2020</w:t>
            </w:r>
          </w:p>
        </w:tc>
      </w:tr>
      <w:tr w:rsidR="00F950DD" w14:paraId="7EFC8AE4" w14:textId="77777777" w:rsidTr="00E57136">
        <w:trPr>
          <w:jc w:val="center"/>
        </w:trPr>
        <w:tc>
          <w:tcPr>
            <w:tcW w:w="4089" w:type="dxa"/>
            <w:shd w:val="clear" w:color="auto" w:fill="auto"/>
          </w:tcPr>
          <w:p w14:paraId="164842F2" w14:textId="77777777" w:rsidR="00F950DD" w:rsidRPr="00D03B0C" w:rsidRDefault="00F950DD" w:rsidP="009C7FD9">
            <w:pPr>
              <w:pStyle w:val="PlainText"/>
            </w:pPr>
            <w:r>
              <w:t xml:space="preserve">Proportion of within matched students who make expected or better than expected growth in </w:t>
            </w:r>
            <w:r w:rsidRPr="00EF1805">
              <w:rPr>
                <w:b/>
              </w:rPr>
              <w:t>NAPLAN Reading</w:t>
            </w:r>
            <w:r>
              <w:t xml:space="preserve"> tests in Year 5 improves by 5% points annually</w:t>
            </w:r>
          </w:p>
        </w:tc>
        <w:tc>
          <w:tcPr>
            <w:tcW w:w="775" w:type="dxa"/>
            <w:shd w:val="clear" w:color="auto" w:fill="auto"/>
          </w:tcPr>
          <w:p w14:paraId="6D3D089D" w14:textId="77777777" w:rsidR="00F950DD" w:rsidRPr="00D03B0C" w:rsidRDefault="00F950DD" w:rsidP="009C7FD9"/>
        </w:tc>
        <w:tc>
          <w:tcPr>
            <w:tcW w:w="782" w:type="dxa"/>
            <w:shd w:val="clear" w:color="auto" w:fill="auto"/>
            <w:vAlign w:val="center"/>
          </w:tcPr>
          <w:p w14:paraId="598072E8" w14:textId="21E9FD52" w:rsidR="00F950DD" w:rsidRPr="00D03B0C" w:rsidRDefault="00AA4211" w:rsidP="00E57136">
            <w:pPr>
              <w:jc w:val="center"/>
            </w:pPr>
            <w:r>
              <w:t>78.9%</w:t>
            </w:r>
          </w:p>
        </w:tc>
        <w:tc>
          <w:tcPr>
            <w:tcW w:w="782" w:type="dxa"/>
            <w:shd w:val="clear" w:color="auto" w:fill="auto"/>
            <w:vAlign w:val="center"/>
          </w:tcPr>
          <w:p w14:paraId="2FC5227F" w14:textId="77777777" w:rsidR="00F950DD" w:rsidRPr="00D03B0C" w:rsidRDefault="00F950DD" w:rsidP="00E57136">
            <w:pPr>
              <w:jc w:val="center"/>
            </w:pPr>
            <w:r>
              <w:t>78.3%</w:t>
            </w:r>
          </w:p>
        </w:tc>
        <w:tc>
          <w:tcPr>
            <w:tcW w:w="782" w:type="dxa"/>
            <w:shd w:val="clear" w:color="auto" w:fill="auto"/>
            <w:vAlign w:val="center"/>
          </w:tcPr>
          <w:p w14:paraId="38C93169" w14:textId="77777777" w:rsidR="00F950DD" w:rsidRPr="00D03B0C" w:rsidRDefault="00F950DD" w:rsidP="00E57136">
            <w:pPr>
              <w:jc w:val="center"/>
            </w:pPr>
            <w:r>
              <w:t>81.3%</w:t>
            </w:r>
          </w:p>
        </w:tc>
        <w:tc>
          <w:tcPr>
            <w:tcW w:w="1052" w:type="dxa"/>
            <w:shd w:val="clear" w:color="auto" w:fill="auto"/>
            <w:vAlign w:val="center"/>
          </w:tcPr>
          <w:p w14:paraId="197969BB" w14:textId="5E114CDB" w:rsidR="00F950DD" w:rsidRPr="00D03B0C" w:rsidRDefault="00FE2F6C" w:rsidP="00E57136">
            <w:pPr>
              <w:jc w:val="center"/>
            </w:pPr>
            <w:r>
              <w:t>7</w:t>
            </w:r>
            <w:r w:rsidR="00AA4211">
              <w:t>3.1</w:t>
            </w:r>
            <w:r>
              <w:t>%</w:t>
            </w:r>
          </w:p>
        </w:tc>
        <w:tc>
          <w:tcPr>
            <w:tcW w:w="776" w:type="dxa"/>
            <w:shd w:val="clear" w:color="auto" w:fill="auto"/>
          </w:tcPr>
          <w:p w14:paraId="61D9E394" w14:textId="77777777" w:rsidR="00F950DD" w:rsidRPr="00D03B0C" w:rsidRDefault="00F950DD" w:rsidP="009C7FD9"/>
        </w:tc>
      </w:tr>
      <w:tr w:rsidR="00FE2F6C" w14:paraId="3038E30F" w14:textId="77777777" w:rsidTr="00E57136">
        <w:trPr>
          <w:jc w:val="center"/>
        </w:trPr>
        <w:tc>
          <w:tcPr>
            <w:tcW w:w="4089" w:type="dxa"/>
            <w:shd w:val="clear" w:color="auto" w:fill="auto"/>
          </w:tcPr>
          <w:p w14:paraId="39693CC6" w14:textId="77777777" w:rsidR="00FE2F6C" w:rsidRDefault="00FE2F6C" w:rsidP="00FE2F6C">
            <w:pPr>
              <w:pStyle w:val="PlainText"/>
            </w:pPr>
            <w:r>
              <w:t xml:space="preserve">Proportion of within matched students who make expected or better than expected growth in </w:t>
            </w:r>
            <w:r w:rsidRPr="00EF1805">
              <w:rPr>
                <w:b/>
              </w:rPr>
              <w:t>NAPLAN Numeracy</w:t>
            </w:r>
            <w:r>
              <w:t xml:space="preserve"> tests in Year 5 improves by 5% points annually</w:t>
            </w:r>
          </w:p>
        </w:tc>
        <w:tc>
          <w:tcPr>
            <w:tcW w:w="775" w:type="dxa"/>
            <w:shd w:val="clear" w:color="auto" w:fill="auto"/>
          </w:tcPr>
          <w:p w14:paraId="154D39CB" w14:textId="77777777" w:rsidR="00FE2F6C" w:rsidRPr="00D03B0C" w:rsidRDefault="00FE2F6C" w:rsidP="00FE2F6C"/>
        </w:tc>
        <w:tc>
          <w:tcPr>
            <w:tcW w:w="782" w:type="dxa"/>
            <w:shd w:val="clear" w:color="auto" w:fill="auto"/>
            <w:vAlign w:val="center"/>
          </w:tcPr>
          <w:p w14:paraId="4EAEED9F" w14:textId="51DB9A43" w:rsidR="00FE2F6C" w:rsidRPr="00D03B0C" w:rsidRDefault="00AA4211" w:rsidP="00E57136">
            <w:pPr>
              <w:jc w:val="center"/>
            </w:pPr>
            <w:r>
              <w:t>50.0%</w:t>
            </w:r>
          </w:p>
        </w:tc>
        <w:tc>
          <w:tcPr>
            <w:tcW w:w="782" w:type="dxa"/>
            <w:shd w:val="clear" w:color="auto" w:fill="auto"/>
            <w:vAlign w:val="center"/>
          </w:tcPr>
          <w:p w14:paraId="27DED48A" w14:textId="05B40711" w:rsidR="00FE2F6C" w:rsidRDefault="00FE2F6C" w:rsidP="00E57136">
            <w:pPr>
              <w:jc w:val="center"/>
            </w:pPr>
            <w:r>
              <w:t>57.7%</w:t>
            </w:r>
          </w:p>
        </w:tc>
        <w:tc>
          <w:tcPr>
            <w:tcW w:w="782" w:type="dxa"/>
            <w:shd w:val="clear" w:color="auto" w:fill="auto"/>
            <w:vAlign w:val="center"/>
          </w:tcPr>
          <w:p w14:paraId="2A8C7B90" w14:textId="667FC0D5" w:rsidR="00FE2F6C" w:rsidRDefault="00FE2F6C" w:rsidP="00E57136">
            <w:pPr>
              <w:jc w:val="center"/>
            </w:pPr>
            <w:r>
              <w:t>43.8%</w:t>
            </w:r>
          </w:p>
        </w:tc>
        <w:tc>
          <w:tcPr>
            <w:tcW w:w="1052" w:type="dxa"/>
            <w:shd w:val="clear" w:color="auto" w:fill="auto"/>
            <w:vAlign w:val="center"/>
          </w:tcPr>
          <w:p w14:paraId="6A6D1D73" w14:textId="58BE5E67" w:rsidR="00FE2F6C" w:rsidRPr="00D03B0C" w:rsidRDefault="00AA4211" w:rsidP="00E57136">
            <w:pPr>
              <w:jc w:val="center"/>
            </w:pPr>
            <w:r>
              <w:t>57.7</w:t>
            </w:r>
            <w:r w:rsidR="00FE2F6C">
              <w:t>%</w:t>
            </w:r>
          </w:p>
        </w:tc>
        <w:tc>
          <w:tcPr>
            <w:tcW w:w="776" w:type="dxa"/>
            <w:shd w:val="clear" w:color="auto" w:fill="auto"/>
            <w:vAlign w:val="center"/>
          </w:tcPr>
          <w:p w14:paraId="770FB252" w14:textId="56EB3229" w:rsidR="00FE2F6C" w:rsidRPr="00D03B0C" w:rsidRDefault="00FE2F6C" w:rsidP="00E57136">
            <w:pPr>
              <w:jc w:val="center"/>
            </w:pPr>
          </w:p>
        </w:tc>
      </w:tr>
      <w:tr w:rsidR="00FE2F6C" w14:paraId="2E1555DB" w14:textId="77777777" w:rsidTr="00E57136">
        <w:trPr>
          <w:jc w:val="center"/>
        </w:trPr>
        <w:tc>
          <w:tcPr>
            <w:tcW w:w="4089" w:type="dxa"/>
            <w:shd w:val="clear" w:color="auto" w:fill="auto"/>
          </w:tcPr>
          <w:p w14:paraId="116B8640" w14:textId="77777777" w:rsidR="00FE2F6C" w:rsidRDefault="00FE2F6C" w:rsidP="00FE2F6C">
            <w:pPr>
              <w:pStyle w:val="PlainText"/>
            </w:pPr>
            <w:r>
              <w:t xml:space="preserve">Proportion of within matched students who make expected or better than expected growth in </w:t>
            </w:r>
            <w:r w:rsidRPr="00EF1805">
              <w:rPr>
                <w:b/>
              </w:rPr>
              <w:t>NAPLAN Writing</w:t>
            </w:r>
            <w:r>
              <w:t xml:space="preserve"> tests in Year 5 improves by 5% points annually</w:t>
            </w:r>
          </w:p>
        </w:tc>
        <w:tc>
          <w:tcPr>
            <w:tcW w:w="775" w:type="dxa"/>
            <w:shd w:val="clear" w:color="auto" w:fill="auto"/>
          </w:tcPr>
          <w:p w14:paraId="650A09E2" w14:textId="77777777" w:rsidR="00FE2F6C" w:rsidRPr="00D03B0C" w:rsidRDefault="00FE2F6C" w:rsidP="00FE2F6C"/>
        </w:tc>
        <w:tc>
          <w:tcPr>
            <w:tcW w:w="782" w:type="dxa"/>
            <w:shd w:val="clear" w:color="auto" w:fill="auto"/>
            <w:vAlign w:val="center"/>
          </w:tcPr>
          <w:p w14:paraId="4D2A0BA0" w14:textId="10E9F32D" w:rsidR="00FE2F6C" w:rsidRPr="00D03B0C" w:rsidRDefault="00AA4211" w:rsidP="00E57136">
            <w:pPr>
              <w:jc w:val="center"/>
            </w:pPr>
            <w:r>
              <w:t>N/A</w:t>
            </w:r>
          </w:p>
        </w:tc>
        <w:tc>
          <w:tcPr>
            <w:tcW w:w="782" w:type="dxa"/>
            <w:shd w:val="clear" w:color="auto" w:fill="auto"/>
            <w:vAlign w:val="center"/>
          </w:tcPr>
          <w:p w14:paraId="610CE1E0" w14:textId="7DFA2E4F" w:rsidR="00FE2F6C" w:rsidRDefault="00FE2F6C" w:rsidP="00E57136">
            <w:pPr>
              <w:jc w:val="center"/>
            </w:pPr>
            <w:r>
              <w:t>64.0%</w:t>
            </w:r>
          </w:p>
        </w:tc>
        <w:tc>
          <w:tcPr>
            <w:tcW w:w="782" w:type="dxa"/>
            <w:shd w:val="clear" w:color="auto" w:fill="auto"/>
            <w:vAlign w:val="center"/>
          </w:tcPr>
          <w:p w14:paraId="464225AB" w14:textId="104983AB" w:rsidR="00FE2F6C" w:rsidRDefault="00FE2F6C" w:rsidP="00E57136">
            <w:pPr>
              <w:jc w:val="center"/>
            </w:pPr>
            <w:r>
              <w:t>68.8%</w:t>
            </w:r>
          </w:p>
        </w:tc>
        <w:tc>
          <w:tcPr>
            <w:tcW w:w="1052" w:type="dxa"/>
            <w:shd w:val="clear" w:color="auto" w:fill="auto"/>
            <w:vAlign w:val="center"/>
          </w:tcPr>
          <w:p w14:paraId="72ABDC0C" w14:textId="1A38697D" w:rsidR="00FE2F6C" w:rsidRPr="00D03B0C" w:rsidRDefault="00622A16" w:rsidP="00E57136">
            <w:pPr>
              <w:jc w:val="center"/>
            </w:pPr>
            <w:r>
              <w:t>75.0</w:t>
            </w:r>
            <w:r w:rsidR="00FE2F6C">
              <w:t>%</w:t>
            </w:r>
          </w:p>
        </w:tc>
        <w:tc>
          <w:tcPr>
            <w:tcW w:w="776" w:type="dxa"/>
            <w:shd w:val="clear" w:color="auto" w:fill="auto"/>
          </w:tcPr>
          <w:p w14:paraId="4625AAC6" w14:textId="77777777" w:rsidR="00FE2F6C" w:rsidRPr="00D03B0C" w:rsidRDefault="00FE2F6C" w:rsidP="00FE2F6C"/>
        </w:tc>
      </w:tr>
      <w:tr w:rsidR="00622A16" w14:paraId="230813BB" w14:textId="77777777" w:rsidTr="00E57136">
        <w:trPr>
          <w:jc w:val="center"/>
        </w:trPr>
        <w:tc>
          <w:tcPr>
            <w:tcW w:w="4089" w:type="dxa"/>
            <w:shd w:val="clear" w:color="auto" w:fill="auto"/>
          </w:tcPr>
          <w:p w14:paraId="2F60FCD8" w14:textId="359E2E24" w:rsidR="00622A16" w:rsidRDefault="00622A16" w:rsidP="00622A16">
            <w:r w:rsidRPr="00D03B0C">
              <w:rPr>
                <w:b/>
              </w:rPr>
              <w:lastRenderedPageBreak/>
              <w:t>Targets or Measures</w:t>
            </w:r>
          </w:p>
        </w:tc>
        <w:tc>
          <w:tcPr>
            <w:tcW w:w="775" w:type="dxa"/>
            <w:shd w:val="clear" w:color="auto" w:fill="auto"/>
          </w:tcPr>
          <w:p w14:paraId="105CEE2D" w14:textId="77777777" w:rsidR="00622A16" w:rsidRDefault="00622A16" w:rsidP="00E57136">
            <w:pPr>
              <w:rPr>
                <w:b/>
              </w:rPr>
            </w:pPr>
            <w:r w:rsidRPr="00D03B0C">
              <w:rPr>
                <w:b/>
              </w:rPr>
              <w:t>Base</w:t>
            </w:r>
          </w:p>
          <w:p w14:paraId="36D0B493" w14:textId="5829F8AE" w:rsidR="00622A16" w:rsidRPr="00D03B0C" w:rsidRDefault="00622A16" w:rsidP="00622A16">
            <w:r>
              <w:rPr>
                <w:b/>
              </w:rPr>
              <w:t>2015</w:t>
            </w:r>
          </w:p>
        </w:tc>
        <w:tc>
          <w:tcPr>
            <w:tcW w:w="782" w:type="dxa"/>
            <w:shd w:val="clear" w:color="auto" w:fill="auto"/>
            <w:vAlign w:val="center"/>
          </w:tcPr>
          <w:p w14:paraId="7FAC3787" w14:textId="5D361E39" w:rsidR="00622A16" w:rsidRPr="00D03B0C" w:rsidRDefault="00622A16" w:rsidP="00622A16">
            <w:r>
              <w:rPr>
                <w:b/>
              </w:rPr>
              <w:t>2016</w:t>
            </w:r>
          </w:p>
        </w:tc>
        <w:tc>
          <w:tcPr>
            <w:tcW w:w="782" w:type="dxa"/>
            <w:shd w:val="clear" w:color="auto" w:fill="auto"/>
            <w:vAlign w:val="center"/>
          </w:tcPr>
          <w:p w14:paraId="0CDB24DE" w14:textId="003269F2" w:rsidR="00622A16" w:rsidRPr="00D03B0C" w:rsidRDefault="00622A16" w:rsidP="00622A16">
            <w:r>
              <w:rPr>
                <w:b/>
              </w:rPr>
              <w:t>2017</w:t>
            </w:r>
          </w:p>
        </w:tc>
        <w:tc>
          <w:tcPr>
            <w:tcW w:w="782" w:type="dxa"/>
            <w:shd w:val="clear" w:color="auto" w:fill="auto"/>
            <w:vAlign w:val="center"/>
          </w:tcPr>
          <w:p w14:paraId="4E21FEA3" w14:textId="29171858" w:rsidR="00622A16" w:rsidRDefault="00622A16" w:rsidP="00622A16">
            <w:r>
              <w:rPr>
                <w:b/>
              </w:rPr>
              <w:t>2018</w:t>
            </w:r>
          </w:p>
        </w:tc>
        <w:tc>
          <w:tcPr>
            <w:tcW w:w="1052" w:type="dxa"/>
            <w:shd w:val="clear" w:color="auto" w:fill="auto"/>
            <w:vAlign w:val="center"/>
          </w:tcPr>
          <w:p w14:paraId="09329094" w14:textId="760DC0FB" w:rsidR="00622A16" w:rsidRDefault="00622A16" w:rsidP="00622A16">
            <w:r>
              <w:rPr>
                <w:b/>
              </w:rPr>
              <w:t>2019</w:t>
            </w:r>
          </w:p>
        </w:tc>
        <w:tc>
          <w:tcPr>
            <w:tcW w:w="776" w:type="dxa"/>
            <w:shd w:val="clear" w:color="auto" w:fill="auto"/>
            <w:vAlign w:val="center"/>
          </w:tcPr>
          <w:p w14:paraId="73E13DAD" w14:textId="08B163AF" w:rsidR="00622A16" w:rsidRPr="00D03B0C" w:rsidRDefault="00622A16" w:rsidP="00622A16">
            <w:r>
              <w:rPr>
                <w:b/>
              </w:rPr>
              <w:t>2020</w:t>
            </w:r>
          </w:p>
        </w:tc>
      </w:tr>
      <w:tr w:rsidR="00F950DD" w14:paraId="126A1D76" w14:textId="77777777" w:rsidTr="00E57136">
        <w:trPr>
          <w:jc w:val="center"/>
        </w:trPr>
        <w:tc>
          <w:tcPr>
            <w:tcW w:w="4089" w:type="dxa"/>
            <w:shd w:val="clear" w:color="auto" w:fill="auto"/>
          </w:tcPr>
          <w:p w14:paraId="038B89EE" w14:textId="77777777" w:rsidR="00F950DD" w:rsidRPr="00D03B0C" w:rsidRDefault="00F950DD" w:rsidP="009C7FD9">
            <w:r>
              <w:t>Proportion of students in the top two bands of NAPLAN reading (Year 3) increases by 2% points annually</w:t>
            </w:r>
          </w:p>
        </w:tc>
        <w:tc>
          <w:tcPr>
            <w:tcW w:w="775" w:type="dxa"/>
            <w:shd w:val="clear" w:color="auto" w:fill="auto"/>
          </w:tcPr>
          <w:p w14:paraId="1B371AFF" w14:textId="77777777" w:rsidR="00F950DD" w:rsidRPr="00D03B0C" w:rsidRDefault="00F950DD" w:rsidP="009C7FD9"/>
        </w:tc>
        <w:tc>
          <w:tcPr>
            <w:tcW w:w="782" w:type="dxa"/>
            <w:shd w:val="clear" w:color="auto" w:fill="auto"/>
            <w:vAlign w:val="center"/>
          </w:tcPr>
          <w:p w14:paraId="2C137092" w14:textId="0E9CE92C" w:rsidR="00F950DD" w:rsidRPr="00D03B0C" w:rsidRDefault="00622A16" w:rsidP="00E57136">
            <w:pPr>
              <w:jc w:val="center"/>
            </w:pPr>
            <w:r>
              <w:t>22.2%</w:t>
            </w:r>
          </w:p>
        </w:tc>
        <w:tc>
          <w:tcPr>
            <w:tcW w:w="782" w:type="dxa"/>
            <w:shd w:val="clear" w:color="auto" w:fill="auto"/>
            <w:vAlign w:val="center"/>
          </w:tcPr>
          <w:p w14:paraId="00D252E8" w14:textId="082849AD" w:rsidR="00F950DD" w:rsidRPr="00D03B0C" w:rsidRDefault="00622A16" w:rsidP="00E57136">
            <w:pPr>
              <w:jc w:val="center"/>
            </w:pPr>
            <w:r>
              <w:t>42.5%</w:t>
            </w:r>
          </w:p>
        </w:tc>
        <w:tc>
          <w:tcPr>
            <w:tcW w:w="782" w:type="dxa"/>
            <w:shd w:val="clear" w:color="auto" w:fill="auto"/>
            <w:vAlign w:val="center"/>
          </w:tcPr>
          <w:p w14:paraId="1FC334CC" w14:textId="77777777" w:rsidR="00F950DD" w:rsidRPr="00D03B0C" w:rsidRDefault="00F950DD" w:rsidP="00E57136">
            <w:pPr>
              <w:jc w:val="center"/>
            </w:pPr>
            <w:r>
              <w:t>50%</w:t>
            </w:r>
          </w:p>
        </w:tc>
        <w:tc>
          <w:tcPr>
            <w:tcW w:w="1052" w:type="dxa"/>
            <w:shd w:val="clear" w:color="auto" w:fill="auto"/>
            <w:vAlign w:val="center"/>
          </w:tcPr>
          <w:p w14:paraId="1ECD3786" w14:textId="338650C1" w:rsidR="00F950DD" w:rsidRPr="00D03B0C" w:rsidRDefault="00A53F5F" w:rsidP="00E57136">
            <w:pPr>
              <w:jc w:val="center"/>
            </w:pPr>
            <w:r>
              <w:t>31.6%</w:t>
            </w:r>
          </w:p>
        </w:tc>
        <w:tc>
          <w:tcPr>
            <w:tcW w:w="776" w:type="dxa"/>
            <w:shd w:val="clear" w:color="auto" w:fill="auto"/>
          </w:tcPr>
          <w:p w14:paraId="41D7E49C" w14:textId="77777777" w:rsidR="00F950DD" w:rsidRPr="00D03B0C" w:rsidRDefault="00F950DD" w:rsidP="009C7FD9"/>
        </w:tc>
      </w:tr>
      <w:tr w:rsidR="00F950DD" w14:paraId="497457F0" w14:textId="77777777" w:rsidTr="00E57136">
        <w:trPr>
          <w:jc w:val="center"/>
        </w:trPr>
        <w:tc>
          <w:tcPr>
            <w:tcW w:w="4089" w:type="dxa"/>
            <w:shd w:val="clear" w:color="auto" w:fill="auto"/>
          </w:tcPr>
          <w:p w14:paraId="0BF8FF81" w14:textId="77777777" w:rsidR="00F950DD" w:rsidRDefault="00F950DD" w:rsidP="009C7FD9">
            <w:r>
              <w:t>Proportion of students in the top two bands of NAPLAN reading (Year 5) increases by 2% points annually</w:t>
            </w:r>
          </w:p>
        </w:tc>
        <w:tc>
          <w:tcPr>
            <w:tcW w:w="775" w:type="dxa"/>
            <w:shd w:val="clear" w:color="auto" w:fill="auto"/>
          </w:tcPr>
          <w:p w14:paraId="6A6E9DDA" w14:textId="77777777" w:rsidR="00F950DD" w:rsidRPr="00D03B0C" w:rsidRDefault="00F950DD" w:rsidP="009C7FD9"/>
        </w:tc>
        <w:tc>
          <w:tcPr>
            <w:tcW w:w="782" w:type="dxa"/>
            <w:shd w:val="clear" w:color="auto" w:fill="auto"/>
            <w:vAlign w:val="center"/>
          </w:tcPr>
          <w:p w14:paraId="30AA918F" w14:textId="4C9F5198" w:rsidR="00F950DD" w:rsidRPr="00D03B0C" w:rsidRDefault="00622A16" w:rsidP="00E57136">
            <w:pPr>
              <w:jc w:val="center"/>
            </w:pPr>
            <w:r>
              <w:t>25.0%</w:t>
            </w:r>
          </w:p>
        </w:tc>
        <w:tc>
          <w:tcPr>
            <w:tcW w:w="782" w:type="dxa"/>
            <w:shd w:val="clear" w:color="auto" w:fill="auto"/>
            <w:vAlign w:val="center"/>
          </w:tcPr>
          <w:p w14:paraId="1A9EDADE" w14:textId="1C1491E8" w:rsidR="00F950DD" w:rsidRPr="00D03B0C" w:rsidRDefault="00622A16" w:rsidP="00E57136">
            <w:pPr>
              <w:jc w:val="center"/>
            </w:pPr>
            <w:r>
              <w:t>36.7%</w:t>
            </w:r>
          </w:p>
        </w:tc>
        <w:tc>
          <w:tcPr>
            <w:tcW w:w="782" w:type="dxa"/>
            <w:shd w:val="clear" w:color="auto" w:fill="auto"/>
            <w:vAlign w:val="center"/>
          </w:tcPr>
          <w:p w14:paraId="5B3F27CD" w14:textId="77777777" w:rsidR="00F950DD" w:rsidRPr="00D03B0C" w:rsidRDefault="00F950DD" w:rsidP="00E57136">
            <w:pPr>
              <w:jc w:val="center"/>
            </w:pPr>
            <w:r>
              <w:t>35.3%</w:t>
            </w:r>
          </w:p>
        </w:tc>
        <w:tc>
          <w:tcPr>
            <w:tcW w:w="1052" w:type="dxa"/>
            <w:shd w:val="clear" w:color="auto" w:fill="auto"/>
            <w:vAlign w:val="center"/>
          </w:tcPr>
          <w:p w14:paraId="20E6C34F" w14:textId="07BE6CC0" w:rsidR="00F950DD" w:rsidRPr="00D03B0C" w:rsidRDefault="00A53F5F" w:rsidP="00E57136">
            <w:pPr>
              <w:jc w:val="center"/>
            </w:pPr>
            <w:r>
              <w:t>38.2%</w:t>
            </w:r>
          </w:p>
        </w:tc>
        <w:tc>
          <w:tcPr>
            <w:tcW w:w="776" w:type="dxa"/>
            <w:shd w:val="clear" w:color="auto" w:fill="auto"/>
          </w:tcPr>
          <w:p w14:paraId="4FDF6D63" w14:textId="77777777" w:rsidR="00F950DD" w:rsidRPr="00D03B0C" w:rsidRDefault="00F950DD" w:rsidP="009C7FD9"/>
        </w:tc>
      </w:tr>
      <w:tr w:rsidR="00F950DD" w14:paraId="3885B14A" w14:textId="77777777" w:rsidTr="00E57136">
        <w:trPr>
          <w:jc w:val="center"/>
        </w:trPr>
        <w:tc>
          <w:tcPr>
            <w:tcW w:w="4089" w:type="dxa"/>
            <w:shd w:val="clear" w:color="auto" w:fill="auto"/>
          </w:tcPr>
          <w:p w14:paraId="0F5E7E63" w14:textId="77777777" w:rsidR="00F950DD" w:rsidRDefault="00F950DD" w:rsidP="009C7FD9">
            <w:r>
              <w:t>Proportion of students in the top two bands of NAPLAN maths (Year 3) increases by 2% points annually</w:t>
            </w:r>
          </w:p>
        </w:tc>
        <w:tc>
          <w:tcPr>
            <w:tcW w:w="775" w:type="dxa"/>
            <w:shd w:val="clear" w:color="auto" w:fill="auto"/>
          </w:tcPr>
          <w:p w14:paraId="37235A88" w14:textId="77777777" w:rsidR="00F950DD" w:rsidRPr="00D03B0C" w:rsidRDefault="00F950DD" w:rsidP="009C7FD9"/>
        </w:tc>
        <w:tc>
          <w:tcPr>
            <w:tcW w:w="782" w:type="dxa"/>
            <w:shd w:val="clear" w:color="auto" w:fill="auto"/>
            <w:vAlign w:val="center"/>
          </w:tcPr>
          <w:p w14:paraId="6254E095" w14:textId="28DE224A" w:rsidR="00F950DD" w:rsidRPr="00D03B0C" w:rsidRDefault="00622A16" w:rsidP="00E57136">
            <w:pPr>
              <w:jc w:val="center"/>
            </w:pPr>
            <w:r>
              <w:t>11.5%</w:t>
            </w:r>
          </w:p>
        </w:tc>
        <w:tc>
          <w:tcPr>
            <w:tcW w:w="782" w:type="dxa"/>
            <w:shd w:val="clear" w:color="auto" w:fill="auto"/>
            <w:vAlign w:val="center"/>
          </w:tcPr>
          <w:p w14:paraId="6D38916A" w14:textId="6DDF3095" w:rsidR="00F950DD" w:rsidRPr="00D03B0C" w:rsidRDefault="00622A16" w:rsidP="00E57136">
            <w:pPr>
              <w:jc w:val="center"/>
            </w:pPr>
            <w:r>
              <w:t>21.9%</w:t>
            </w:r>
          </w:p>
        </w:tc>
        <w:tc>
          <w:tcPr>
            <w:tcW w:w="782" w:type="dxa"/>
            <w:shd w:val="clear" w:color="auto" w:fill="auto"/>
            <w:vAlign w:val="center"/>
          </w:tcPr>
          <w:p w14:paraId="2E2F6ED1" w14:textId="0133B29C" w:rsidR="00F950DD" w:rsidRPr="00D03B0C" w:rsidRDefault="00622A16" w:rsidP="00E57136">
            <w:pPr>
              <w:jc w:val="center"/>
            </w:pPr>
            <w:r>
              <w:t>43.9%</w:t>
            </w:r>
          </w:p>
        </w:tc>
        <w:tc>
          <w:tcPr>
            <w:tcW w:w="1052" w:type="dxa"/>
            <w:shd w:val="clear" w:color="auto" w:fill="auto"/>
            <w:vAlign w:val="center"/>
          </w:tcPr>
          <w:p w14:paraId="6CBB2390" w14:textId="6FAF7C4E" w:rsidR="00F950DD" w:rsidRPr="00D03B0C" w:rsidRDefault="00A53F5F" w:rsidP="00E57136">
            <w:pPr>
              <w:jc w:val="center"/>
            </w:pPr>
            <w:r>
              <w:t>20.0%</w:t>
            </w:r>
          </w:p>
        </w:tc>
        <w:tc>
          <w:tcPr>
            <w:tcW w:w="776" w:type="dxa"/>
            <w:shd w:val="clear" w:color="auto" w:fill="auto"/>
          </w:tcPr>
          <w:p w14:paraId="62502AC5" w14:textId="77777777" w:rsidR="00F950DD" w:rsidRPr="00D03B0C" w:rsidRDefault="00F950DD" w:rsidP="009C7FD9"/>
        </w:tc>
      </w:tr>
      <w:tr w:rsidR="00F950DD" w14:paraId="64C196F3" w14:textId="77777777" w:rsidTr="00E57136">
        <w:trPr>
          <w:jc w:val="center"/>
        </w:trPr>
        <w:tc>
          <w:tcPr>
            <w:tcW w:w="4089" w:type="dxa"/>
            <w:shd w:val="clear" w:color="auto" w:fill="auto"/>
          </w:tcPr>
          <w:p w14:paraId="7BEF4908" w14:textId="77777777" w:rsidR="00F950DD" w:rsidRDefault="00F950DD" w:rsidP="009C7FD9">
            <w:r>
              <w:t>Proportion of students in the top two bands of NAPLAN maths (Year 5) increases by 2% points annually</w:t>
            </w:r>
          </w:p>
        </w:tc>
        <w:tc>
          <w:tcPr>
            <w:tcW w:w="775" w:type="dxa"/>
            <w:shd w:val="clear" w:color="auto" w:fill="auto"/>
          </w:tcPr>
          <w:p w14:paraId="25D1C05A" w14:textId="77777777" w:rsidR="00F950DD" w:rsidRPr="00D03B0C" w:rsidRDefault="00F950DD" w:rsidP="009C7FD9"/>
        </w:tc>
        <w:tc>
          <w:tcPr>
            <w:tcW w:w="782" w:type="dxa"/>
            <w:shd w:val="clear" w:color="auto" w:fill="auto"/>
            <w:vAlign w:val="center"/>
          </w:tcPr>
          <w:p w14:paraId="7ACD0DB1" w14:textId="424A6152" w:rsidR="00F950DD" w:rsidRPr="00D03B0C" w:rsidRDefault="00622A16" w:rsidP="00E57136">
            <w:pPr>
              <w:jc w:val="center"/>
            </w:pPr>
            <w:r>
              <w:t>22.2%</w:t>
            </w:r>
          </w:p>
        </w:tc>
        <w:tc>
          <w:tcPr>
            <w:tcW w:w="782" w:type="dxa"/>
            <w:shd w:val="clear" w:color="auto" w:fill="auto"/>
            <w:vAlign w:val="center"/>
          </w:tcPr>
          <w:p w14:paraId="279326B4" w14:textId="252A575B" w:rsidR="00F950DD" w:rsidRPr="00D03B0C" w:rsidRDefault="00622A16" w:rsidP="00E57136">
            <w:pPr>
              <w:jc w:val="center"/>
            </w:pPr>
            <w:r>
              <w:t>12.9%</w:t>
            </w:r>
          </w:p>
        </w:tc>
        <w:tc>
          <w:tcPr>
            <w:tcW w:w="782" w:type="dxa"/>
            <w:shd w:val="clear" w:color="auto" w:fill="auto"/>
            <w:vAlign w:val="center"/>
          </w:tcPr>
          <w:p w14:paraId="53409457" w14:textId="77777777" w:rsidR="00F950DD" w:rsidRPr="00D03B0C" w:rsidRDefault="00F950DD" w:rsidP="00E57136">
            <w:pPr>
              <w:jc w:val="center"/>
            </w:pPr>
            <w:r>
              <w:t>11.8%</w:t>
            </w:r>
          </w:p>
        </w:tc>
        <w:tc>
          <w:tcPr>
            <w:tcW w:w="1052" w:type="dxa"/>
            <w:shd w:val="clear" w:color="auto" w:fill="auto"/>
            <w:vAlign w:val="center"/>
          </w:tcPr>
          <w:p w14:paraId="6F87BC59" w14:textId="481D2091" w:rsidR="00F950DD" w:rsidRPr="00D03B0C" w:rsidRDefault="00A53F5F" w:rsidP="00E57136">
            <w:pPr>
              <w:jc w:val="center"/>
            </w:pPr>
            <w:r>
              <w:t>18.2%</w:t>
            </w:r>
          </w:p>
        </w:tc>
        <w:tc>
          <w:tcPr>
            <w:tcW w:w="776" w:type="dxa"/>
            <w:shd w:val="clear" w:color="auto" w:fill="auto"/>
          </w:tcPr>
          <w:p w14:paraId="45518E01" w14:textId="77777777" w:rsidR="00F950DD" w:rsidRPr="00D03B0C" w:rsidRDefault="00F950DD" w:rsidP="009C7FD9"/>
        </w:tc>
      </w:tr>
      <w:tr w:rsidR="00F950DD" w14:paraId="62A15803" w14:textId="77777777" w:rsidTr="00E57136">
        <w:trPr>
          <w:jc w:val="center"/>
        </w:trPr>
        <w:tc>
          <w:tcPr>
            <w:tcW w:w="4089" w:type="dxa"/>
            <w:shd w:val="clear" w:color="auto" w:fill="auto"/>
          </w:tcPr>
          <w:p w14:paraId="71C8D944" w14:textId="77777777" w:rsidR="00F950DD" w:rsidRDefault="00F950DD" w:rsidP="009C7FD9">
            <w:r>
              <w:t>Proportion of students in the bottom two bands of NAPLAN reading (Year 3) decreases by 2% points annually</w:t>
            </w:r>
          </w:p>
        </w:tc>
        <w:tc>
          <w:tcPr>
            <w:tcW w:w="775" w:type="dxa"/>
            <w:shd w:val="clear" w:color="auto" w:fill="auto"/>
          </w:tcPr>
          <w:p w14:paraId="4144029C" w14:textId="77777777" w:rsidR="00F950DD" w:rsidRPr="00D03B0C" w:rsidRDefault="00F950DD" w:rsidP="009C7FD9"/>
        </w:tc>
        <w:tc>
          <w:tcPr>
            <w:tcW w:w="782" w:type="dxa"/>
            <w:shd w:val="clear" w:color="auto" w:fill="auto"/>
            <w:vAlign w:val="center"/>
          </w:tcPr>
          <w:p w14:paraId="6924ECB7" w14:textId="5B81430B" w:rsidR="00F950DD" w:rsidRPr="00D03B0C" w:rsidRDefault="00622A16" w:rsidP="00E57136">
            <w:pPr>
              <w:jc w:val="center"/>
            </w:pPr>
            <w:r>
              <w:t>33.3%</w:t>
            </w:r>
          </w:p>
        </w:tc>
        <w:tc>
          <w:tcPr>
            <w:tcW w:w="782" w:type="dxa"/>
            <w:shd w:val="clear" w:color="auto" w:fill="auto"/>
            <w:vAlign w:val="center"/>
          </w:tcPr>
          <w:p w14:paraId="489A24B6" w14:textId="4D3CFA46" w:rsidR="00F950DD" w:rsidRPr="00D03B0C" w:rsidRDefault="00622A16" w:rsidP="00E57136">
            <w:pPr>
              <w:jc w:val="center"/>
            </w:pPr>
            <w:r>
              <w:t>35.5%</w:t>
            </w:r>
          </w:p>
        </w:tc>
        <w:tc>
          <w:tcPr>
            <w:tcW w:w="782" w:type="dxa"/>
            <w:shd w:val="clear" w:color="auto" w:fill="auto"/>
            <w:vAlign w:val="center"/>
          </w:tcPr>
          <w:p w14:paraId="5C7F3A19" w14:textId="77777777" w:rsidR="00F950DD" w:rsidRPr="00D03B0C" w:rsidRDefault="00F950DD" w:rsidP="00E57136">
            <w:pPr>
              <w:jc w:val="center"/>
            </w:pPr>
            <w:r>
              <w:t>15.8%</w:t>
            </w:r>
          </w:p>
        </w:tc>
        <w:tc>
          <w:tcPr>
            <w:tcW w:w="1052" w:type="dxa"/>
            <w:shd w:val="clear" w:color="auto" w:fill="auto"/>
            <w:vAlign w:val="center"/>
          </w:tcPr>
          <w:p w14:paraId="17E4C513" w14:textId="27D62F22" w:rsidR="00F950DD" w:rsidRPr="00D03B0C" w:rsidRDefault="00A53F5F" w:rsidP="00E57136">
            <w:pPr>
              <w:jc w:val="center"/>
            </w:pPr>
            <w:r>
              <w:t>26.3%</w:t>
            </w:r>
          </w:p>
        </w:tc>
        <w:tc>
          <w:tcPr>
            <w:tcW w:w="776" w:type="dxa"/>
            <w:shd w:val="clear" w:color="auto" w:fill="auto"/>
            <w:vAlign w:val="center"/>
          </w:tcPr>
          <w:p w14:paraId="3E692446" w14:textId="77777777" w:rsidR="00F950DD" w:rsidRPr="00D03B0C" w:rsidRDefault="00F950DD" w:rsidP="00E57136">
            <w:pPr>
              <w:jc w:val="center"/>
            </w:pPr>
          </w:p>
        </w:tc>
      </w:tr>
      <w:tr w:rsidR="00F950DD" w14:paraId="47150A8A" w14:textId="77777777" w:rsidTr="00E57136">
        <w:trPr>
          <w:jc w:val="center"/>
        </w:trPr>
        <w:tc>
          <w:tcPr>
            <w:tcW w:w="4089" w:type="dxa"/>
            <w:shd w:val="clear" w:color="auto" w:fill="auto"/>
          </w:tcPr>
          <w:p w14:paraId="62BA48F9" w14:textId="5A61B382" w:rsidR="00F950DD" w:rsidRDefault="00F950DD" w:rsidP="009C7FD9">
            <w:r>
              <w:t xml:space="preserve">Proportion of students in the bottom two bands of NAPLAN reading (Year </w:t>
            </w:r>
            <w:r w:rsidR="00D205AA">
              <w:t>5</w:t>
            </w:r>
            <w:r>
              <w:t>) decreases by 2% points annually</w:t>
            </w:r>
          </w:p>
        </w:tc>
        <w:tc>
          <w:tcPr>
            <w:tcW w:w="775" w:type="dxa"/>
            <w:shd w:val="clear" w:color="auto" w:fill="auto"/>
          </w:tcPr>
          <w:p w14:paraId="1F8E6927" w14:textId="77777777" w:rsidR="00F950DD" w:rsidRPr="00D03B0C" w:rsidRDefault="00F950DD" w:rsidP="009C7FD9"/>
        </w:tc>
        <w:tc>
          <w:tcPr>
            <w:tcW w:w="782" w:type="dxa"/>
            <w:shd w:val="clear" w:color="auto" w:fill="auto"/>
            <w:vAlign w:val="center"/>
          </w:tcPr>
          <w:p w14:paraId="3564B7D6" w14:textId="0D54A39D" w:rsidR="00F950DD" w:rsidRPr="00D03B0C" w:rsidRDefault="00622A16" w:rsidP="00E57136">
            <w:pPr>
              <w:jc w:val="center"/>
            </w:pPr>
            <w:r>
              <w:t>35.7%</w:t>
            </w:r>
          </w:p>
        </w:tc>
        <w:tc>
          <w:tcPr>
            <w:tcW w:w="782" w:type="dxa"/>
            <w:shd w:val="clear" w:color="auto" w:fill="auto"/>
            <w:vAlign w:val="center"/>
          </w:tcPr>
          <w:p w14:paraId="73ED6F32" w14:textId="487EF7D4" w:rsidR="00F950DD" w:rsidRPr="00D03B0C" w:rsidRDefault="00622A16" w:rsidP="00E57136">
            <w:pPr>
              <w:jc w:val="center"/>
            </w:pPr>
            <w:r>
              <w:t>23.3%</w:t>
            </w:r>
          </w:p>
        </w:tc>
        <w:tc>
          <w:tcPr>
            <w:tcW w:w="782" w:type="dxa"/>
            <w:shd w:val="clear" w:color="auto" w:fill="auto"/>
            <w:vAlign w:val="center"/>
          </w:tcPr>
          <w:p w14:paraId="76CFC4ED" w14:textId="77777777" w:rsidR="00F950DD" w:rsidRPr="00D03B0C" w:rsidRDefault="00F950DD" w:rsidP="00E57136">
            <w:pPr>
              <w:jc w:val="center"/>
            </w:pPr>
            <w:r>
              <w:t>23.5%</w:t>
            </w:r>
          </w:p>
        </w:tc>
        <w:tc>
          <w:tcPr>
            <w:tcW w:w="1052" w:type="dxa"/>
            <w:shd w:val="clear" w:color="auto" w:fill="auto"/>
            <w:vAlign w:val="center"/>
          </w:tcPr>
          <w:p w14:paraId="1BC2AA5E" w14:textId="7A06FFBB" w:rsidR="00F950DD" w:rsidRPr="00D03B0C" w:rsidRDefault="00A53F5F" w:rsidP="00E57136">
            <w:pPr>
              <w:jc w:val="center"/>
            </w:pPr>
            <w:r>
              <w:t>26.5%</w:t>
            </w:r>
          </w:p>
        </w:tc>
        <w:tc>
          <w:tcPr>
            <w:tcW w:w="776" w:type="dxa"/>
            <w:shd w:val="clear" w:color="auto" w:fill="auto"/>
          </w:tcPr>
          <w:p w14:paraId="160E8BC7" w14:textId="77777777" w:rsidR="00F950DD" w:rsidRPr="00D03B0C" w:rsidRDefault="00F950DD" w:rsidP="009C7FD9"/>
        </w:tc>
      </w:tr>
      <w:tr w:rsidR="00F950DD" w14:paraId="35B71AC1" w14:textId="77777777" w:rsidTr="00E57136">
        <w:trPr>
          <w:jc w:val="center"/>
        </w:trPr>
        <w:tc>
          <w:tcPr>
            <w:tcW w:w="4089" w:type="dxa"/>
            <w:shd w:val="clear" w:color="auto" w:fill="auto"/>
          </w:tcPr>
          <w:p w14:paraId="0D422149" w14:textId="77777777" w:rsidR="00F950DD" w:rsidRDefault="00F950DD" w:rsidP="009C7FD9">
            <w:r>
              <w:t>Proportion of students in the bottom two bands of NAPLAN maths (Year 3) decreases by 2% points annually</w:t>
            </w:r>
          </w:p>
        </w:tc>
        <w:tc>
          <w:tcPr>
            <w:tcW w:w="775" w:type="dxa"/>
            <w:shd w:val="clear" w:color="auto" w:fill="auto"/>
          </w:tcPr>
          <w:p w14:paraId="3D039622" w14:textId="77777777" w:rsidR="00F950DD" w:rsidRPr="00D03B0C" w:rsidRDefault="00F950DD" w:rsidP="009C7FD9"/>
        </w:tc>
        <w:tc>
          <w:tcPr>
            <w:tcW w:w="782" w:type="dxa"/>
            <w:shd w:val="clear" w:color="auto" w:fill="auto"/>
            <w:vAlign w:val="center"/>
          </w:tcPr>
          <w:p w14:paraId="4DA35B0F" w14:textId="560B9ADF" w:rsidR="00F950DD" w:rsidRPr="00D03B0C" w:rsidRDefault="00622A16" w:rsidP="00E57136">
            <w:pPr>
              <w:jc w:val="center"/>
            </w:pPr>
            <w:r>
              <w:t>34.6%</w:t>
            </w:r>
          </w:p>
        </w:tc>
        <w:tc>
          <w:tcPr>
            <w:tcW w:w="782" w:type="dxa"/>
            <w:shd w:val="clear" w:color="auto" w:fill="auto"/>
            <w:vAlign w:val="center"/>
          </w:tcPr>
          <w:p w14:paraId="0EE93DF2" w14:textId="6197361E" w:rsidR="00F950DD" w:rsidRPr="00D03B0C" w:rsidRDefault="00622A16" w:rsidP="00E57136">
            <w:pPr>
              <w:jc w:val="center"/>
            </w:pPr>
            <w:r>
              <w:t>43.8%</w:t>
            </w:r>
          </w:p>
        </w:tc>
        <w:tc>
          <w:tcPr>
            <w:tcW w:w="782" w:type="dxa"/>
            <w:shd w:val="clear" w:color="auto" w:fill="auto"/>
            <w:vAlign w:val="center"/>
          </w:tcPr>
          <w:p w14:paraId="24FA2B2E" w14:textId="3757C81D" w:rsidR="00F950DD" w:rsidRPr="00D03B0C" w:rsidRDefault="00622A16" w:rsidP="00E57136">
            <w:pPr>
              <w:jc w:val="center"/>
            </w:pPr>
            <w:r>
              <w:t>17.1%</w:t>
            </w:r>
          </w:p>
        </w:tc>
        <w:tc>
          <w:tcPr>
            <w:tcW w:w="1052" w:type="dxa"/>
            <w:shd w:val="clear" w:color="auto" w:fill="auto"/>
            <w:vAlign w:val="center"/>
          </w:tcPr>
          <w:p w14:paraId="2C575B61" w14:textId="534B08BA" w:rsidR="00F950DD" w:rsidRPr="00D03B0C" w:rsidRDefault="00A53F5F" w:rsidP="00E57136">
            <w:pPr>
              <w:jc w:val="center"/>
            </w:pPr>
            <w:r>
              <w:t>20.0%</w:t>
            </w:r>
          </w:p>
        </w:tc>
        <w:tc>
          <w:tcPr>
            <w:tcW w:w="776" w:type="dxa"/>
            <w:shd w:val="clear" w:color="auto" w:fill="auto"/>
            <w:vAlign w:val="center"/>
          </w:tcPr>
          <w:p w14:paraId="2E595FA5" w14:textId="77777777" w:rsidR="00F950DD" w:rsidRPr="00D03B0C" w:rsidRDefault="00F950DD" w:rsidP="00E57136">
            <w:pPr>
              <w:jc w:val="center"/>
            </w:pPr>
          </w:p>
        </w:tc>
      </w:tr>
      <w:tr w:rsidR="00F950DD" w14:paraId="61E437B4" w14:textId="77777777" w:rsidTr="00E57136">
        <w:trPr>
          <w:jc w:val="center"/>
        </w:trPr>
        <w:tc>
          <w:tcPr>
            <w:tcW w:w="4089" w:type="dxa"/>
            <w:shd w:val="clear" w:color="auto" w:fill="auto"/>
          </w:tcPr>
          <w:p w14:paraId="4C8A2179" w14:textId="77777777" w:rsidR="00F950DD" w:rsidRDefault="00F950DD" w:rsidP="009C7FD9">
            <w:r>
              <w:t>Proportion of students in the bottom two bands of NAPLAN maths (Year 5) decreases by 2% points annually</w:t>
            </w:r>
          </w:p>
        </w:tc>
        <w:tc>
          <w:tcPr>
            <w:tcW w:w="775" w:type="dxa"/>
            <w:shd w:val="clear" w:color="auto" w:fill="auto"/>
          </w:tcPr>
          <w:p w14:paraId="6A33041C" w14:textId="77777777" w:rsidR="00F950DD" w:rsidRPr="00D03B0C" w:rsidRDefault="00F950DD" w:rsidP="009C7FD9"/>
        </w:tc>
        <w:tc>
          <w:tcPr>
            <w:tcW w:w="782" w:type="dxa"/>
            <w:shd w:val="clear" w:color="auto" w:fill="auto"/>
            <w:vAlign w:val="center"/>
          </w:tcPr>
          <w:p w14:paraId="42318841" w14:textId="143EBB3B" w:rsidR="00F950DD" w:rsidRPr="00D03B0C" w:rsidRDefault="00622A16" w:rsidP="00E57136">
            <w:pPr>
              <w:jc w:val="center"/>
            </w:pPr>
            <w:r>
              <w:t>44.4%</w:t>
            </w:r>
          </w:p>
        </w:tc>
        <w:tc>
          <w:tcPr>
            <w:tcW w:w="782" w:type="dxa"/>
            <w:shd w:val="clear" w:color="auto" w:fill="auto"/>
            <w:vAlign w:val="center"/>
          </w:tcPr>
          <w:p w14:paraId="0144F68A" w14:textId="3B0DFA9F" w:rsidR="00F950DD" w:rsidRPr="00D03B0C" w:rsidRDefault="00622A16" w:rsidP="00E57136">
            <w:pPr>
              <w:jc w:val="center"/>
            </w:pPr>
            <w:r>
              <w:t>16.1%</w:t>
            </w:r>
          </w:p>
        </w:tc>
        <w:tc>
          <w:tcPr>
            <w:tcW w:w="782" w:type="dxa"/>
            <w:shd w:val="clear" w:color="auto" w:fill="auto"/>
            <w:vAlign w:val="center"/>
          </w:tcPr>
          <w:p w14:paraId="4DB2C634" w14:textId="77777777" w:rsidR="00F950DD" w:rsidRPr="00D03B0C" w:rsidRDefault="00F950DD" w:rsidP="00E57136">
            <w:pPr>
              <w:jc w:val="center"/>
            </w:pPr>
            <w:r>
              <w:t>5.9%</w:t>
            </w:r>
          </w:p>
        </w:tc>
        <w:tc>
          <w:tcPr>
            <w:tcW w:w="1052" w:type="dxa"/>
            <w:shd w:val="clear" w:color="auto" w:fill="auto"/>
            <w:vAlign w:val="center"/>
          </w:tcPr>
          <w:p w14:paraId="5E6A89F6" w14:textId="66956F26" w:rsidR="00F950DD" w:rsidRPr="00D03B0C" w:rsidRDefault="00F65E3C" w:rsidP="00E57136">
            <w:pPr>
              <w:jc w:val="center"/>
            </w:pPr>
            <w:r>
              <w:t>30.3</w:t>
            </w:r>
            <w:r w:rsidR="00A53F5F">
              <w:t>%</w:t>
            </w:r>
          </w:p>
        </w:tc>
        <w:tc>
          <w:tcPr>
            <w:tcW w:w="776" w:type="dxa"/>
            <w:shd w:val="clear" w:color="auto" w:fill="auto"/>
          </w:tcPr>
          <w:p w14:paraId="383B9C34" w14:textId="77777777" w:rsidR="00F950DD" w:rsidRPr="00D03B0C" w:rsidRDefault="00F950DD" w:rsidP="009C7FD9"/>
        </w:tc>
      </w:tr>
      <w:tr w:rsidR="00F950DD" w14:paraId="0F8E818F" w14:textId="77777777" w:rsidTr="00E57136">
        <w:trPr>
          <w:jc w:val="center"/>
        </w:trPr>
        <w:tc>
          <w:tcPr>
            <w:tcW w:w="4089" w:type="dxa"/>
            <w:shd w:val="clear" w:color="auto" w:fill="auto"/>
          </w:tcPr>
          <w:p w14:paraId="0B39D2CE" w14:textId="77777777" w:rsidR="00F950DD" w:rsidRDefault="00F950DD" w:rsidP="009C7FD9">
            <w:r>
              <w:t>Proportion of students who achieve expected growth or better in PIPS reading increases by 2% points as an average over the last 5 years</w:t>
            </w:r>
          </w:p>
        </w:tc>
        <w:tc>
          <w:tcPr>
            <w:tcW w:w="775" w:type="dxa"/>
            <w:shd w:val="clear" w:color="auto" w:fill="auto"/>
          </w:tcPr>
          <w:p w14:paraId="4458D737" w14:textId="3DA4D847" w:rsidR="00F950DD" w:rsidRPr="00D03B0C" w:rsidRDefault="00F950DD" w:rsidP="009C7FD9"/>
        </w:tc>
        <w:tc>
          <w:tcPr>
            <w:tcW w:w="782" w:type="dxa"/>
            <w:shd w:val="clear" w:color="auto" w:fill="auto"/>
            <w:vAlign w:val="center"/>
          </w:tcPr>
          <w:p w14:paraId="1F454388" w14:textId="7809F5A1" w:rsidR="00F950DD" w:rsidRPr="00D03B0C" w:rsidRDefault="00622A16" w:rsidP="00E57136">
            <w:pPr>
              <w:jc w:val="center"/>
            </w:pPr>
            <w:r>
              <w:t>81.5%</w:t>
            </w:r>
          </w:p>
        </w:tc>
        <w:tc>
          <w:tcPr>
            <w:tcW w:w="782" w:type="dxa"/>
            <w:shd w:val="clear" w:color="auto" w:fill="auto"/>
            <w:vAlign w:val="center"/>
          </w:tcPr>
          <w:p w14:paraId="3F3C771F" w14:textId="31211986" w:rsidR="00F950DD" w:rsidRPr="00D03B0C" w:rsidRDefault="00622A16" w:rsidP="00E57136">
            <w:pPr>
              <w:jc w:val="center"/>
            </w:pPr>
            <w:r>
              <w:t>75.0%</w:t>
            </w:r>
          </w:p>
        </w:tc>
        <w:tc>
          <w:tcPr>
            <w:tcW w:w="782" w:type="dxa"/>
            <w:shd w:val="clear" w:color="auto" w:fill="auto"/>
            <w:vAlign w:val="center"/>
          </w:tcPr>
          <w:p w14:paraId="0DB2BB61" w14:textId="5DDD0338" w:rsidR="00F950DD" w:rsidRPr="00D03B0C" w:rsidRDefault="00622A16" w:rsidP="00E57136">
            <w:pPr>
              <w:jc w:val="center"/>
            </w:pPr>
            <w:r>
              <w:t>76.4%</w:t>
            </w:r>
          </w:p>
        </w:tc>
        <w:tc>
          <w:tcPr>
            <w:tcW w:w="1052" w:type="dxa"/>
            <w:shd w:val="clear" w:color="auto" w:fill="auto"/>
            <w:vAlign w:val="center"/>
          </w:tcPr>
          <w:p w14:paraId="1CCB26EC" w14:textId="277CD42F" w:rsidR="00F950DD" w:rsidRPr="00D03B0C" w:rsidRDefault="00622A16" w:rsidP="00E57136">
            <w:pPr>
              <w:jc w:val="center"/>
            </w:pPr>
            <w:r>
              <w:t>60.9%</w:t>
            </w:r>
          </w:p>
        </w:tc>
        <w:tc>
          <w:tcPr>
            <w:tcW w:w="776" w:type="dxa"/>
            <w:shd w:val="clear" w:color="auto" w:fill="auto"/>
          </w:tcPr>
          <w:p w14:paraId="38A0E56E" w14:textId="77777777" w:rsidR="00F950DD" w:rsidRPr="00D03B0C" w:rsidRDefault="00F950DD" w:rsidP="009C7FD9"/>
        </w:tc>
      </w:tr>
      <w:tr w:rsidR="00F950DD" w14:paraId="7F48AD80" w14:textId="77777777" w:rsidTr="00E57136">
        <w:trPr>
          <w:jc w:val="center"/>
        </w:trPr>
        <w:tc>
          <w:tcPr>
            <w:tcW w:w="4089" w:type="dxa"/>
            <w:shd w:val="clear" w:color="auto" w:fill="auto"/>
          </w:tcPr>
          <w:p w14:paraId="690D0132" w14:textId="77777777" w:rsidR="00F950DD" w:rsidRDefault="00F950DD" w:rsidP="009C7FD9">
            <w:r>
              <w:t>Proportion of students who achieve expected growth or better in PIPS numeracy increases by 2% points as an average over the last 5 years</w:t>
            </w:r>
          </w:p>
        </w:tc>
        <w:tc>
          <w:tcPr>
            <w:tcW w:w="775" w:type="dxa"/>
            <w:shd w:val="clear" w:color="auto" w:fill="auto"/>
          </w:tcPr>
          <w:p w14:paraId="32F3C87C" w14:textId="77777777" w:rsidR="00F950DD" w:rsidRPr="00D03B0C" w:rsidRDefault="00F950DD" w:rsidP="009C7FD9"/>
        </w:tc>
        <w:tc>
          <w:tcPr>
            <w:tcW w:w="782" w:type="dxa"/>
            <w:shd w:val="clear" w:color="auto" w:fill="auto"/>
            <w:vAlign w:val="center"/>
          </w:tcPr>
          <w:p w14:paraId="4D5F1769" w14:textId="534733F2" w:rsidR="00F950DD" w:rsidRPr="00D03B0C" w:rsidRDefault="0088556C" w:rsidP="00E57136">
            <w:pPr>
              <w:jc w:val="center"/>
            </w:pPr>
            <w:r>
              <w:t>62.9%</w:t>
            </w:r>
          </w:p>
        </w:tc>
        <w:tc>
          <w:tcPr>
            <w:tcW w:w="782" w:type="dxa"/>
            <w:shd w:val="clear" w:color="auto" w:fill="auto"/>
            <w:vAlign w:val="center"/>
          </w:tcPr>
          <w:p w14:paraId="5411F33B" w14:textId="692316FC" w:rsidR="00F950DD" w:rsidRPr="00D03B0C" w:rsidRDefault="0088556C" w:rsidP="00E57136">
            <w:pPr>
              <w:jc w:val="center"/>
            </w:pPr>
            <w:r>
              <w:t>54.5%</w:t>
            </w:r>
          </w:p>
        </w:tc>
        <w:tc>
          <w:tcPr>
            <w:tcW w:w="782" w:type="dxa"/>
            <w:shd w:val="clear" w:color="auto" w:fill="auto"/>
            <w:vAlign w:val="center"/>
          </w:tcPr>
          <w:p w14:paraId="4FAD0157" w14:textId="0396CA52" w:rsidR="00F950DD" w:rsidRPr="00D03B0C" w:rsidRDefault="0088556C" w:rsidP="00E57136">
            <w:pPr>
              <w:jc w:val="center"/>
            </w:pPr>
            <w:r>
              <w:t>63.6%</w:t>
            </w:r>
          </w:p>
        </w:tc>
        <w:tc>
          <w:tcPr>
            <w:tcW w:w="1052" w:type="dxa"/>
            <w:shd w:val="clear" w:color="auto" w:fill="auto"/>
            <w:vAlign w:val="center"/>
          </w:tcPr>
          <w:p w14:paraId="3B193774" w14:textId="3F31CAE8" w:rsidR="00F950DD" w:rsidRPr="00D03B0C" w:rsidRDefault="0088556C" w:rsidP="00E57136">
            <w:pPr>
              <w:jc w:val="center"/>
            </w:pPr>
            <w:r>
              <w:t>78.3%</w:t>
            </w:r>
          </w:p>
        </w:tc>
        <w:tc>
          <w:tcPr>
            <w:tcW w:w="776" w:type="dxa"/>
            <w:shd w:val="clear" w:color="auto" w:fill="auto"/>
          </w:tcPr>
          <w:p w14:paraId="5171369B" w14:textId="77777777" w:rsidR="00F950DD" w:rsidRPr="00D03B0C" w:rsidRDefault="00F950DD" w:rsidP="009C7FD9"/>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88556C" w14:paraId="68CCCC52" w14:textId="77777777" w:rsidTr="009C7FD9">
        <w:trPr>
          <w:jc w:val="center"/>
        </w:trPr>
        <w:tc>
          <w:tcPr>
            <w:tcW w:w="4297" w:type="dxa"/>
            <w:shd w:val="clear" w:color="auto" w:fill="auto"/>
          </w:tcPr>
          <w:p w14:paraId="3C3489AB" w14:textId="77777777" w:rsidR="00D205AA" w:rsidRPr="006D2F6B" w:rsidRDefault="00D205AA" w:rsidP="009C7FD9">
            <w:pPr>
              <w:rPr>
                <w:b/>
              </w:rPr>
            </w:pPr>
            <w:r w:rsidRPr="006D2F6B">
              <w:rPr>
                <w:b/>
              </w:rPr>
              <w:t>Targets or Measures</w:t>
            </w:r>
          </w:p>
        </w:tc>
        <w:tc>
          <w:tcPr>
            <w:tcW w:w="790" w:type="dxa"/>
            <w:shd w:val="clear" w:color="auto" w:fill="auto"/>
          </w:tcPr>
          <w:p w14:paraId="4692361E" w14:textId="77777777" w:rsidR="00D205AA" w:rsidRPr="006D2F6B" w:rsidRDefault="00D205AA" w:rsidP="009C7FD9">
            <w:pPr>
              <w:jc w:val="center"/>
              <w:rPr>
                <w:b/>
              </w:rPr>
            </w:pPr>
            <w:r w:rsidRPr="006D2F6B">
              <w:rPr>
                <w:b/>
              </w:rPr>
              <w:t>Base</w:t>
            </w:r>
          </w:p>
        </w:tc>
        <w:tc>
          <w:tcPr>
            <w:tcW w:w="790" w:type="dxa"/>
            <w:shd w:val="clear" w:color="auto" w:fill="auto"/>
          </w:tcPr>
          <w:p w14:paraId="7233044C" w14:textId="77777777" w:rsidR="00D205AA" w:rsidRPr="006D2F6B" w:rsidRDefault="00D205AA" w:rsidP="009C7FD9">
            <w:pPr>
              <w:jc w:val="center"/>
              <w:rPr>
                <w:b/>
              </w:rPr>
            </w:pPr>
            <w:r w:rsidRPr="006D2F6B">
              <w:rPr>
                <w:b/>
              </w:rPr>
              <w:t>Year 1</w:t>
            </w:r>
          </w:p>
        </w:tc>
        <w:tc>
          <w:tcPr>
            <w:tcW w:w="790" w:type="dxa"/>
            <w:shd w:val="clear" w:color="auto" w:fill="auto"/>
          </w:tcPr>
          <w:p w14:paraId="2A38CAED" w14:textId="77777777" w:rsidR="00D205AA" w:rsidRPr="006D2F6B" w:rsidRDefault="00D205AA" w:rsidP="009C7FD9">
            <w:pPr>
              <w:jc w:val="center"/>
              <w:rPr>
                <w:b/>
              </w:rPr>
            </w:pPr>
            <w:r w:rsidRPr="006D2F6B">
              <w:rPr>
                <w:b/>
              </w:rPr>
              <w:t>Year 2</w:t>
            </w:r>
          </w:p>
        </w:tc>
        <w:tc>
          <w:tcPr>
            <w:tcW w:w="790" w:type="dxa"/>
            <w:shd w:val="clear" w:color="auto" w:fill="auto"/>
          </w:tcPr>
          <w:p w14:paraId="5FCDAE8D" w14:textId="77777777" w:rsidR="00D205AA" w:rsidRPr="006D2F6B" w:rsidRDefault="00D205AA" w:rsidP="009C7FD9">
            <w:pPr>
              <w:jc w:val="center"/>
              <w:rPr>
                <w:b/>
              </w:rPr>
            </w:pPr>
            <w:r w:rsidRPr="006D2F6B">
              <w:rPr>
                <w:b/>
              </w:rPr>
              <w:t>Year 3</w:t>
            </w:r>
          </w:p>
        </w:tc>
        <w:tc>
          <w:tcPr>
            <w:tcW w:w="790" w:type="dxa"/>
            <w:shd w:val="clear" w:color="auto" w:fill="auto"/>
          </w:tcPr>
          <w:p w14:paraId="70AE49DC" w14:textId="77777777" w:rsidR="00D205AA" w:rsidRPr="006D2F6B" w:rsidRDefault="00D205AA" w:rsidP="009C7FD9">
            <w:pPr>
              <w:jc w:val="center"/>
              <w:rPr>
                <w:b/>
              </w:rPr>
            </w:pPr>
            <w:r w:rsidRPr="006D2F6B">
              <w:rPr>
                <w:b/>
              </w:rPr>
              <w:t>Year 4</w:t>
            </w:r>
          </w:p>
        </w:tc>
        <w:tc>
          <w:tcPr>
            <w:tcW w:w="791" w:type="dxa"/>
            <w:shd w:val="clear" w:color="auto" w:fill="auto"/>
          </w:tcPr>
          <w:p w14:paraId="695479AD" w14:textId="77777777" w:rsidR="00D205AA" w:rsidRPr="006D2F6B" w:rsidRDefault="00D205AA" w:rsidP="009C7FD9">
            <w:pPr>
              <w:jc w:val="center"/>
              <w:rPr>
                <w:b/>
              </w:rPr>
            </w:pPr>
            <w:r w:rsidRPr="006D2F6B">
              <w:rPr>
                <w:b/>
              </w:rPr>
              <w:t>Year 5</w:t>
            </w:r>
          </w:p>
        </w:tc>
      </w:tr>
      <w:tr w:rsidR="0088556C" w14:paraId="45E8953B" w14:textId="77777777" w:rsidTr="00E57136">
        <w:trPr>
          <w:jc w:val="center"/>
        </w:trPr>
        <w:tc>
          <w:tcPr>
            <w:tcW w:w="4297" w:type="dxa"/>
            <w:shd w:val="clear" w:color="auto" w:fill="auto"/>
          </w:tcPr>
          <w:p w14:paraId="13C743E7" w14:textId="77777777" w:rsidR="00F50E3F" w:rsidRPr="006D2F6B" w:rsidRDefault="00F50E3F" w:rsidP="00F50E3F">
            <w:pPr>
              <w:pStyle w:val="PlainText"/>
            </w:pPr>
            <w:r>
              <w:t>Proportion of staff who agree that students are getting a good education at CDS improves by 2% points annually in the school satisfaction survey</w:t>
            </w:r>
          </w:p>
        </w:tc>
        <w:tc>
          <w:tcPr>
            <w:tcW w:w="790" w:type="dxa"/>
            <w:shd w:val="clear" w:color="auto" w:fill="auto"/>
          </w:tcPr>
          <w:p w14:paraId="5E84ADC9" w14:textId="0FD7D076" w:rsidR="00F50E3F" w:rsidRPr="006D2F6B" w:rsidRDefault="00F50E3F" w:rsidP="00F50E3F"/>
        </w:tc>
        <w:tc>
          <w:tcPr>
            <w:tcW w:w="790" w:type="dxa"/>
            <w:shd w:val="clear" w:color="auto" w:fill="auto"/>
            <w:vAlign w:val="center"/>
          </w:tcPr>
          <w:p w14:paraId="230BF30E" w14:textId="02D15782" w:rsidR="00F50E3F" w:rsidRPr="006D2F6B" w:rsidRDefault="0088556C" w:rsidP="00E57136">
            <w:pPr>
              <w:jc w:val="center"/>
            </w:pPr>
            <w:r>
              <w:t>86.2%</w:t>
            </w:r>
          </w:p>
        </w:tc>
        <w:tc>
          <w:tcPr>
            <w:tcW w:w="790" w:type="dxa"/>
            <w:shd w:val="clear" w:color="auto" w:fill="auto"/>
            <w:vAlign w:val="center"/>
          </w:tcPr>
          <w:p w14:paraId="1C781D4E" w14:textId="3416D9BD" w:rsidR="00F50E3F" w:rsidRPr="006D2F6B" w:rsidRDefault="0088556C" w:rsidP="00E57136">
            <w:pPr>
              <w:jc w:val="center"/>
            </w:pPr>
            <w:r>
              <w:t>100.0%</w:t>
            </w:r>
          </w:p>
        </w:tc>
        <w:tc>
          <w:tcPr>
            <w:tcW w:w="790" w:type="dxa"/>
            <w:shd w:val="clear" w:color="auto" w:fill="auto"/>
            <w:vAlign w:val="center"/>
          </w:tcPr>
          <w:p w14:paraId="4708FC2C" w14:textId="6BABF463" w:rsidR="00F50E3F" w:rsidRPr="006D2F6B" w:rsidRDefault="0088556C" w:rsidP="00E57136">
            <w:pPr>
              <w:jc w:val="center"/>
            </w:pPr>
            <w:r>
              <w:t>100.0%</w:t>
            </w:r>
          </w:p>
        </w:tc>
        <w:tc>
          <w:tcPr>
            <w:tcW w:w="790" w:type="dxa"/>
            <w:shd w:val="clear" w:color="auto" w:fill="auto"/>
            <w:vAlign w:val="center"/>
          </w:tcPr>
          <w:p w14:paraId="3EBEFEB9" w14:textId="3ECB6ACF" w:rsidR="00F50E3F" w:rsidRPr="006D2F6B" w:rsidRDefault="0088556C" w:rsidP="00E57136">
            <w:pPr>
              <w:jc w:val="center"/>
            </w:pPr>
            <w:r>
              <w:t>96.4%</w:t>
            </w:r>
          </w:p>
        </w:tc>
        <w:tc>
          <w:tcPr>
            <w:tcW w:w="791" w:type="dxa"/>
            <w:shd w:val="clear" w:color="auto" w:fill="auto"/>
          </w:tcPr>
          <w:p w14:paraId="403ED7C6" w14:textId="77777777" w:rsidR="00F50E3F" w:rsidRPr="006D2F6B" w:rsidRDefault="00F50E3F" w:rsidP="00F50E3F"/>
        </w:tc>
      </w:tr>
      <w:tr w:rsidR="0088556C" w14:paraId="51DA8A31" w14:textId="77777777" w:rsidTr="00E57136">
        <w:trPr>
          <w:jc w:val="center"/>
        </w:trPr>
        <w:tc>
          <w:tcPr>
            <w:tcW w:w="4297" w:type="dxa"/>
            <w:shd w:val="clear" w:color="auto" w:fill="auto"/>
          </w:tcPr>
          <w:p w14:paraId="06B1CB29" w14:textId="77777777" w:rsidR="00F50E3F" w:rsidRPr="006D2F6B" w:rsidRDefault="00F50E3F" w:rsidP="00F50E3F">
            <w:r>
              <w:t>Proportion of students who agree that students are getting a good education at CDS improves by 2% points annually in the school satisfaction survey</w:t>
            </w:r>
          </w:p>
        </w:tc>
        <w:tc>
          <w:tcPr>
            <w:tcW w:w="790" w:type="dxa"/>
            <w:shd w:val="clear" w:color="auto" w:fill="auto"/>
          </w:tcPr>
          <w:p w14:paraId="6DCB8563" w14:textId="6564F14B" w:rsidR="00F50E3F" w:rsidRPr="006D2F6B" w:rsidRDefault="00F50E3F" w:rsidP="00F50E3F"/>
        </w:tc>
        <w:tc>
          <w:tcPr>
            <w:tcW w:w="790" w:type="dxa"/>
            <w:shd w:val="clear" w:color="auto" w:fill="auto"/>
            <w:vAlign w:val="center"/>
          </w:tcPr>
          <w:p w14:paraId="33C90839" w14:textId="1CCD4FF5" w:rsidR="00F50E3F" w:rsidRPr="006D2F6B" w:rsidRDefault="0088556C" w:rsidP="00E57136">
            <w:pPr>
              <w:jc w:val="center"/>
            </w:pPr>
            <w:r>
              <w:t>91.2%</w:t>
            </w:r>
          </w:p>
        </w:tc>
        <w:tc>
          <w:tcPr>
            <w:tcW w:w="790" w:type="dxa"/>
            <w:shd w:val="clear" w:color="auto" w:fill="auto"/>
            <w:vAlign w:val="center"/>
          </w:tcPr>
          <w:p w14:paraId="424D43DB" w14:textId="0B812BCB" w:rsidR="00F50E3F" w:rsidRPr="006D2F6B" w:rsidRDefault="0088556C" w:rsidP="00E57136">
            <w:pPr>
              <w:jc w:val="center"/>
            </w:pPr>
            <w:r>
              <w:t>88.6%</w:t>
            </w:r>
          </w:p>
        </w:tc>
        <w:tc>
          <w:tcPr>
            <w:tcW w:w="790" w:type="dxa"/>
            <w:shd w:val="clear" w:color="auto" w:fill="auto"/>
            <w:vAlign w:val="center"/>
          </w:tcPr>
          <w:p w14:paraId="2930F789" w14:textId="7579D0A7" w:rsidR="00F50E3F" w:rsidRPr="006D2F6B" w:rsidRDefault="0088556C" w:rsidP="00E57136">
            <w:pPr>
              <w:jc w:val="center"/>
            </w:pPr>
            <w:r>
              <w:t>88.7%</w:t>
            </w:r>
          </w:p>
        </w:tc>
        <w:tc>
          <w:tcPr>
            <w:tcW w:w="790" w:type="dxa"/>
            <w:shd w:val="clear" w:color="auto" w:fill="auto"/>
            <w:vAlign w:val="center"/>
          </w:tcPr>
          <w:p w14:paraId="5695077A" w14:textId="5D468290" w:rsidR="00F50E3F" w:rsidRPr="006D2F6B" w:rsidRDefault="0088556C" w:rsidP="00E57136">
            <w:pPr>
              <w:jc w:val="center"/>
            </w:pPr>
            <w:r>
              <w:t>84.5%</w:t>
            </w:r>
          </w:p>
        </w:tc>
        <w:tc>
          <w:tcPr>
            <w:tcW w:w="791" w:type="dxa"/>
            <w:shd w:val="clear" w:color="auto" w:fill="auto"/>
          </w:tcPr>
          <w:p w14:paraId="2E4CC2D1" w14:textId="77777777" w:rsidR="00F50E3F" w:rsidRPr="006D2F6B" w:rsidRDefault="00F50E3F" w:rsidP="00F50E3F"/>
        </w:tc>
      </w:tr>
      <w:tr w:rsidR="0088556C" w14:paraId="30883D57" w14:textId="77777777" w:rsidTr="00E57136">
        <w:trPr>
          <w:jc w:val="center"/>
        </w:trPr>
        <w:tc>
          <w:tcPr>
            <w:tcW w:w="4297" w:type="dxa"/>
            <w:shd w:val="clear" w:color="auto" w:fill="auto"/>
          </w:tcPr>
          <w:p w14:paraId="47F45177" w14:textId="77777777" w:rsidR="00F50E3F" w:rsidRPr="006D2F6B" w:rsidRDefault="00F50E3F" w:rsidP="00F50E3F">
            <w:r>
              <w:lastRenderedPageBreak/>
              <w:t>Proportion of parents who agree that students are getting a good education at CDS improves by 2% points annually in the school satisfaction survey</w:t>
            </w:r>
          </w:p>
        </w:tc>
        <w:tc>
          <w:tcPr>
            <w:tcW w:w="790" w:type="dxa"/>
            <w:shd w:val="clear" w:color="auto" w:fill="auto"/>
          </w:tcPr>
          <w:p w14:paraId="02E63001" w14:textId="6C89AD73" w:rsidR="00F50E3F" w:rsidRPr="006D2F6B" w:rsidRDefault="00F50E3F" w:rsidP="00F50E3F"/>
        </w:tc>
        <w:tc>
          <w:tcPr>
            <w:tcW w:w="790" w:type="dxa"/>
            <w:shd w:val="clear" w:color="auto" w:fill="auto"/>
            <w:vAlign w:val="center"/>
          </w:tcPr>
          <w:p w14:paraId="53CC4DCF" w14:textId="750BBDBA" w:rsidR="00F50E3F" w:rsidRPr="006D2F6B" w:rsidRDefault="0088556C" w:rsidP="00E57136">
            <w:pPr>
              <w:jc w:val="center"/>
            </w:pPr>
            <w:r>
              <w:t>88.0%</w:t>
            </w:r>
          </w:p>
        </w:tc>
        <w:tc>
          <w:tcPr>
            <w:tcW w:w="790" w:type="dxa"/>
            <w:shd w:val="clear" w:color="auto" w:fill="auto"/>
            <w:vAlign w:val="center"/>
          </w:tcPr>
          <w:p w14:paraId="5FD1E7EC" w14:textId="5E7A8C98" w:rsidR="00F50E3F" w:rsidRPr="006D2F6B" w:rsidRDefault="0088556C" w:rsidP="00E57136">
            <w:pPr>
              <w:jc w:val="center"/>
            </w:pPr>
            <w:r>
              <w:t>92.9%</w:t>
            </w:r>
          </w:p>
        </w:tc>
        <w:tc>
          <w:tcPr>
            <w:tcW w:w="790" w:type="dxa"/>
            <w:shd w:val="clear" w:color="auto" w:fill="auto"/>
            <w:vAlign w:val="center"/>
          </w:tcPr>
          <w:p w14:paraId="12BB44E5" w14:textId="1E707F28" w:rsidR="00F50E3F" w:rsidRPr="006D2F6B" w:rsidRDefault="0088556C" w:rsidP="00E57136">
            <w:pPr>
              <w:jc w:val="center"/>
            </w:pPr>
            <w:r>
              <w:t>93.1%</w:t>
            </w:r>
          </w:p>
        </w:tc>
        <w:tc>
          <w:tcPr>
            <w:tcW w:w="790" w:type="dxa"/>
            <w:shd w:val="clear" w:color="auto" w:fill="auto"/>
            <w:vAlign w:val="center"/>
          </w:tcPr>
          <w:p w14:paraId="354EB7D8" w14:textId="5CCAF680" w:rsidR="00F50E3F" w:rsidRPr="006D2F6B" w:rsidRDefault="0088556C" w:rsidP="00E57136">
            <w:pPr>
              <w:jc w:val="center"/>
            </w:pPr>
            <w:r>
              <w:t>86.4%</w:t>
            </w:r>
          </w:p>
        </w:tc>
        <w:tc>
          <w:tcPr>
            <w:tcW w:w="791" w:type="dxa"/>
            <w:shd w:val="clear" w:color="auto" w:fill="auto"/>
          </w:tcPr>
          <w:p w14:paraId="27EFAB38" w14:textId="77777777" w:rsidR="00F50E3F" w:rsidRPr="006D2F6B" w:rsidRDefault="00F50E3F" w:rsidP="00F50E3F"/>
        </w:tc>
      </w:tr>
    </w:tbl>
    <w:p w14:paraId="02078B9E" w14:textId="77777777"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5A7D1DBC" w14:textId="77777777" w:rsidTr="00D03B0C">
        <w:trPr>
          <w:jc w:val="center"/>
        </w:trPr>
        <w:tc>
          <w:tcPr>
            <w:tcW w:w="4297" w:type="dxa"/>
            <w:shd w:val="clear" w:color="auto" w:fill="auto"/>
          </w:tcPr>
          <w:p w14:paraId="7683E7F7" w14:textId="77777777" w:rsidR="006D2F6B" w:rsidRPr="006D2F6B" w:rsidRDefault="006D2F6B" w:rsidP="00D03B0C">
            <w:pPr>
              <w:rPr>
                <w:b/>
              </w:rPr>
            </w:pPr>
            <w:r w:rsidRPr="006D2F6B">
              <w:rPr>
                <w:b/>
              </w:rPr>
              <w:t>Targets or Measures</w:t>
            </w:r>
          </w:p>
        </w:tc>
        <w:tc>
          <w:tcPr>
            <w:tcW w:w="790" w:type="dxa"/>
            <w:shd w:val="clear" w:color="auto" w:fill="auto"/>
          </w:tcPr>
          <w:p w14:paraId="40C2912B" w14:textId="77777777" w:rsidR="006D2F6B" w:rsidRDefault="006D2F6B" w:rsidP="00D56F59">
            <w:pPr>
              <w:jc w:val="center"/>
              <w:rPr>
                <w:b/>
              </w:rPr>
            </w:pPr>
            <w:r w:rsidRPr="006D2F6B">
              <w:rPr>
                <w:b/>
              </w:rPr>
              <w:t>Base</w:t>
            </w:r>
          </w:p>
          <w:p w14:paraId="3D66D815" w14:textId="3CB95A7F" w:rsidR="00637830" w:rsidRPr="006D2F6B" w:rsidRDefault="00637830" w:rsidP="00D56F59">
            <w:pPr>
              <w:jc w:val="center"/>
              <w:rPr>
                <w:b/>
              </w:rPr>
            </w:pPr>
            <w:r>
              <w:rPr>
                <w:b/>
              </w:rPr>
              <w:t>2015</w:t>
            </w:r>
          </w:p>
        </w:tc>
        <w:tc>
          <w:tcPr>
            <w:tcW w:w="790" w:type="dxa"/>
            <w:shd w:val="clear" w:color="auto" w:fill="auto"/>
          </w:tcPr>
          <w:p w14:paraId="2D7C7705" w14:textId="715F6596" w:rsidR="006D2F6B" w:rsidRPr="006D2F6B" w:rsidRDefault="00637830" w:rsidP="00D56F59">
            <w:pPr>
              <w:jc w:val="center"/>
              <w:rPr>
                <w:b/>
              </w:rPr>
            </w:pPr>
            <w:r>
              <w:rPr>
                <w:b/>
              </w:rPr>
              <w:t>2016</w:t>
            </w:r>
          </w:p>
        </w:tc>
        <w:tc>
          <w:tcPr>
            <w:tcW w:w="790" w:type="dxa"/>
            <w:shd w:val="clear" w:color="auto" w:fill="auto"/>
          </w:tcPr>
          <w:p w14:paraId="1AEEC90B" w14:textId="73C92A91" w:rsidR="006D2F6B" w:rsidRPr="006D2F6B" w:rsidRDefault="00637830" w:rsidP="00D56F59">
            <w:pPr>
              <w:jc w:val="center"/>
              <w:rPr>
                <w:b/>
              </w:rPr>
            </w:pPr>
            <w:r>
              <w:rPr>
                <w:b/>
              </w:rPr>
              <w:t>2017</w:t>
            </w:r>
          </w:p>
        </w:tc>
        <w:tc>
          <w:tcPr>
            <w:tcW w:w="790" w:type="dxa"/>
            <w:shd w:val="clear" w:color="auto" w:fill="auto"/>
          </w:tcPr>
          <w:p w14:paraId="55A376BF" w14:textId="0772FF48" w:rsidR="006D2F6B" w:rsidRPr="006D2F6B" w:rsidRDefault="00637830" w:rsidP="00D56F59">
            <w:pPr>
              <w:jc w:val="center"/>
              <w:rPr>
                <w:b/>
              </w:rPr>
            </w:pPr>
            <w:r>
              <w:rPr>
                <w:b/>
              </w:rPr>
              <w:t>2018</w:t>
            </w:r>
          </w:p>
        </w:tc>
        <w:tc>
          <w:tcPr>
            <w:tcW w:w="790" w:type="dxa"/>
            <w:shd w:val="clear" w:color="auto" w:fill="auto"/>
          </w:tcPr>
          <w:p w14:paraId="7B0F6FB9" w14:textId="61B81158" w:rsidR="006D2F6B" w:rsidRPr="006D2F6B" w:rsidRDefault="00637830" w:rsidP="00D56F59">
            <w:pPr>
              <w:jc w:val="center"/>
              <w:rPr>
                <w:b/>
              </w:rPr>
            </w:pPr>
            <w:r>
              <w:rPr>
                <w:b/>
              </w:rPr>
              <w:t>2019</w:t>
            </w:r>
          </w:p>
        </w:tc>
        <w:tc>
          <w:tcPr>
            <w:tcW w:w="791" w:type="dxa"/>
            <w:shd w:val="clear" w:color="auto" w:fill="auto"/>
          </w:tcPr>
          <w:p w14:paraId="1A3E1375" w14:textId="6D7E52E7" w:rsidR="006D2F6B" w:rsidRPr="006D2F6B" w:rsidRDefault="00637830" w:rsidP="00D56F59">
            <w:pPr>
              <w:jc w:val="center"/>
              <w:rPr>
                <w:b/>
              </w:rPr>
            </w:pPr>
            <w:r>
              <w:rPr>
                <w:b/>
              </w:rPr>
              <w:t>2020</w:t>
            </w:r>
          </w:p>
        </w:tc>
      </w:tr>
      <w:tr w:rsidR="006D2F6B" w14:paraId="511DB66E" w14:textId="77777777" w:rsidTr="00D03B0C">
        <w:trPr>
          <w:jc w:val="center"/>
        </w:trPr>
        <w:tc>
          <w:tcPr>
            <w:tcW w:w="4297" w:type="dxa"/>
            <w:shd w:val="clear" w:color="auto" w:fill="auto"/>
          </w:tcPr>
          <w:p w14:paraId="0CEA91E9" w14:textId="77777777" w:rsidR="006D2F6B" w:rsidRPr="006D2F6B" w:rsidRDefault="006D2F6B" w:rsidP="00D03B0C">
            <w:pPr>
              <w:pStyle w:val="PlainText"/>
            </w:pPr>
            <w:r w:rsidRPr="006D2F6B">
              <w:t>[SCHOOL TO COMPLETE]</w:t>
            </w:r>
          </w:p>
        </w:tc>
        <w:tc>
          <w:tcPr>
            <w:tcW w:w="790" w:type="dxa"/>
            <w:shd w:val="clear" w:color="auto" w:fill="auto"/>
          </w:tcPr>
          <w:p w14:paraId="1DEC5E9B" w14:textId="77777777" w:rsidR="006D2F6B" w:rsidRPr="006D2F6B" w:rsidRDefault="006D2F6B" w:rsidP="00D03B0C"/>
        </w:tc>
        <w:tc>
          <w:tcPr>
            <w:tcW w:w="790" w:type="dxa"/>
            <w:shd w:val="clear" w:color="auto" w:fill="auto"/>
          </w:tcPr>
          <w:p w14:paraId="0FF61450" w14:textId="77777777" w:rsidR="006D2F6B" w:rsidRPr="006D2F6B" w:rsidRDefault="006D2F6B" w:rsidP="00D03B0C"/>
        </w:tc>
        <w:tc>
          <w:tcPr>
            <w:tcW w:w="790" w:type="dxa"/>
            <w:shd w:val="clear" w:color="auto" w:fill="auto"/>
          </w:tcPr>
          <w:p w14:paraId="6E75F6C9" w14:textId="77777777" w:rsidR="006D2F6B" w:rsidRPr="006D2F6B" w:rsidRDefault="006D2F6B" w:rsidP="00D03B0C"/>
        </w:tc>
        <w:tc>
          <w:tcPr>
            <w:tcW w:w="790" w:type="dxa"/>
            <w:shd w:val="clear" w:color="auto" w:fill="auto"/>
          </w:tcPr>
          <w:p w14:paraId="3E895FED" w14:textId="77777777" w:rsidR="006D2F6B" w:rsidRPr="006D2F6B" w:rsidRDefault="006D2F6B" w:rsidP="00D03B0C"/>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r w:rsidR="006D2F6B" w14:paraId="67C433EE" w14:textId="77777777" w:rsidTr="00D03B0C">
        <w:trPr>
          <w:jc w:val="center"/>
        </w:trPr>
        <w:tc>
          <w:tcPr>
            <w:tcW w:w="4297" w:type="dxa"/>
            <w:shd w:val="clear" w:color="auto" w:fill="auto"/>
          </w:tcPr>
          <w:p w14:paraId="7BEC87F4" w14:textId="77777777" w:rsidR="006D2F6B" w:rsidRPr="006D2F6B" w:rsidRDefault="006D2F6B" w:rsidP="009C7FD9">
            <w:r w:rsidRPr="006D2F6B">
              <w:t>[SCHOOL TO COMPLETE]</w:t>
            </w:r>
          </w:p>
        </w:tc>
        <w:tc>
          <w:tcPr>
            <w:tcW w:w="790" w:type="dxa"/>
            <w:shd w:val="clear" w:color="auto" w:fill="auto"/>
          </w:tcPr>
          <w:p w14:paraId="3C288E5B" w14:textId="77777777" w:rsidR="006D2F6B" w:rsidRPr="006D2F6B" w:rsidRDefault="006D2F6B" w:rsidP="00D03B0C"/>
        </w:tc>
        <w:tc>
          <w:tcPr>
            <w:tcW w:w="790" w:type="dxa"/>
            <w:shd w:val="clear" w:color="auto" w:fill="auto"/>
          </w:tcPr>
          <w:p w14:paraId="7AEA167E" w14:textId="77777777" w:rsidR="006D2F6B" w:rsidRPr="006D2F6B" w:rsidRDefault="006D2F6B" w:rsidP="00D03B0C"/>
        </w:tc>
        <w:tc>
          <w:tcPr>
            <w:tcW w:w="790" w:type="dxa"/>
            <w:shd w:val="clear" w:color="auto" w:fill="auto"/>
          </w:tcPr>
          <w:p w14:paraId="016DCD06" w14:textId="77777777" w:rsidR="006D2F6B" w:rsidRPr="006D2F6B" w:rsidRDefault="006D2F6B" w:rsidP="00D03B0C"/>
        </w:tc>
        <w:tc>
          <w:tcPr>
            <w:tcW w:w="790" w:type="dxa"/>
            <w:shd w:val="clear" w:color="auto" w:fill="auto"/>
          </w:tcPr>
          <w:p w14:paraId="6C5F0C5C" w14:textId="77777777" w:rsidR="006D2F6B" w:rsidRPr="006D2F6B" w:rsidRDefault="006D2F6B" w:rsidP="00D03B0C"/>
        </w:tc>
        <w:tc>
          <w:tcPr>
            <w:tcW w:w="790" w:type="dxa"/>
            <w:shd w:val="clear" w:color="auto" w:fill="auto"/>
          </w:tcPr>
          <w:p w14:paraId="156A1392" w14:textId="77777777" w:rsidR="006D2F6B" w:rsidRPr="006D2F6B" w:rsidRDefault="006D2F6B" w:rsidP="00D03B0C"/>
        </w:tc>
        <w:tc>
          <w:tcPr>
            <w:tcW w:w="791" w:type="dxa"/>
            <w:shd w:val="clear" w:color="auto" w:fill="auto"/>
          </w:tcPr>
          <w:p w14:paraId="217D8781" w14:textId="77777777" w:rsidR="006D2F6B" w:rsidRPr="006D2F6B" w:rsidRDefault="006D2F6B" w:rsidP="00D03B0C"/>
        </w:tc>
      </w:tr>
    </w:tbl>
    <w:p w14:paraId="6D092A05" w14:textId="77777777" w:rsidR="008A01DA" w:rsidRDefault="008A01DA" w:rsidP="00E061B8">
      <w:pPr>
        <w:pStyle w:val="BodyText"/>
      </w:pPr>
    </w:p>
    <w:p w14:paraId="139DE5A0" w14:textId="17818ED1"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59E33CDA" w14:textId="74908D1B" w:rsidR="00A75E7F" w:rsidRDefault="00DF0744" w:rsidP="003C69DC">
            <w:pPr>
              <w:pStyle w:val="PlainText"/>
              <w:numPr>
                <w:ilvl w:val="0"/>
                <w:numId w:val="2"/>
              </w:numPr>
              <w:ind w:left="426" w:hanging="425"/>
            </w:pPr>
            <w:r>
              <w:t>The targets have been a hard set of data to interpret and relate to student progress</w:t>
            </w:r>
          </w:p>
          <w:p w14:paraId="0ED20BC0" w14:textId="1918B173" w:rsidR="00DF0744" w:rsidRDefault="00DF0744" w:rsidP="003C69DC">
            <w:pPr>
              <w:pStyle w:val="PlainText"/>
              <w:numPr>
                <w:ilvl w:val="0"/>
                <w:numId w:val="2"/>
              </w:numPr>
              <w:ind w:left="426" w:hanging="425"/>
            </w:pPr>
            <w:r>
              <w:t>There has been varied growth and decline across the measures, and not in a consistent pattern</w:t>
            </w:r>
          </w:p>
          <w:p w14:paraId="7FE04309" w14:textId="6A15C410" w:rsidR="00B1411C" w:rsidRDefault="00DF0744" w:rsidP="003C69DC">
            <w:pPr>
              <w:pStyle w:val="PlainText"/>
              <w:numPr>
                <w:ilvl w:val="0"/>
                <w:numId w:val="2"/>
              </w:numPr>
              <w:ind w:left="426" w:hanging="425"/>
            </w:pPr>
            <w:r>
              <w:t xml:space="preserve">The NAPLAN evidence continues to be positive with growth across Writing and Numeracy. Our Reading results </w:t>
            </w:r>
            <w:r w:rsidR="00B1411C">
              <w:t>in both Yr 3 and Yr 5 have marginally reduced</w:t>
            </w:r>
            <w:r w:rsidR="00D15E31">
              <w:t xml:space="preserve"> in 2019</w:t>
            </w:r>
          </w:p>
          <w:p w14:paraId="635C4CBC" w14:textId="5A1EE57A" w:rsidR="00DF0744" w:rsidRDefault="00B1411C" w:rsidP="003C69DC">
            <w:pPr>
              <w:pStyle w:val="PlainText"/>
              <w:numPr>
                <w:ilvl w:val="0"/>
                <w:numId w:val="2"/>
              </w:numPr>
              <w:ind w:left="426" w:hanging="425"/>
            </w:pPr>
            <w:r>
              <w:t xml:space="preserve">Across the school intervention and quality teaching practices continues to improve reading levels. </w:t>
            </w:r>
            <w:r w:rsidR="00DF0744">
              <w:t xml:space="preserve"> </w:t>
            </w:r>
          </w:p>
          <w:p w14:paraId="59D477DE" w14:textId="527C16F3" w:rsidR="00A75E7F" w:rsidRDefault="00B1411C" w:rsidP="003C69DC">
            <w:pPr>
              <w:pStyle w:val="PlainText"/>
              <w:numPr>
                <w:ilvl w:val="0"/>
                <w:numId w:val="2"/>
              </w:numPr>
              <w:ind w:left="426" w:hanging="425"/>
            </w:pPr>
            <w:r>
              <w:t>Future AP actions have returned to focusing on core Literacy practices to maintain Reading growth.</w:t>
            </w:r>
          </w:p>
          <w:p w14:paraId="2DFB70DA" w14:textId="0C284E50" w:rsidR="00161E50" w:rsidRDefault="009D0DF3" w:rsidP="006D2F6B">
            <w:pPr>
              <w:pStyle w:val="PlainText"/>
              <w:numPr>
                <w:ilvl w:val="0"/>
                <w:numId w:val="2"/>
              </w:numPr>
              <w:ind w:left="426" w:hanging="425"/>
            </w:pPr>
            <w:r>
              <w:t>Maintain focus on Inquiry Maths training and coaching</w:t>
            </w:r>
          </w:p>
        </w:tc>
      </w:tr>
    </w:tbl>
    <w:p w14:paraId="113E7E85" w14:textId="3B366277" w:rsidR="002F4184" w:rsidRDefault="00937D6F" w:rsidP="002F4184">
      <w:pPr>
        <w:pStyle w:val="Heading3"/>
      </w:pPr>
      <w:r>
        <w:t>Our achievements for this priority</w:t>
      </w:r>
    </w:p>
    <w:p w14:paraId="619C07DA" w14:textId="665061B4" w:rsidR="009D0DF3" w:rsidRPr="009D0DF3" w:rsidRDefault="009D0DF3" w:rsidP="009D0DF3">
      <w:pPr>
        <w:pStyle w:val="PlainText"/>
        <w:rPr>
          <w:b/>
          <w:bCs/>
        </w:rPr>
      </w:pPr>
      <w:r w:rsidRPr="009D0DF3">
        <w:rPr>
          <w:b/>
          <w:bCs/>
        </w:rPr>
        <w:t xml:space="preserve">Significant work being done </w:t>
      </w:r>
      <w:r w:rsidR="00CE256A">
        <w:rPr>
          <w:b/>
          <w:bCs/>
        </w:rPr>
        <w:t>with</w:t>
      </w:r>
      <w:r w:rsidRPr="009D0DF3">
        <w:rPr>
          <w:b/>
          <w:bCs/>
        </w:rPr>
        <w:t xml:space="preserve"> Numeracy </w:t>
      </w:r>
      <w:r w:rsidR="00CE256A">
        <w:rPr>
          <w:b/>
          <w:bCs/>
        </w:rPr>
        <w:t>across the</w:t>
      </w:r>
      <w:r w:rsidRPr="009D0DF3">
        <w:rPr>
          <w:b/>
          <w:bCs/>
        </w:rPr>
        <w:t xml:space="preserve"> whole school</w:t>
      </w:r>
    </w:p>
    <w:p w14:paraId="23D574F4" w14:textId="77777777" w:rsidR="009D0DF3" w:rsidRPr="00CE256A" w:rsidRDefault="009D0DF3" w:rsidP="00CE256A">
      <w:pPr>
        <w:spacing w:after="0" w:line="240" w:lineRule="auto"/>
        <w:textAlignment w:val="baseline"/>
        <w:rPr>
          <w:rFonts w:asciiTheme="majorHAnsi" w:eastAsia="Times New Roman" w:hAnsiTheme="majorHAnsi" w:cstheme="majorHAnsi"/>
          <w:b/>
          <w:color w:val="000000"/>
          <w:lang w:eastAsia="en-AU"/>
        </w:rPr>
      </w:pPr>
      <w:r w:rsidRPr="00CE256A">
        <w:rPr>
          <w:rFonts w:asciiTheme="majorHAnsi" w:eastAsia="Times New Roman" w:hAnsiTheme="majorHAnsi" w:cstheme="majorHAnsi"/>
          <w:b/>
          <w:color w:val="000000"/>
          <w:lang w:eastAsia="en-AU"/>
        </w:rPr>
        <w:t xml:space="preserve">Developed Whole School Beliefs and Practices </w:t>
      </w:r>
    </w:p>
    <w:p w14:paraId="4EF48A5C" w14:textId="77777777" w:rsidR="009D0DF3" w:rsidRPr="00E57136" w:rsidRDefault="009D0DF3" w:rsidP="00CE256A">
      <w:pPr>
        <w:numPr>
          <w:ilvl w:val="0"/>
          <w:numId w:val="20"/>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 xml:space="preserve">Ran beliefs and practices PL in 0 Week </w:t>
      </w:r>
    </w:p>
    <w:p w14:paraId="166CBD79" w14:textId="77777777" w:rsidR="009D0DF3" w:rsidRPr="00E57136" w:rsidRDefault="009D0DF3" w:rsidP="00CE256A">
      <w:pPr>
        <w:numPr>
          <w:ilvl w:val="0"/>
          <w:numId w:val="20"/>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Numeracy Strategic team reviewed</w:t>
      </w:r>
    </w:p>
    <w:p w14:paraId="64AD7A76" w14:textId="77777777" w:rsidR="009D0DF3" w:rsidRPr="00E57136" w:rsidRDefault="009D0DF3" w:rsidP="00CE256A">
      <w:pPr>
        <w:numPr>
          <w:ilvl w:val="0"/>
          <w:numId w:val="20"/>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Draft was presented to the staff for review - whole team </w:t>
      </w:r>
    </w:p>
    <w:p w14:paraId="6E3FE0D9" w14:textId="77777777" w:rsidR="009D0DF3" w:rsidRPr="00E57136" w:rsidRDefault="009D0DF3" w:rsidP="00CE256A">
      <w:pPr>
        <w:spacing w:after="0" w:line="240" w:lineRule="auto"/>
        <w:textAlignment w:val="baseline"/>
        <w:rPr>
          <w:rFonts w:eastAsia="Times New Roman" w:cstheme="minorHAnsi"/>
          <w:color w:val="000000"/>
          <w:lang w:eastAsia="en-AU"/>
        </w:rPr>
      </w:pPr>
    </w:p>
    <w:p w14:paraId="23A1D8D3" w14:textId="77777777" w:rsidR="009D0DF3" w:rsidRPr="00E57136" w:rsidRDefault="009D0DF3" w:rsidP="00CE256A">
      <w:pPr>
        <w:spacing w:after="0" w:line="240" w:lineRule="auto"/>
        <w:textAlignment w:val="baseline"/>
        <w:rPr>
          <w:rFonts w:ascii="Calibri" w:eastAsia="Times New Roman" w:hAnsi="Calibri" w:cs="Calibri"/>
          <w:b/>
          <w:color w:val="000000"/>
          <w:lang w:eastAsia="en-AU"/>
        </w:rPr>
      </w:pPr>
      <w:r w:rsidRPr="00E57136">
        <w:rPr>
          <w:rFonts w:ascii="Calibri" w:eastAsia="Times New Roman" w:hAnsi="Calibri" w:cs="Calibri"/>
          <w:b/>
          <w:color w:val="000000"/>
          <w:lang w:eastAsia="en-AU"/>
        </w:rPr>
        <w:t>PL in PANL Supported Practices for all staff</w:t>
      </w:r>
    </w:p>
    <w:p w14:paraId="1307D106" w14:textId="77777777" w:rsidR="009D0DF3" w:rsidRPr="00E57136" w:rsidRDefault="009D0DF3" w:rsidP="00CE256A">
      <w:pPr>
        <w:pStyle w:val="ListParagraph"/>
        <w:numPr>
          <w:ilvl w:val="0"/>
          <w:numId w:val="21"/>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Maths games PL run in term 2</w:t>
      </w:r>
    </w:p>
    <w:p w14:paraId="2DEA99C3" w14:textId="77777777" w:rsidR="009D0DF3" w:rsidRPr="00E57136" w:rsidRDefault="009D0DF3" w:rsidP="00CE256A">
      <w:pPr>
        <w:pStyle w:val="ListParagraph"/>
        <w:numPr>
          <w:ilvl w:val="0"/>
          <w:numId w:val="21"/>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Balanced Numeracy Block PL run in term 2</w:t>
      </w:r>
    </w:p>
    <w:p w14:paraId="1C19ABBA" w14:textId="77777777" w:rsidR="009D0DF3" w:rsidRPr="00E57136" w:rsidRDefault="009D0DF3" w:rsidP="00CE256A">
      <w:pPr>
        <w:pStyle w:val="ListParagraph"/>
        <w:numPr>
          <w:ilvl w:val="0"/>
          <w:numId w:val="21"/>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 xml:space="preserve">Mathematical language PL provided in term 3 </w:t>
      </w:r>
    </w:p>
    <w:p w14:paraId="1FDDC8E7" w14:textId="77777777" w:rsidR="009D0DF3" w:rsidRPr="00E57136" w:rsidRDefault="009D0DF3" w:rsidP="00CE256A">
      <w:pPr>
        <w:pStyle w:val="ListParagraph"/>
        <w:numPr>
          <w:ilvl w:val="0"/>
          <w:numId w:val="21"/>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 xml:space="preserve">LSA Skills sessions provided in the teaching of maths, mathematics learning progressions and mathematical language throughout the year </w:t>
      </w:r>
    </w:p>
    <w:p w14:paraId="1A710097" w14:textId="77777777" w:rsidR="009D0DF3" w:rsidRPr="00E57136" w:rsidRDefault="009D0DF3" w:rsidP="00CE256A">
      <w:pPr>
        <w:pStyle w:val="ListParagraph"/>
        <w:numPr>
          <w:ilvl w:val="0"/>
          <w:numId w:val="21"/>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Readings provided to help upskill teaching teams, coaches and staff</w:t>
      </w:r>
    </w:p>
    <w:p w14:paraId="7C305CF2" w14:textId="77777777" w:rsidR="009D0DF3" w:rsidRPr="00E57136" w:rsidRDefault="009D0DF3" w:rsidP="00CE256A">
      <w:pPr>
        <w:pStyle w:val="ListParagraph"/>
        <w:numPr>
          <w:ilvl w:val="0"/>
          <w:numId w:val="21"/>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Coaches upskilled staff in practices</w:t>
      </w:r>
    </w:p>
    <w:p w14:paraId="666AA3AD" w14:textId="77777777" w:rsidR="009D0DF3" w:rsidRPr="00E57136" w:rsidRDefault="009D0DF3" w:rsidP="00CE256A">
      <w:pPr>
        <w:spacing w:after="0" w:line="240" w:lineRule="auto"/>
        <w:textAlignment w:val="baseline"/>
        <w:rPr>
          <w:rFonts w:ascii="Calibri" w:eastAsia="Times New Roman" w:hAnsi="Calibri" w:cs="Calibri"/>
          <w:color w:val="000000"/>
          <w:lang w:eastAsia="en-AU"/>
        </w:rPr>
      </w:pPr>
    </w:p>
    <w:p w14:paraId="2416161E" w14:textId="77777777" w:rsidR="009D0DF3" w:rsidRPr="00E57136" w:rsidRDefault="009D0DF3" w:rsidP="00CE256A">
      <w:pPr>
        <w:spacing w:after="0" w:line="240" w:lineRule="auto"/>
        <w:textAlignment w:val="baseline"/>
        <w:rPr>
          <w:rFonts w:ascii="Calibri" w:eastAsia="Times New Roman" w:hAnsi="Calibri" w:cs="Calibri"/>
          <w:b/>
          <w:color w:val="000000"/>
          <w:lang w:eastAsia="en-AU"/>
        </w:rPr>
      </w:pPr>
      <w:r w:rsidRPr="00E57136">
        <w:rPr>
          <w:rFonts w:ascii="Calibri" w:eastAsia="Times New Roman" w:hAnsi="Calibri" w:cs="Calibri"/>
          <w:b/>
          <w:color w:val="000000"/>
          <w:lang w:eastAsia="en-AU"/>
        </w:rPr>
        <w:t>Resolve Mathematics PL provided to all staff</w:t>
      </w:r>
    </w:p>
    <w:p w14:paraId="7E5B3072" w14:textId="1EC13566" w:rsidR="009D0DF3" w:rsidRPr="00E57136" w:rsidRDefault="009D0DF3" w:rsidP="00CE256A">
      <w:pPr>
        <w:pStyle w:val="ListParagraph"/>
        <w:numPr>
          <w:ilvl w:val="0"/>
          <w:numId w:val="22"/>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 xml:space="preserve">8 modules of </w:t>
      </w:r>
      <w:r w:rsidR="00CE256A" w:rsidRPr="00E57136">
        <w:rPr>
          <w:rFonts w:ascii="Calibri" w:eastAsia="Times New Roman" w:hAnsi="Calibri" w:cs="Calibri"/>
          <w:color w:val="000000"/>
          <w:lang w:eastAsia="en-AU"/>
        </w:rPr>
        <w:t>resolve (Inquiry Maths)</w:t>
      </w:r>
      <w:r w:rsidRPr="00E57136">
        <w:rPr>
          <w:rFonts w:ascii="Calibri" w:eastAsia="Times New Roman" w:hAnsi="Calibri" w:cs="Calibri"/>
          <w:color w:val="000000"/>
          <w:lang w:eastAsia="en-AU"/>
        </w:rPr>
        <w:t xml:space="preserve"> training provided 2018-2019</w:t>
      </w:r>
    </w:p>
    <w:p w14:paraId="0B5E846C" w14:textId="77777777" w:rsidR="009D0DF3" w:rsidRPr="00E57136" w:rsidRDefault="009D0DF3" w:rsidP="00CE256A">
      <w:pPr>
        <w:spacing w:after="0" w:line="240" w:lineRule="auto"/>
        <w:textAlignment w:val="baseline"/>
        <w:rPr>
          <w:rFonts w:ascii="Calibri" w:eastAsia="Times New Roman" w:hAnsi="Calibri" w:cs="Calibri"/>
          <w:color w:val="000000"/>
          <w:lang w:eastAsia="en-AU"/>
        </w:rPr>
      </w:pPr>
    </w:p>
    <w:p w14:paraId="6E2F5D8C" w14:textId="77777777" w:rsidR="009D0DF3" w:rsidRPr="00E57136" w:rsidRDefault="009D0DF3" w:rsidP="00CE256A">
      <w:pPr>
        <w:spacing w:after="0" w:line="240" w:lineRule="auto"/>
        <w:textAlignment w:val="baseline"/>
        <w:rPr>
          <w:rFonts w:ascii="Calibri" w:eastAsia="Times New Roman" w:hAnsi="Calibri" w:cs="Calibri"/>
          <w:b/>
          <w:color w:val="000000"/>
          <w:lang w:eastAsia="en-AU"/>
        </w:rPr>
      </w:pPr>
      <w:r w:rsidRPr="00E57136">
        <w:rPr>
          <w:rFonts w:ascii="Calibri" w:eastAsia="Times New Roman" w:hAnsi="Calibri" w:cs="Calibri"/>
          <w:b/>
          <w:color w:val="000000"/>
          <w:lang w:eastAsia="en-AU"/>
        </w:rPr>
        <w:t>Mathematics tubs in all class spaces</w:t>
      </w:r>
    </w:p>
    <w:p w14:paraId="2A24AE56" w14:textId="77777777" w:rsidR="009D0DF3" w:rsidRPr="00E57136" w:rsidRDefault="009D0DF3" w:rsidP="00CE256A">
      <w:pPr>
        <w:pStyle w:val="ListParagraph"/>
        <w:numPr>
          <w:ilvl w:val="0"/>
          <w:numId w:val="22"/>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Staff nominated resources to be included in boxes</w:t>
      </w:r>
    </w:p>
    <w:p w14:paraId="5C40D110" w14:textId="77777777" w:rsidR="009D0DF3" w:rsidRPr="00E57136" w:rsidRDefault="009D0DF3" w:rsidP="00CE256A">
      <w:pPr>
        <w:pStyle w:val="ListParagraph"/>
        <w:numPr>
          <w:ilvl w:val="0"/>
          <w:numId w:val="22"/>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Resources purchased</w:t>
      </w:r>
    </w:p>
    <w:p w14:paraId="3DA13904" w14:textId="77777777" w:rsidR="009D0DF3" w:rsidRPr="00E57136" w:rsidRDefault="009D0DF3" w:rsidP="00CE256A">
      <w:pPr>
        <w:pStyle w:val="ListParagraph"/>
        <w:numPr>
          <w:ilvl w:val="0"/>
          <w:numId w:val="22"/>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Boxes distributed</w:t>
      </w:r>
    </w:p>
    <w:p w14:paraId="6D151F00" w14:textId="77777777" w:rsidR="009D0DF3" w:rsidRPr="00E57136" w:rsidRDefault="009D0DF3" w:rsidP="00CE256A">
      <w:pPr>
        <w:pStyle w:val="ListParagraph"/>
        <w:numPr>
          <w:ilvl w:val="0"/>
          <w:numId w:val="22"/>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Teams provided review on the resources provided</w:t>
      </w:r>
    </w:p>
    <w:p w14:paraId="5E5326F4" w14:textId="77777777" w:rsidR="009D0DF3" w:rsidRPr="00E57136" w:rsidRDefault="009D0DF3" w:rsidP="00CE256A">
      <w:pPr>
        <w:spacing w:after="0" w:line="240" w:lineRule="auto"/>
        <w:textAlignment w:val="baseline"/>
        <w:rPr>
          <w:rFonts w:ascii="Calibri" w:eastAsia="Times New Roman" w:hAnsi="Calibri" w:cs="Calibri"/>
          <w:color w:val="000000"/>
          <w:lang w:eastAsia="en-AU"/>
        </w:rPr>
      </w:pPr>
    </w:p>
    <w:p w14:paraId="370A4478" w14:textId="77777777" w:rsidR="009D0DF3" w:rsidRPr="00E57136" w:rsidRDefault="009D0DF3" w:rsidP="00CE256A">
      <w:pPr>
        <w:spacing w:after="0" w:line="240" w:lineRule="auto"/>
        <w:textAlignment w:val="baseline"/>
        <w:rPr>
          <w:rFonts w:ascii="Calibri" w:eastAsia="Times New Roman" w:hAnsi="Calibri" w:cs="Calibri"/>
          <w:b/>
          <w:color w:val="000000"/>
          <w:lang w:eastAsia="en-AU"/>
        </w:rPr>
      </w:pPr>
      <w:r w:rsidRPr="00E57136">
        <w:rPr>
          <w:rFonts w:ascii="Calibri" w:eastAsia="Times New Roman" w:hAnsi="Calibri" w:cs="Calibri"/>
          <w:b/>
          <w:color w:val="000000"/>
          <w:lang w:eastAsia="en-AU"/>
        </w:rPr>
        <w:t>Mathematics coaching for teaching staff</w:t>
      </w:r>
    </w:p>
    <w:p w14:paraId="1FF183AA" w14:textId="77777777" w:rsidR="009D0DF3" w:rsidRPr="00E57136" w:rsidRDefault="009D0DF3" w:rsidP="00CE256A">
      <w:pPr>
        <w:pStyle w:val="ListParagraph"/>
        <w:numPr>
          <w:ilvl w:val="0"/>
          <w:numId w:val="22"/>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Learning walks in term 3 with Numeracy Focus</w:t>
      </w:r>
    </w:p>
    <w:p w14:paraId="0F54E2F5" w14:textId="77777777" w:rsidR="009D0DF3" w:rsidRPr="00E57136" w:rsidRDefault="009D0DF3" w:rsidP="00CE256A">
      <w:pPr>
        <w:pStyle w:val="ListParagraph"/>
        <w:numPr>
          <w:ilvl w:val="0"/>
          <w:numId w:val="22"/>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Peer feedback in terms 3 and 4 with Mathematics Focus</w:t>
      </w:r>
    </w:p>
    <w:p w14:paraId="78D9F896" w14:textId="77777777" w:rsidR="00CE256A" w:rsidRPr="00E57136" w:rsidRDefault="009D0DF3" w:rsidP="00CE256A">
      <w:pPr>
        <w:pStyle w:val="ListParagraph"/>
        <w:numPr>
          <w:ilvl w:val="0"/>
          <w:numId w:val="22"/>
        </w:numPr>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 xml:space="preserve">One-on-one coaching </w:t>
      </w:r>
    </w:p>
    <w:p w14:paraId="31D063E8" w14:textId="0239A776" w:rsidR="009D0DF3" w:rsidRPr="00E57136" w:rsidRDefault="009D0DF3" w:rsidP="00CE256A">
      <w:pPr>
        <w:pStyle w:val="ListParagraph"/>
        <w:numPr>
          <w:ilvl w:val="0"/>
          <w:numId w:val="22"/>
        </w:numPr>
        <w:textAlignment w:val="baseline"/>
        <w:rPr>
          <w:rFonts w:ascii="Calibri" w:eastAsia="Times New Roman" w:hAnsi="Calibri" w:cs="Calibri"/>
          <w:color w:val="000000"/>
          <w:lang w:eastAsia="en-AU"/>
        </w:rPr>
      </w:pPr>
      <w:r w:rsidRPr="00E57136">
        <w:rPr>
          <w:rFonts w:ascii="Calibri" w:eastAsia="Times New Roman" w:hAnsi="Calibri" w:cs="Calibri"/>
          <w:bCs/>
          <w:color w:val="000000"/>
          <w:lang w:eastAsia="en-AU"/>
        </w:rPr>
        <w:t>Resolve Mathematics inquiry Coaching</w:t>
      </w:r>
    </w:p>
    <w:p w14:paraId="229594F9" w14:textId="77777777" w:rsidR="009D0DF3" w:rsidRPr="00E57136" w:rsidRDefault="009D0DF3" w:rsidP="00CE256A">
      <w:pPr>
        <w:pStyle w:val="ListParagraph"/>
        <w:numPr>
          <w:ilvl w:val="0"/>
          <w:numId w:val="22"/>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 xml:space="preserve">3 teachers now upskilled to be reSolve coaches </w:t>
      </w:r>
    </w:p>
    <w:p w14:paraId="5F80D831" w14:textId="77777777" w:rsidR="009D0DF3" w:rsidRPr="00E57136" w:rsidRDefault="009D0DF3" w:rsidP="00CE256A">
      <w:pPr>
        <w:pStyle w:val="ListParagraph"/>
        <w:numPr>
          <w:ilvl w:val="0"/>
          <w:numId w:val="22"/>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 xml:space="preserve">6 Teachers have been provided with reSolve Maths Coaching across the school </w:t>
      </w:r>
    </w:p>
    <w:p w14:paraId="358DBCCD" w14:textId="77777777" w:rsidR="009D0DF3" w:rsidRPr="00E57136" w:rsidRDefault="009D0DF3" w:rsidP="00CE256A">
      <w:pPr>
        <w:spacing w:after="0" w:line="240" w:lineRule="auto"/>
        <w:textAlignment w:val="baseline"/>
        <w:rPr>
          <w:rFonts w:ascii="Calibri" w:eastAsia="Times New Roman" w:hAnsi="Calibri" w:cs="Calibri"/>
          <w:b/>
          <w:color w:val="000000"/>
          <w:lang w:eastAsia="en-AU"/>
        </w:rPr>
      </w:pPr>
      <w:r w:rsidRPr="00E57136">
        <w:rPr>
          <w:rFonts w:ascii="Calibri" w:eastAsia="Times New Roman" w:hAnsi="Calibri" w:cs="Calibri"/>
          <w:b/>
          <w:color w:val="000000"/>
          <w:lang w:eastAsia="en-AU"/>
        </w:rPr>
        <w:t>A review of balanced Numeracy block planning formats and procedures </w:t>
      </w:r>
    </w:p>
    <w:p w14:paraId="1990D76C" w14:textId="77777777" w:rsidR="009D0DF3" w:rsidRPr="00E57136" w:rsidRDefault="009D0DF3" w:rsidP="00CE256A">
      <w:pPr>
        <w:pStyle w:val="ListParagraph"/>
        <w:numPr>
          <w:ilvl w:val="0"/>
          <w:numId w:val="23"/>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Whole school PL in Numeracy Block delivered in Term 2</w:t>
      </w:r>
    </w:p>
    <w:p w14:paraId="64A500A1" w14:textId="77777777" w:rsidR="009D0DF3" w:rsidRPr="00E57136" w:rsidRDefault="009D0DF3" w:rsidP="00CE256A">
      <w:pPr>
        <w:pStyle w:val="ListParagraph"/>
        <w:numPr>
          <w:ilvl w:val="0"/>
          <w:numId w:val="23"/>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Whole school maths planning documents updated to include planning for a balanced numeracy block</w:t>
      </w:r>
    </w:p>
    <w:p w14:paraId="29161BBF" w14:textId="77777777" w:rsidR="009D0DF3" w:rsidRPr="00E57136" w:rsidRDefault="009D0DF3" w:rsidP="00CE256A">
      <w:pPr>
        <w:spacing w:after="0" w:line="240" w:lineRule="auto"/>
        <w:textAlignment w:val="baseline"/>
        <w:rPr>
          <w:rFonts w:ascii="Calibri" w:eastAsia="Times New Roman" w:hAnsi="Calibri" w:cs="Calibri"/>
          <w:color w:val="000000"/>
          <w:lang w:eastAsia="en-AU"/>
        </w:rPr>
      </w:pPr>
    </w:p>
    <w:p w14:paraId="50334082" w14:textId="77777777" w:rsidR="009D0DF3" w:rsidRPr="00E57136" w:rsidRDefault="009D0DF3" w:rsidP="00CE256A">
      <w:pPr>
        <w:spacing w:after="0" w:line="240" w:lineRule="auto"/>
        <w:textAlignment w:val="baseline"/>
        <w:rPr>
          <w:rFonts w:ascii="Calibri" w:eastAsia="Times New Roman" w:hAnsi="Calibri" w:cs="Calibri"/>
          <w:b/>
          <w:color w:val="000000"/>
          <w:lang w:eastAsia="en-AU"/>
        </w:rPr>
      </w:pPr>
      <w:r w:rsidRPr="00E57136">
        <w:rPr>
          <w:rFonts w:ascii="Calibri" w:eastAsia="Times New Roman" w:hAnsi="Calibri" w:cs="Calibri"/>
          <w:b/>
          <w:color w:val="000000"/>
          <w:lang w:eastAsia="en-AU"/>
        </w:rPr>
        <w:t>Whole school Mathematics teaching and learning data collected by the strategic team</w:t>
      </w:r>
    </w:p>
    <w:p w14:paraId="593E9810" w14:textId="77777777" w:rsidR="009D0DF3" w:rsidRPr="00E57136" w:rsidRDefault="009D0DF3" w:rsidP="00CE256A">
      <w:pPr>
        <w:numPr>
          <w:ilvl w:val="0"/>
          <w:numId w:val="20"/>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Strategic team created a whole school survey to identify point of need for coaching, PL and support at CDS</w:t>
      </w:r>
    </w:p>
    <w:p w14:paraId="515C79AD" w14:textId="77777777" w:rsidR="009D0DF3" w:rsidRPr="00E57136" w:rsidRDefault="009D0DF3" w:rsidP="00CE256A">
      <w:pPr>
        <w:numPr>
          <w:ilvl w:val="0"/>
          <w:numId w:val="20"/>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Strategic team reviewed survey data</w:t>
      </w:r>
    </w:p>
    <w:p w14:paraId="0F5A8243" w14:textId="77777777" w:rsidR="00CE256A" w:rsidRPr="00E57136" w:rsidRDefault="00CE256A" w:rsidP="00CE256A">
      <w:pPr>
        <w:spacing w:after="0"/>
        <w:textAlignment w:val="baseline"/>
        <w:rPr>
          <w:rFonts w:ascii="Calibri" w:eastAsia="Times New Roman" w:hAnsi="Calibri" w:cs="Calibri"/>
          <w:b/>
          <w:color w:val="000000"/>
          <w:lang w:eastAsia="en-AU"/>
        </w:rPr>
      </w:pPr>
    </w:p>
    <w:p w14:paraId="75206D3B" w14:textId="5D227E77" w:rsidR="009D0DF3" w:rsidRPr="00E57136" w:rsidRDefault="009D0DF3" w:rsidP="00CE256A">
      <w:pPr>
        <w:spacing w:after="0" w:line="240" w:lineRule="auto"/>
        <w:textAlignment w:val="baseline"/>
        <w:rPr>
          <w:rFonts w:ascii="Calibri" w:eastAsia="Times New Roman" w:hAnsi="Calibri" w:cs="Calibri"/>
          <w:b/>
          <w:color w:val="000000"/>
          <w:lang w:eastAsia="en-AU"/>
        </w:rPr>
      </w:pPr>
      <w:r w:rsidRPr="00E57136">
        <w:rPr>
          <w:rFonts w:ascii="Calibri" w:eastAsia="Times New Roman" w:hAnsi="Calibri" w:cs="Calibri"/>
          <w:b/>
          <w:color w:val="000000"/>
          <w:lang w:eastAsia="en-AU"/>
        </w:rPr>
        <w:t xml:space="preserve">Ensure consistency in assessment across the school </w:t>
      </w:r>
    </w:p>
    <w:p w14:paraId="6FE2AB40" w14:textId="77777777" w:rsidR="00CE256A" w:rsidRPr="00E57136" w:rsidRDefault="009D0DF3" w:rsidP="00CE256A">
      <w:pPr>
        <w:pStyle w:val="ListParagraph"/>
        <w:numPr>
          <w:ilvl w:val="0"/>
          <w:numId w:val="24"/>
        </w:numPr>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Created SENA kits for use across the school</w:t>
      </w:r>
    </w:p>
    <w:p w14:paraId="5A3E31A4" w14:textId="36BC4653" w:rsidR="009D0DF3" w:rsidRPr="00E57136" w:rsidRDefault="009D0DF3" w:rsidP="00CE256A">
      <w:pPr>
        <w:pStyle w:val="ListParagraph"/>
        <w:numPr>
          <w:ilvl w:val="0"/>
          <w:numId w:val="24"/>
        </w:numPr>
        <w:spacing w:after="0" w:line="240" w:lineRule="auto"/>
        <w:textAlignment w:val="baseline"/>
        <w:rPr>
          <w:rFonts w:ascii="Calibri" w:eastAsia="Times New Roman" w:hAnsi="Calibri" w:cs="Calibri"/>
          <w:color w:val="000000"/>
          <w:lang w:eastAsia="en-AU"/>
        </w:rPr>
      </w:pPr>
      <w:r w:rsidRPr="00E57136">
        <w:rPr>
          <w:rFonts w:ascii="Calibri" w:eastAsia="Times New Roman" w:hAnsi="Calibri" w:cs="Calibri"/>
          <w:color w:val="000000"/>
          <w:lang w:eastAsia="en-AU"/>
        </w:rPr>
        <w:t>PAT Maths on Assessment schedule</w:t>
      </w:r>
    </w:p>
    <w:p w14:paraId="306C3CA2" w14:textId="34C1236A" w:rsidR="009D0DF3" w:rsidRPr="00E57136" w:rsidRDefault="009D0DF3" w:rsidP="00CE256A">
      <w:pPr>
        <w:spacing w:after="0" w:line="240" w:lineRule="auto"/>
        <w:rPr>
          <w:rFonts w:ascii="Calibri" w:hAnsi="Calibri" w:cs="Calibri"/>
        </w:rPr>
      </w:pPr>
    </w:p>
    <w:p w14:paraId="707857FF" w14:textId="7D56243B" w:rsidR="00CE256A" w:rsidRPr="00E57136" w:rsidRDefault="009B7B58" w:rsidP="00CE256A">
      <w:pPr>
        <w:spacing w:after="0" w:line="240" w:lineRule="auto"/>
        <w:rPr>
          <w:rFonts w:ascii="Calibri" w:hAnsi="Calibri" w:cs="Calibri"/>
          <w:b/>
          <w:bCs/>
        </w:rPr>
      </w:pPr>
      <w:r w:rsidRPr="00E57136">
        <w:rPr>
          <w:rFonts w:ascii="Calibri" w:hAnsi="Calibri" w:cs="Calibri"/>
          <w:b/>
          <w:bCs/>
        </w:rPr>
        <w:t>Inquiry strategic teams’ contribution to this priority</w:t>
      </w:r>
    </w:p>
    <w:p w14:paraId="6CB8DD06" w14:textId="0B04171C" w:rsidR="009B7B58" w:rsidRPr="00E57136" w:rsidRDefault="009B7B58" w:rsidP="00CE256A">
      <w:pPr>
        <w:spacing w:after="0" w:line="240" w:lineRule="auto"/>
        <w:rPr>
          <w:rFonts w:ascii="Calibri" w:hAnsi="Calibri" w:cs="Calibri"/>
          <w:b/>
          <w:bCs/>
        </w:rPr>
      </w:pPr>
    </w:p>
    <w:p w14:paraId="01C566AF" w14:textId="77777777" w:rsidR="009B7B58" w:rsidRPr="00E57136" w:rsidRDefault="009B7B58" w:rsidP="009B7B58">
      <w:pPr>
        <w:pStyle w:val="NormalWeb"/>
        <w:numPr>
          <w:ilvl w:val="0"/>
          <w:numId w:val="25"/>
        </w:numPr>
        <w:spacing w:before="0" w:beforeAutospacing="0" w:after="160" w:afterAutospacing="0"/>
        <w:rPr>
          <w:rFonts w:ascii="Calibri" w:hAnsi="Calibri" w:cs="Calibri"/>
        </w:rPr>
      </w:pPr>
      <w:r w:rsidRPr="00FE3249">
        <w:rPr>
          <w:rFonts w:ascii="Calibri" w:hAnsi="Calibri" w:cs="Calibri"/>
          <w:color w:val="000000"/>
          <w:sz w:val="22"/>
          <w:szCs w:val="22"/>
        </w:rPr>
        <w:t>Presented week 0 PL to the whole teaching team on using provocations to support questioning as part of the inquiry cycle.</w:t>
      </w:r>
    </w:p>
    <w:p w14:paraId="0D00F968" w14:textId="77777777" w:rsidR="009B7B58" w:rsidRPr="00E57136" w:rsidRDefault="009B7B58" w:rsidP="009B7B58">
      <w:pPr>
        <w:pStyle w:val="NormalWeb"/>
        <w:numPr>
          <w:ilvl w:val="0"/>
          <w:numId w:val="25"/>
        </w:numPr>
        <w:spacing w:before="0" w:beforeAutospacing="0" w:after="160" w:afterAutospacing="0"/>
        <w:rPr>
          <w:rFonts w:ascii="Calibri" w:hAnsi="Calibri" w:cs="Calibri"/>
        </w:rPr>
      </w:pPr>
      <w:r w:rsidRPr="00FE3249">
        <w:rPr>
          <w:rFonts w:ascii="Calibri" w:hAnsi="Calibri" w:cs="Calibri"/>
          <w:color w:val="000000"/>
          <w:sz w:val="22"/>
          <w:szCs w:val="22"/>
        </w:rPr>
        <w:t>Teaching teams are using a consistent planning document across the school, but with varying levels of sophistication.</w:t>
      </w:r>
    </w:p>
    <w:p w14:paraId="796CB63D" w14:textId="77777777" w:rsidR="009B7B58" w:rsidRPr="00E57136" w:rsidRDefault="009B7B58" w:rsidP="009B7B58">
      <w:pPr>
        <w:pStyle w:val="NormalWeb"/>
        <w:numPr>
          <w:ilvl w:val="0"/>
          <w:numId w:val="25"/>
        </w:numPr>
        <w:spacing w:before="0" w:beforeAutospacing="0" w:after="160" w:afterAutospacing="0"/>
        <w:rPr>
          <w:rFonts w:ascii="Calibri" w:hAnsi="Calibri" w:cs="Calibri"/>
        </w:rPr>
      </w:pPr>
      <w:r w:rsidRPr="00FE3249">
        <w:rPr>
          <w:rFonts w:ascii="Calibri" w:hAnsi="Calibri" w:cs="Calibri"/>
          <w:color w:val="000000"/>
          <w:sz w:val="22"/>
          <w:szCs w:val="22"/>
        </w:rPr>
        <w:t>In term two staff meeting, teams discussed and recorded their ideas and questions about inquiry at CDS. Watched a video with John Hattie explaining the size effect of inquiry, and how to avoid the pitfalls of non-effective inquiry teaching. Data was gathered on where teachers felt inquiry learning needed to go next (see last column)</w:t>
      </w:r>
    </w:p>
    <w:p w14:paraId="5A98407B" w14:textId="3D07352A" w:rsidR="009B7B58" w:rsidRPr="00E57136" w:rsidRDefault="009B7B58" w:rsidP="009B7B58">
      <w:pPr>
        <w:pStyle w:val="NormalWeb"/>
        <w:numPr>
          <w:ilvl w:val="0"/>
          <w:numId w:val="25"/>
        </w:numPr>
        <w:spacing w:before="0" w:beforeAutospacing="0" w:after="0" w:afterAutospacing="0"/>
        <w:rPr>
          <w:rFonts w:asciiTheme="minorHAnsi" w:hAnsiTheme="minorHAnsi" w:cstheme="minorHAnsi"/>
          <w:sz w:val="22"/>
          <w:szCs w:val="22"/>
        </w:rPr>
      </w:pPr>
      <w:r w:rsidRPr="00E57136">
        <w:rPr>
          <w:rFonts w:asciiTheme="minorHAnsi" w:hAnsiTheme="minorHAnsi" w:cstheme="minorHAnsi"/>
          <w:color w:val="000000"/>
          <w:sz w:val="22"/>
          <w:szCs w:val="22"/>
        </w:rPr>
        <w:t xml:space="preserve">A number of teachers attended </w:t>
      </w:r>
      <w:r w:rsidRPr="00E57136">
        <w:rPr>
          <w:rFonts w:asciiTheme="minorHAnsi" w:hAnsiTheme="minorHAnsi" w:cstheme="minorHAnsi"/>
          <w:i/>
          <w:iCs/>
          <w:color w:val="000000"/>
          <w:sz w:val="22"/>
          <w:szCs w:val="22"/>
        </w:rPr>
        <w:t xml:space="preserve">Inquiry learning: the whats, how’s and whys </w:t>
      </w:r>
      <w:r w:rsidRPr="00E57136">
        <w:rPr>
          <w:rFonts w:asciiTheme="minorHAnsi" w:hAnsiTheme="minorHAnsi" w:cstheme="minorHAnsi"/>
          <w:color w:val="000000"/>
          <w:sz w:val="22"/>
          <w:szCs w:val="22"/>
        </w:rPr>
        <w:t>presented by Kath Murdoch in term 3. From this session, we gained a clearer understanding of:</w:t>
      </w:r>
    </w:p>
    <w:p w14:paraId="1DEE82D5" w14:textId="6EBF826A" w:rsidR="009B7B58" w:rsidRPr="00E57136" w:rsidRDefault="009B7B58" w:rsidP="009B7B58">
      <w:pPr>
        <w:pStyle w:val="NormalWeb"/>
        <w:numPr>
          <w:ilvl w:val="1"/>
          <w:numId w:val="25"/>
        </w:numPr>
        <w:spacing w:before="0" w:beforeAutospacing="0" w:after="0" w:afterAutospacing="0"/>
        <w:rPr>
          <w:rFonts w:asciiTheme="minorHAnsi" w:hAnsiTheme="minorHAnsi" w:cstheme="minorHAnsi"/>
          <w:sz w:val="22"/>
          <w:szCs w:val="22"/>
        </w:rPr>
      </w:pPr>
      <w:r w:rsidRPr="00E57136">
        <w:rPr>
          <w:rFonts w:asciiTheme="minorHAnsi" w:hAnsiTheme="minorHAnsi" w:cstheme="minorHAnsi"/>
          <w:color w:val="000000"/>
          <w:sz w:val="22"/>
          <w:szCs w:val="22"/>
        </w:rPr>
        <w:t>what inquiry is</w:t>
      </w:r>
    </w:p>
    <w:p w14:paraId="621DD82E" w14:textId="795A59EF" w:rsidR="009B7B58" w:rsidRPr="00E57136" w:rsidRDefault="009B7B58" w:rsidP="009B7B58">
      <w:pPr>
        <w:pStyle w:val="NormalWeb"/>
        <w:numPr>
          <w:ilvl w:val="1"/>
          <w:numId w:val="25"/>
        </w:numPr>
        <w:spacing w:before="0" w:beforeAutospacing="0" w:after="0" w:afterAutospacing="0"/>
        <w:rPr>
          <w:rFonts w:asciiTheme="minorHAnsi" w:hAnsiTheme="minorHAnsi" w:cstheme="minorHAnsi"/>
          <w:sz w:val="22"/>
          <w:szCs w:val="22"/>
        </w:rPr>
      </w:pPr>
      <w:r w:rsidRPr="00E57136">
        <w:rPr>
          <w:rFonts w:asciiTheme="minorHAnsi" w:hAnsiTheme="minorHAnsi" w:cstheme="minorHAnsi"/>
          <w:color w:val="000000"/>
          <w:sz w:val="22"/>
          <w:szCs w:val="22"/>
        </w:rPr>
        <w:t>the inquiry planning cycle</w:t>
      </w:r>
    </w:p>
    <w:p w14:paraId="0D362252" w14:textId="77777777" w:rsidR="009B7B58" w:rsidRPr="00E57136" w:rsidRDefault="009B7B58" w:rsidP="009B7B58">
      <w:pPr>
        <w:pStyle w:val="NormalWeb"/>
        <w:numPr>
          <w:ilvl w:val="1"/>
          <w:numId w:val="25"/>
        </w:numPr>
        <w:spacing w:before="0" w:beforeAutospacing="0" w:after="0" w:afterAutospacing="0"/>
        <w:rPr>
          <w:rFonts w:asciiTheme="minorHAnsi" w:hAnsiTheme="minorHAnsi" w:cstheme="minorHAnsi"/>
          <w:sz w:val="22"/>
          <w:szCs w:val="22"/>
        </w:rPr>
      </w:pPr>
      <w:r w:rsidRPr="00E57136">
        <w:rPr>
          <w:rFonts w:asciiTheme="minorHAnsi" w:hAnsiTheme="minorHAnsi" w:cstheme="minorHAnsi"/>
          <w:color w:val="000000"/>
          <w:sz w:val="22"/>
          <w:szCs w:val="22"/>
        </w:rPr>
        <w:t>how to use the AC achievement standards to develop custom units of inquiry</w:t>
      </w:r>
    </w:p>
    <w:p w14:paraId="2D7A15DB" w14:textId="77777777" w:rsidR="00B9357F" w:rsidRPr="00E57136" w:rsidRDefault="009B7B58" w:rsidP="009B7B58">
      <w:pPr>
        <w:pStyle w:val="NormalWeb"/>
        <w:numPr>
          <w:ilvl w:val="0"/>
          <w:numId w:val="25"/>
        </w:numPr>
        <w:spacing w:before="0" w:beforeAutospacing="0" w:after="0" w:afterAutospacing="0"/>
        <w:rPr>
          <w:rFonts w:asciiTheme="minorHAnsi" w:hAnsiTheme="minorHAnsi" w:cstheme="minorHAnsi"/>
          <w:sz w:val="22"/>
          <w:szCs w:val="22"/>
        </w:rPr>
      </w:pPr>
      <w:r w:rsidRPr="00E57136">
        <w:rPr>
          <w:rFonts w:asciiTheme="minorHAnsi" w:hAnsiTheme="minorHAnsi" w:cstheme="minorHAnsi"/>
          <w:sz w:val="22"/>
          <w:szCs w:val="22"/>
        </w:rPr>
        <w:t xml:space="preserve">2020 plan </w:t>
      </w:r>
      <w:r w:rsidR="003C6C3E" w:rsidRPr="00E57136">
        <w:rPr>
          <w:rFonts w:asciiTheme="minorHAnsi" w:hAnsiTheme="minorHAnsi" w:cstheme="minorHAnsi"/>
          <w:sz w:val="22"/>
          <w:szCs w:val="22"/>
        </w:rPr>
        <w:t xml:space="preserve">in place to work on inquiry </w:t>
      </w:r>
      <w:r w:rsidR="00B9357F" w:rsidRPr="00E57136">
        <w:rPr>
          <w:rFonts w:asciiTheme="minorHAnsi" w:hAnsiTheme="minorHAnsi" w:cstheme="minorHAnsi"/>
          <w:sz w:val="22"/>
          <w:szCs w:val="22"/>
        </w:rPr>
        <w:t>approach</w:t>
      </w:r>
    </w:p>
    <w:p w14:paraId="2DFB3C65" w14:textId="01D397FA" w:rsidR="009B7B58" w:rsidRPr="00E57136" w:rsidRDefault="009B7B58" w:rsidP="00B9357F">
      <w:pPr>
        <w:pStyle w:val="NormalWeb"/>
        <w:spacing w:before="0" w:beforeAutospacing="0" w:after="0" w:afterAutospacing="0"/>
        <w:rPr>
          <w:rFonts w:asciiTheme="minorHAnsi" w:hAnsiTheme="minorHAnsi" w:cstheme="minorHAnsi"/>
          <w:sz w:val="22"/>
          <w:szCs w:val="22"/>
        </w:rPr>
      </w:pPr>
      <w:r w:rsidRPr="00E57136">
        <w:rPr>
          <w:rStyle w:val="apple-tab-span"/>
          <w:rFonts w:asciiTheme="minorHAnsi" w:eastAsia="Calibri" w:hAnsiTheme="minorHAnsi" w:cstheme="minorHAnsi"/>
          <w:color w:val="000000"/>
          <w:sz w:val="22"/>
          <w:szCs w:val="22"/>
        </w:rPr>
        <w:tab/>
      </w:r>
      <w:r w:rsidRPr="00E57136">
        <w:rPr>
          <w:rStyle w:val="apple-tab-span"/>
          <w:rFonts w:asciiTheme="minorHAnsi" w:eastAsia="Calibri" w:hAnsiTheme="minorHAnsi" w:cstheme="minorHAnsi"/>
          <w:color w:val="000000"/>
          <w:sz w:val="22"/>
          <w:szCs w:val="22"/>
        </w:rPr>
        <w:tab/>
      </w:r>
    </w:p>
    <w:p w14:paraId="36F73E40" w14:textId="20C23AB0" w:rsidR="009B7B58" w:rsidRPr="00FE3249" w:rsidRDefault="004F6B58" w:rsidP="00CE256A">
      <w:pPr>
        <w:spacing w:after="0" w:line="240" w:lineRule="auto"/>
        <w:rPr>
          <w:rFonts w:cstheme="minorHAnsi"/>
          <w:b/>
          <w:bCs/>
        </w:rPr>
      </w:pPr>
      <w:r w:rsidRPr="00FE3249">
        <w:rPr>
          <w:rFonts w:cstheme="minorHAnsi"/>
          <w:b/>
          <w:bCs/>
        </w:rPr>
        <w:t>Literacy Strategic team</w:t>
      </w:r>
    </w:p>
    <w:p w14:paraId="56523F30" w14:textId="2C4EF8B1" w:rsidR="004F6B58" w:rsidRPr="00843EFF" w:rsidRDefault="004F6B58" w:rsidP="00CE256A">
      <w:pPr>
        <w:spacing w:after="0" w:line="240" w:lineRule="auto"/>
        <w:rPr>
          <w:rFonts w:cstheme="minorHAnsi"/>
          <w:b/>
          <w:bCs/>
        </w:rPr>
      </w:pPr>
    </w:p>
    <w:p w14:paraId="27FC6902" w14:textId="77777777"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Revised writing moderation rubrics</w:t>
      </w:r>
    </w:p>
    <w:p w14:paraId="19553085" w14:textId="77777777"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Clear reporting and data timelines for writing</w:t>
      </w:r>
    </w:p>
    <w:p w14:paraId="74331A08" w14:textId="77777777"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Hot Writes are happening in classrooms but practice and timing are not yet consistent</w:t>
      </w:r>
    </w:p>
    <w:p w14:paraId="677A9C31" w14:textId="77777777"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Introductory spelling PL - spelling knowledges - morphology, etymology </w:t>
      </w:r>
    </w:p>
    <w:p w14:paraId="65C6E43B" w14:textId="77777777"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Writing/literacy coaches identified (Malvina, Gayle, Emily) and attended PL sessions</w:t>
      </w:r>
    </w:p>
    <w:p w14:paraId="1A2EA2DF" w14:textId="77777777"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Writing rubrics from the directorate writing action learning shared with literacy strategic team and staff for review</w:t>
      </w:r>
    </w:p>
    <w:p w14:paraId="0A2B0D05" w14:textId="77777777"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lastRenderedPageBreak/>
        <w:t>Writers Wall created and termly writing celebrations occurs in assembly</w:t>
      </w:r>
    </w:p>
    <w:p w14:paraId="309F41A6" w14:textId="77777777"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See Saw communication established in K-2; Google Classroom/Google Drive continues to be used in 3-6</w:t>
      </w:r>
    </w:p>
    <w:p w14:paraId="68A6460F" w14:textId="77777777"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10 essential literacy practices for all staff</w:t>
      </w:r>
    </w:p>
    <w:p w14:paraId="4DDA9599" w14:textId="77777777"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Exec master classes and workshops for coaches </w:t>
      </w:r>
    </w:p>
    <w:p w14:paraId="55A9FADA" w14:textId="4DEFD154"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 xml:space="preserve">Literacy practices handbook in draft - building on beliefs and practices </w:t>
      </w:r>
    </w:p>
    <w:p w14:paraId="043E5F9B" w14:textId="223F6460" w:rsidR="004F6B58" w:rsidRPr="00E57136" w:rsidRDefault="004F6B58" w:rsidP="004F6B58">
      <w:pPr>
        <w:numPr>
          <w:ilvl w:val="0"/>
          <w:numId w:val="26"/>
        </w:numPr>
        <w:spacing w:after="0" w:line="240" w:lineRule="auto"/>
        <w:textAlignment w:val="baseline"/>
        <w:rPr>
          <w:rFonts w:eastAsia="Times New Roman" w:cstheme="minorHAnsi"/>
          <w:color w:val="000000"/>
          <w:lang w:eastAsia="en-AU"/>
        </w:rPr>
      </w:pPr>
      <w:r w:rsidRPr="00E57136">
        <w:rPr>
          <w:rFonts w:eastAsia="Times New Roman" w:cstheme="minorHAnsi"/>
          <w:color w:val="000000"/>
          <w:lang w:eastAsia="en-AU"/>
        </w:rPr>
        <w:t xml:space="preserve">Presented at Leadership Symposium in Term 3. Selected as 1 of 3 schools who have had consecutive above expected growth in </w:t>
      </w:r>
      <w:r w:rsidR="00FE3249">
        <w:rPr>
          <w:rFonts w:eastAsia="Times New Roman" w:cstheme="minorHAnsi"/>
          <w:color w:val="000000"/>
          <w:lang w:eastAsia="en-AU"/>
        </w:rPr>
        <w:t>NAPLAN</w:t>
      </w:r>
      <w:r w:rsidRPr="00E57136">
        <w:rPr>
          <w:rFonts w:eastAsia="Times New Roman" w:cstheme="minorHAnsi"/>
          <w:color w:val="000000"/>
          <w:lang w:eastAsia="en-AU"/>
        </w:rPr>
        <w:t xml:space="preserve"> – Reading and Writing. Identified as a Spotlight School</w:t>
      </w:r>
    </w:p>
    <w:p w14:paraId="340790F0" w14:textId="1E462CBE"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6576A">
        <w:trPr>
          <w:trHeight w:val="116"/>
          <w:jc w:val="center"/>
        </w:trPr>
        <w:tc>
          <w:tcPr>
            <w:tcW w:w="9027" w:type="dxa"/>
            <w:shd w:val="clear" w:color="auto" w:fill="auto"/>
          </w:tcPr>
          <w:p w14:paraId="4D467D62" w14:textId="11AF046D" w:rsidR="00932E67" w:rsidRDefault="0006576A" w:rsidP="00932E67">
            <w:pPr>
              <w:pStyle w:val="ListBullet"/>
            </w:pPr>
            <w:r>
              <w:t>A</w:t>
            </w:r>
            <w:r w:rsidR="007D1460">
              <w:t>ddress drop in Reading Yr 3 and Yr 5.</w:t>
            </w:r>
          </w:p>
          <w:p w14:paraId="439C5F37" w14:textId="7C8288F3" w:rsidR="00937D6F" w:rsidRDefault="007D1460" w:rsidP="00932E67">
            <w:pPr>
              <w:pStyle w:val="ListBullet2"/>
            </w:pPr>
            <w:r>
              <w:t xml:space="preserve">Review </w:t>
            </w:r>
            <w:r w:rsidR="0006576A">
              <w:t xml:space="preserve">literacy </w:t>
            </w:r>
            <w:r>
              <w:t>workshops and staff training</w:t>
            </w:r>
          </w:p>
          <w:p w14:paraId="55E9E8C4" w14:textId="77777777" w:rsidR="007D1460" w:rsidRDefault="007D1460" w:rsidP="00932E67">
            <w:pPr>
              <w:pStyle w:val="ListBullet2"/>
            </w:pPr>
            <w:r>
              <w:t>Expand exec team seeking additional literacy expertise.</w:t>
            </w:r>
          </w:p>
          <w:p w14:paraId="635B8384" w14:textId="77777777" w:rsidR="007D1460" w:rsidRDefault="007D1460" w:rsidP="00932E67">
            <w:pPr>
              <w:pStyle w:val="ListBullet2"/>
            </w:pPr>
            <w:r>
              <w:t>Improve data collection</w:t>
            </w:r>
          </w:p>
          <w:p w14:paraId="2CCA8F47" w14:textId="77777777" w:rsidR="0006576A" w:rsidRDefault="0006576A" w:rsidP="00932E67">
            <w:pPr>
              <w:pStyle w:val="ListBullet2"/>
            </w:pPr>
            <w:r>
              <w:t>Improve schools PLC</w:t>
            </w:r>
          </w:p>
          <w:p w14:paraId="29F2BC66" w14:textId="77777777" w:rsidR="0006576A" w:rsidRDefault="0006576A" w:rsidP="00932E67">
            <w:pPr>
              <w:pStyle w:val="ListBullet2"/>
            </w:pPr>
            <w:r>
              <w:t>Maintain numeracy coaching and staff training</w:t>
            </w:r>
          </w:p>
          <w:p w14:paraId="58169629" w14:textId="77777777" w:rsidR="0006576A" w:rsidRDefault="0006576A" w:rsidP="00932E67">
            <w:pPr>
              <w:pStyle w:val="ListBullet2"/>
            </w:pPr>
            <w:r>
              <w:t xml:space="preserve">Continue to expand schools coaching model </w:t>
            </w:r>
          </w:p>
          <w:p w14:paraId="1D4CEC72" w14:textId="77777777" w:rsidR="0006576A" w:rsidRDefault="0006576A" w:rsidP="0006576A">
            <w:pPr>
              <w:pStyle w:val="ListBullet"/>
            </w:pPr>
            <w:r>
              <w:t xml:space="preserve">Expand Cultural Integrity to encompass more cross curricular opportunities. </w:t>
            </w:r>
          </w:p>
          <w:p w14:paraId="3CE2C337" w14:textId="77777777" w:rsidR="0006576A" w:rsidRDefault="0006576A" w:rsidP="0006576A">
            <w:pPr>
              <w:pStyle w:val="ListBullet2"/>
            </w:pPr>
            <w:r>
              <w:t>Refocus school action team</w:t>
            </w:r>
          </w:p>
          <w:p w14:paraId="41FF87E8" w14:textId="77777777" w:rsidR="0006576A" w:rsidRDefault="0006576A" w:rsidP="0006576A">
            <w:pPr>
              <w:pStyle w:val="ListBullet2"/>
            </w:pPr>
            <w:r>
              <w:t xml:space="preserve">Build systems that are long lasting and lead to embedded practice </w:t>
            </w:r>
          </w:p>
          <w:p w14:paraId="5D96F60A" w14:textId="77777777" w:rsidR="0006576A" w:rsidRDefault="0006576A" w:rsidP="0006576A">
            <w:pPr>
              <w:pStyle w:val="ListBullet"/>
            </w:pPr>
            <w:r>
              <w:t>Whole school focus on PLC</w:t>
            </w:r>
          </w:p>
          <w:p w14:paraId="310CC4F9" w14:textId="38CEB87C" w:rsidR="0006576A" w:rsidRDefault="00C12F28" w:rsidP="0006576A">
            <w:pPr>
              <w:pStyle w:val="ListBullet2"/>
            </w:pPr>
            <w:r>
              <w:t>Revisit</w:t>
            </w:r>
            <w:r w:rsidR="0006576A">
              <w:t xml:space="preserve"> Helen Timperl</w:t>
            </w:r>
            <w:r w:rsidR="00FA1396">
              <w:t>e</w:t>
            </w:r>
            <w:r w:rsidR="0006576A">
              <w:t>y inquiry spiral.</w:t>
            </w:r>
          </w:p>
          <w:p w14:paraId="21501890" w14:textId="687D8553" w:rsidR="0006576A" w:rsidRDefault="0006576A" w:rsidP="0006576A">
            <w:pPr>
              <w:pStyle w:val="ListBullet2"/>
            </w:pPr>
            <w:r>
              <w:t>Lead through Exec and whole school approach. Work into team PLC’s</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714093B2"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06576A">
        <w:t>Develop a culture that promotes learning for all through Positive Behaviours for Learning</w:t>
      </w:r>
    </w:p>
    <w:p w14:paraId="516A240E" w14:textId="77777777" w:rsidR="00EB70CE" w:rsidRPr="00837137" w:rsidRDefault="00EB70CE" w:rsidP="00EB70CE">
      <w:pPr>
        <w:pStyle w:val="Heading3"/>
      </w:pPr>
      <w:r w:rsidRPr="00837137">
        <w:t>Targets or measures</w:t>
      </w:r>
    </w:p>
    <w:p w14:paraId="6FF6208C" w14:textId="53C04DF5" w:rsidR="00EB70CE" w:rsidRDefault="00EB70CE" w:rsidP="00EB70CE">
      <w:pPr>
        <w:pStyle w:val="BodyText"/>
      </w:pPr>
      <w:r>
        <w:t>By the end of 20</w:t>
      </w:r>
      <w:r w:rsidR="00AC32B0">
        <w:t>20</w:t>
      </w:r>
      <w:r>
        <w:t xml:space="preserve"> we will achieve:</w:t>
      </w:r>
    </w:p>
    <w:p w14:paraId="37F4B825" w14:textId="77777777" w:rsidR="00AC32B0" w:rsidRDefault="00AC32B0" w:rsidP="00AC32B0">
      <w:pPr>
        <w:widowControl w:val="0"/>
        <w:numPr>
          <w:ilvl w:val="0"/>
          <w:numId w:val="27"/>
        </w:numPr>
        <w:spacing w:after="0" w:line="240" w:lineRule="auto"/>
        <w:ind w:hanging="360"/>
        <w:contextualSpacing/>
      </w:pPr>
      <w:r>
        <w:t>Proportion of staff, students and parents who believe the school has high expectations in all it does improves by 5% points</w:t>
      </w:r>
    </w:p>
    <w:p w14:paraId="4249375C" w14:textId="77777777" w:rsidR="00AC32B0" w:rsidRDefault="00AC32B0" w:rsidP="00AC32B0">
      <w:pPr>
        <w:widowControl w:val="0"/>
        <w:numPr>
          <w:ilvl w:val="0"/>
          <w:numId w:val="27"/>
        </w:numPr>
        <w:spacing w:after="0" w:line="240" w:lineRule="auto"/>
        <w:ind w:hanging="360"/>
        <w:contextualSpacing/>
      </w:pPr>
      <w:r>
        <w:t>Proportion of staff, students and parents who agree teachers at the school motivate students to learn improves by 5% points</w:t>
      </w:r>
    </w:p>
    <w:p w14:paraId="0DDDAF0C" w14:textId="77777777" w:rsidR="00AC32B0" w:rsidRDefault="00AC32B0" w:rsidP="00AC32B0">
      <w:pPr>
        <w:widowControl w:val="0"/>
        <w:numPr>
          <w:ilvl w:val="0"/>
          <w:numId w:val="27"/>
        </w:numPr>
        <w:spacing w:after="0" w:line="240" w:lineRule="auto"/>
        <w:ind w:hanging="360"/>
        <w:contextualSpacing/>
      </w:pPr>
      <w:r>
        <w:t>Proportion of staff, students and parents who agree student behaviour is well managed at the school by 5% points</w:t>
      </w:r>
    </w:p>
    <w:p w14:paraId="0C91250C" w14:textId="77777777" w:rsidR="00AC32B0" w:rsidRDefault="00AC32B0" w:rsidP="00AC32B0">
      <w:pPr>
        <w:widowControl w:val="0"/>
        <w:numPr>
          <w:ilvl w:val="0"/>
          <w:numId w:val="27"/>
        </w:numPr>
        <w:spacing w:after="0" w:line="240" w:lineRule="auto"/>
        <w:ind w:hanging="360"/>
        <w:contextualSpacing/>
      </w:pPr>
      <w:r>
        <w:t xml:space="preserve">Proportion of staff, students and parents who agree that students feel safe at school improves by 5% points </w:t>
      </w:r>
    </w:p>
    <w:p w14:paraId="3746EDFD" w14:textId="77777777" w:rsidR="00AC32B0" w:rsidRDefault="00AC32B0" w:rsidP="00AC32B0">
      <w:pPr>
        <w:widowControl w:val="0"/>
        <w:numPr>
          <w:ilvl w:val="0"/>
          <w:numId w:val="27"/>
        </w:numPr>
        <w:spacing w:after="0" w:line="240" w:lineRule="auto"/>
        <w:ind w:hanging="360"/>
        <w:contextualSpacing/>
      </w:pPr>
      <w:r>
        <w:t xml:space="preserve">Proportion of parents who believe they are encouraged to be involved in the school as partners in their children’s learning improves by 5% points </w:t>
      </w:r>
    </w:p>
    <w:p w14:paraId="3724D854" w14:textId="49DF618D" w:rsidR="00AC32B0" w:rsidRDefault="00AC32B0" w:rsidP="00AC32B0">
      <w:pPr>
        <w:widowControl w:val="0"/>
        <w:numPr>
          <w:ilvl w:val="0"/>
          <w:numId w:val="27"/>
        </w:numPr>
        <w:spacing w:after="0" w:line="240" w:lineRule="auto"/>
        <w:ind w:hanging="360"/>
        <w:contextualSpacing/>
      </w:pPr>
      <w:r>
        <w:t xml:space="preserve">Proportion of staff, students and parents who believe the school promotes </w:t>
      </w:r>
      <w:r w:rsidR="006467A8">
        <w:t>wellbeing</w:t>
      </w:r>
      <w:r>
        <w:t xml:space="preserve"> improves by 5% points </w:t>
      </w:r>
    </w:p>
    <w:p w14:paraId="6BF90988" w14:textId="48176998" w:rsidR="00EB70CE" w:rsidRPr="00373DC0" w:rsidRDefault="00EB70CE" w:rsidP="00EB70CE">
      <w:pPr>
        <w:pStyle w:val="BodyText"/>
      </w:pPr>
      <w:r w:rsidRPr="00373DC0">
        <w:t>In 20</w:t>
      </w:r>
      <w:r w:rsidR="00AC32B0">
        <w:t>19</w:t>
      </w:r>
      <w:r w:rsidRPr="00373DC0">
        <w:t xml:space="preserve"> we </w:t>
      </w:r>
      <w:r>
        <w:t>implemented</w:t>
      </w:r>
      <w:r w:rsidRPr="00373DC0">
        <w:t xml:space="preserve"> this priority throug</w:t>
      </w:r>
      <w:r>
        <w:t xml:space="preserve">h the following </w:t>
      </w:r>
      <w:r w:rsidRPr="00373DC0">
        <w:t>strategies.</w:t>
      </w:r>
    </w:p>
    <w:p w14:paraId="78184130" w14:textId="77777777" w:rsidR="00AC32B0" w:rsidRDefault="00AC32B0" w:rsidP="00EB70CE">
      <w:pPr>
        <w:pStyle w:val="ListBullet"/>
      </w:pPr>
      <w:r>
        <w:rPr>
          <w:rFonts w:ascii="Calibri" w:hAnsi="Calibri" w:cs="Calibri"/>
          <w:color w:val="000000"/>
        </w:rPr>
        <w:t>Improve differentiated learning across the school P-6</w:t>
      </w:r>
      <w:r>
        <w:t xml:space="preserve"> </w:t>
      </w:r>
    </w:p>
    <w:p w14:paraId="13F17F2B" w14:textId="3524C23A" w:rsidR="00EB70CE" w:rsidRDefault="00AC32B0" w:rsidP="00EB70CE">
      <w:pPr>
        <w:pStyle w:val="ListBullet"/>
      </w:pPr>
      <w:r>
        <w:rPr>
          <w:rFonts w:ascii="Calibri" w:hAnsi="Calibri" w:cs="Calibri"/>
          <w:color w:val="000000"/>
        </w:rPr>
        <w:t>Improve the engagement of families from diverse backgrounds in the school</w:t>
      </w:r>
    </w:p>
    <w:p w14:paraId="32A84660" w14:textId="0555546D"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19AE3BF6" w:rsidR="00EB70CE" w:rsidRPr="00C0648C" w:rsidRDefault="00EB70CE" w:rsidP="00EB70CE">
      <w:pPr>
        <w:pStyle w:val="Heading4"/>
      </w:pPr>
    </w:p>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393"/>
        <w:gridCol w:w="738"/>
        <w:gridCol w:w="1052"/>
        <w:gridCol w:w="1052"/>
        <w:gridCol w:w="996"/>
        <w:gridCol w:w="1052"/>
        <w:gridCol w:w="755"/>
      </w:tblGrid>
      <w:tr w:rsidR="009C7FD9" w14:paraId="1396D008" w14:textId="77777777" w:rsidTr="00E57136">
        <w:trPr>
          <w:jc w:val="center"/>
        </w:trPr>
        <w:tc>
          <w:tcPr>
            <w:tcW w:w="3393" w:type="dxa"/>
            <w:shd w:val="clear" w:color="auto" w:fill="auto"/>
            <w:vAlign w:val="center"/>
          </w:tcPr>
          <w:p w14:paraId="6A81EE33" w14:textId="0EF7FBA6" w:rsidR="009C7FD9" w:rsidRPr="006D2F6B" w:rsidRDefault="009C7FD9" w:rsidP="00E57136">
            <w:pPr>
              <w:jc w:val="center"/>
              <w:rPr>
                <w:b/>
              </w:rPr>
            </w:pPr>
            <w:r w:rsidRPr="00D03B0C">
              <w:rPr>
                <w:b/>
              </w:rPr>
              <w:t>Targets or Measures</w:t>
            </w:r>
          </w:p>
        </w:tc>
        <w:tc>
          <w:tcPr>
            <w:tcW w:w="738" w:type="dxa"/>
            <w:shd w:val="clear" w:color="auto" w:fill="auto"/>
            <w:vAlign w:val="center"/>
          </w:tcPr>
          <w:p w14:paraId="398BB894" w14:textId="02C3BB4A" w:rsidR="00C12F28" w:rsidRDefault="00C12F28" w:rsidP="007E596F">
            <w:pPr>
              <w:jc w:val="center"/>
              <w:rPr>
                <w:b/>
              </w:rPr>
            </w:pPr>
            <w:r>
              <w:rPr>
                <w:b/>
              </w:rPr>
              <w:t>Base</w:t>
            </w:r>
          </w:p>
          <w:p w14:paraId="159C188F" w14:textId="69C4AF73" w:rsidR="009C7FD9" w:rsidRPr="006D2F6B" w:rsidRDefault="009C7FD9" w:rsidP="007E596F">
            <w:pPr>
              <w:jc w:val="center"/>
              <w:rPr>
                <w:b/>
              </w:rPr>
            </w:pPr>
            <w:r>
              <w:rPr>
                <w:b/>
              </w:rPr>
              <w:t>2015</w:t>
            </w:r>
          </w:p>
        </w:tc>
        <w:tc>
          <w:tcPr>
            <w:tcW w:w="1052" w:type="dxa"/>
            <w:shd w:val="clear" w:color="auto" w:fill="auto"/>
            <w:vAlign w:val="center"/>
          </w:tcPr>
          <w:p w14:paraId="2066ED5C" w14:textId="0E09F54F" w:rsidR="009C7FD9" w:rsidRPr="006D2F6B" w:rsidRDefault="009C7FD9" w:rsidP="007E596F">
            <w:pPr>
              <w:jc w:val="center"/>
              <w:rPr>
                <w:b/>
              </w:rPr>
            </w:pPr>
            <w:r>
              <w:rPr>
                <w:b/>
              </w:rPr>
              <w:t>2016</w:t>
            </w:r>
          </w:p>
        </w:tc>
        <w:tc>
          <w:tcPr>
            <w:tcW w:w="1052" w:type="dxa"/>
            <w:shd w:val="clear" w:color="auto" w:fill="auto"/>
            <w:vAlign w:val="center"/>
          </w:tcPr>
          <w:p w14:paraId="27AC99DF" w14:textId="410CB2F5" w:rsidR="009C7FD9" w:rsidRPr="006D2F6B" w:rsidRDefault="009C7FD9" w:rsidP="007E596F">
            <w:pPr>
              <w:jc w:val="center"/>
              <w:rPr>
                <w:b/>
              </w:rPr>
            </w:pPr>
            <w:r>
              <w:rPr>
                <w:b/>
              </w:rPr>
              <w:t>2017</w:t>
            </w:r>
          </w:p>
        </w:tc>
        <w:tc>
          <w:tcPr>
            <w:tcW w:w="996" w:type="dxa"/>
            <w:shd w:val="clear" w:color="auto" w:fill="auto"/>
            <w:vAlign w:val="center"/>
          </w:tcPr>
          <w:p w14:paraId="2397C360" w14:textId="1507C3A4" w:rsidR="009C7FD9" w:rsidRPr="006D2F6B" w:rsidRDefault="009C7FD9" w:rsidP="0095770B">
            <w:pPr>
              <w:jc w:val="center"/>
              <w:rPr>
                <w:b/>
              </w:rPr>
            </w:pPr>
            <w:r>
              <w:rPr>
                <w:b/>
              </w:rPr>
              <w:t>2018</w:t>
            </w:r>
          </w:p>
        </w:tc>
        <w:tc>
          <w:tcPr>
            <w:tcW w:w="1052" w:type="dxa"/>
            <w:shd w:val="clear" w:color="auto" w:fill="auto"/>
            <w:vAlign w:val="center"/>
          </w:tcPr>
          <w:p w14:paraId="102EF8AB" w14:textId="3A1BFD4E" w:rsidR="009C7FD9" w:rsidRPr="006D2F6B" w:rsidRDefault="009C7FD9">
            <w:pPr>
              <w:jc w:val="center"/>
              <w:rPr>
                <w:b/>
              </w:rPr>
            </w:pPr>
            <w:r>
              <w:rPr>
                <w:b/>
              </w:rPr>
              <w:t>2019</w:t>
            </w:r>
          </w:p>
        </w:tc>
        <w:tc>
          <w:tcPr>
            <w:tcW w:w="755" w:type="dxa"/>
            <w:shd w:val="clear" w:color="auto" w:fill="auto"/>
            <w:vAlign w:val="center"/>
          </w:tcPr>
          <w:p w14:paraId="750673D6" w14:textId="20D55E35" w:rsidR="009C7FD9" w:rsidRPr="006D2F6B" w:rsidRDefault="009C7FD9">
            <w:pPr>
              <w:jc w:val="center"/>
              <w:rPr>
                <w:b/>
              </w:rPr>
            </w:pPr>
            <w:r>
              <w:rPr>
                <w:b/>
              </w:rPr>
              <w:t>2020</w:t>
            </w:r>
          </w:p>
        </w:tc>
      </w:tr>
      <w:tr w:rsidR="009C7FD9" w14:paraId="79E2AF22" w14:textId="77777777" w:rsidTr="00E57136">
        <w:trPr>
          <w:jc w:val="center"/>
        </w:trPr>
        <w:tc>
          <w:tcPr>
            <w:tcW w:w="3393" w:type="dxa"/>
            <w:shd w:val="clear" w:color="auto" w:fill="auto"/>
          </w:tcPr>
          <w:p w14:paraId="049E7632" w14:textId="348BDF56" w:rsidR="009C7FD9" w:rsidRPr="006D2F6B" w:rsidRDefault="009C7FD9" w:rsidP="009C7FD9">
            <w:pPr>
              <w:pStyle w:val="PlainText"/>
            </w:pPr>
            <w:r>
              <w:t>Proportion of staff who believe the school has high expectations in all it does improves by 5% points</w:t>
            </w:r>
          </w:p>
        </w:tc>
        <w:tc>
          <w:tcPr>
            <w:tcW w:w="738" w:type="dxa"/>
            <w:shd w:val="clear" w:color="auto" w:fill="auto"/>
            <w:vAlign w:val="center"/>
          </w:tcPr>
          <w:p w14:paraId="4E29000E" w14:textId="4C3F08C2" w:rsidR="009C7FD9" w:rsidRPr="006D2F6B" w:rsidRDefault="009C7FD9" w:rsidP="00E57136">
            <w:pPr>
              <w:jc w:val="center"/>
            </w:pPr>
          </w:p>
        </w:tc>
        <w:tc>
          <w:tcPr>
            <w:tcW w:w="1052" w:type="dxa"/>
            <w:shd w:val="clear" w:color="auto" w:fill="auto"/>
            <w:vAlign w:val="center"/>
          </w:tcPr>
          <w:p w14:paraId="15F3F327" w14:textId="6E5BBED8" w:rsidR="009C7FD9" w:rsidRPr="006D2F6B" w:rsidRDefault="00533499" w:rsidP="00E57136">
            <w:pPr>
              <w:jc w:val="center"/>
            </w:pPr>
            <w:r>
              <w:t>93.1</w:t>
            </w:r>
            <w:r w:rsidR="00C12F28">
              <w:t>%</w:t>
            </w:r>
          </w:p>
        </w:tc>
        <w:tc>
          <w:tcPr>
            <w:tcW w:w="1052" w:type="dxa"/>
            <w:shd w:val="clear" w:color="auto" w:fill="auto"/>
            <w:vAlign w:val="center"/>
          </w:tcPr>
          <w:p w14:paraId="4AC3DF62" w14:textId="50B55DC7" w:rsidR="009C7FD9" w:rsidRPr="006D2F6B" w:rsidRDefault="00533499" w:rsidP="00E57136">
            <w:pPr>
              <w:jc w:val="center"/>
            </w:pPr>
            <w:r>
              <w:t>90.3</w:t>
            </w:r>
            <w:r w:rsidR="00C12F28">
              <w:t>%</w:t>
            </w:r>
          </w:p>
        </w:tc>
        <w:tc>
          <w:tcPr>
            <w:tcW w:w="996" w:type="dxa"/>
            <w:shd w:val="clear" w:color="auto" w:fill="auto"/>
            <w:vAlign w:val="center"/>
          </w:tcPr>
          <w:p w14:paraId="575D7FA0" w14:textId="58DB7821" w:rsidR="009C7FD9" w:rsidRPr="006D2F6B" w:rsidRDefault="00533499" w:rsidP="00E57136">
            <w:pPr>
              <w:jc w:val="center"/>
            </w:pPr>
            <w:r>
              <w:t>94.6</w:t>
            </w:r>
            <w:r w:rsidR="00C12F28">
              <w:t>%</w:t>
            </w:r>
          </w:p>
        </w:tc>
        <w:tc>
          <w:tcPr>
            <w:tcW w:w="1052" w:type="dxa"/>
            <w:shd w:val="clear" w:color="auto" w:fill="auto"/>
            <w:vAlign w:val="center"/>
          </w:tcPr>
          <w:p w14:paraId="38F612D7" w14:textId="769C65D9" w:rsidR="009C7FD9" w:rsidRPr="006D2F6B" w:rsidRDefault="00533499" w:rsidP="00E57136">
            <w:pPr>
              <w:jc w:val="center"/>
            </w:pPr>
            <w:r>
              <w:t>89.3</w:t>
            </w:r>
            <w:r w:rsidR="00C12F28">
              <w:t>%</w:t>
            </w:r>
          </w:p>
        </w:tc>
        <w:tc>
          <w:tcPr>
            <w:tcW w:w="755" w:type="dxa"/>
            <w:shd w:val="clear" w:color="auto" w:fill="auto"/>
          </w:tcPr>
          <w:p w14:paraId="533D834B" w14:textId="77777777" w:rsidR="009C7FD9" w:rsidRPr="006D2F6B" w:rsidRDefault="009C7FD9" w:rsidP="009C7FD9"/>
        </w:tc>
      </w:tr>
      <w:tr w:rsidR="009C7FD9" w14:paraId="1BA85DF1" w14:textId="77777777" w:rsidTr="00E57136">
        <w:trPr>
          <w:jc w:val="center"/>
        </w:trPr>
        <w:tc>
          <w:tcPr>
            <w:tcW w:w="3393" w:type="dxa"/>
            <w:shd w:val="clear" w:color="auto" w:fill="auto"/>
          </w:tcPr>
          <w:p w14:paraId="086591DB" w14:textId="20AD68D8" w:rsidR="009C7FD9" w:rsidRPr="006D2F6B" w:rsidRDefault="009C7FD9" w:rsidP="009C7FD9">
            <w:pPr>
              <w:pStyle w:val="PlainText"/>
            </w:pPr>
            <w:r>
              <w:t>Proportion of students who believe the school has high expectations in all it does improves by 5% points</w:t>
            </w:r>
          </w:p>
        </w:tc>
        <w:tc>
          <w:tcPr>
            <w:tcW w:w="738" w:type="dxa"/>
            <w:shd w:val="clear" w:color="auto" w:fill="auto"/>
            <w:vAlign w:val="center"/>
          </w:tcPr>
          <w:p w14:paraId="3B99449E" w14:textId="293FE3C1" w:rsidR="009C7FD9" w:rsidRPr="006D2F6B" w:rsidRDefault="009C7FD9" w:rsidP="00E57136">
            <w:pPr>
              <w:jc w:val="center"/>
            </w:pPr>
          </w:p>
        </w:tc>
        <w:tc>
          <w:tcPr>
            <w:tcW w:w="1052" w:type="dxa"/>
            <w:shd w:val="clear" w:color="auto" w:fill="auto"/>
            <w:vAlign w:val="center"/>
          </w:tcPr>
          <w:p w14:paraId="01EA34DF" w14:textId="13111E76" w:rsidR="009C7FD9" w:rsidRPr="006D2F6B" w:rsidRDefault="00C12F28" w:rsidP="00E57136">
            <w:pPr>
              <w:jc w:val="center"/>
            </w:pPr>
            <w:r>
              <w:t>76.5%</w:t>
            </w:r>
          </w:p>
        </w:tc>
        <w:tc>
          <w:tcPr>
            <w:tcW w:w="1052" w:type="dxa"/>
            <w:shd w:val="clear" w:color="auto" w:fill="auto"/>
            <w:vAlign w:val="center"/>
          </w:tcPr>
          <w:p w14:paraId="10FB0FD4" w14:textId="12CA42F4" w:rsidR="009C7FD9" w:rsidRPr="006D2F6B" w:rsidRDefault="00C12F28" w:rsidP="00E57136">
            <w:pPr>
              <w:jc w:val="center"/>
            </w:pPr>
            <w:r>
              <w:t>74.4%</w:t>
            </w:r>
          </w:p>
        </w:tc>
        <w:tc>
          <w:tcPr>
            <w:tcW w:w="996" w:type="dxa"/>
            <w:shd w:val="clear" w:color="auto" w:fill="auto"/>
            <w:vAlign w:val="center"/>
          </w:tcPr>
          <w:p w14:paraId="0A9AF011" w14:textId="747732F3" w:rsidR="009C7FD9" w:rsidRPr="006D2F6B" w:rsidRDefault="00C12F28" w:rsidP="00E57136">
            <w:pPr>
              <w:jc w:val="center"/>
            </w:pPr>
            <w:r>
              <w:t>81.5%</w:t>
            </w:r>
          </w:p>
        </w:tc>
        <w:tc>
          <w:tcPr>
            <w:tcW w:w="1052" w:type="dxa"/>
            <w:shd w:val="clear" w:color="auto" w:fill="auto"/>
            <w:vAlign w:val="center"/>
          </w:tcPr>
          <w:p w14:paraId="74F8818E" w14:textId="1BEA89D8" w:rsidR="009C7FD9" w:rsidRPr="006D2F6B" w:rsidRDefault="00C12F28" w:rsidP="00E57136">
            <w:pPr>
              <w:jc w:val="center"/>
            </w:pPr>
            <w:r>
              <w:t>72.2%</w:t>
            </w:r>
          </w:p>
        </w:tc>
        <w:tc>
          <w:tcPr>
            <w:tcW w:w="755" w:type="dxa"/>
            <w:shd w:val="clear" w:color="auto" w:fill="auto"/>
          </w:tcPr>
          <w:p w14:paraId="7C8F2C6D" w14:textId="77777777" w:rsidR="009C7FD9" w:rsidRPr="006D2F6B" w:rsidRDefault="009C7FD9" w:rsidP="009C7FD9"/>
        </w:tc>
      </w:tr>
      <w:tr w:rsidR="009C7FD9" w14:paraId="54BE18D3" w14:textId="77777777" w:rsidTr="00E57136">
        <w:trPr>
          <w:jc w:val="center"/>
        </w:trPr>
        <w:tc>
          <w:tcPr>
            <w:tcW w:w="3393" w:type="dxa"/>
            <w:shd w:val="clear" w:color="auto" w:fill="auto"/>
          </w:tcPr>
          <w:p w14:paraId="05BBFECD" w14:textId="3F6986EA" w:rsidR="009C7FD9" w:rsidRPr="006D2F6B" w:rsidRDefault="009C7FD9" w:rsidP="009C7FD9">
            <w:pPr>
              <w:pStyle w:val="PlainText"/>
            </w:pPr>
            <w:r>
              <w:t>Proportion of parents who believe the school has high expectations in all it does improves by 5% points</w:t>
            </w:r>
          </w:p>
        </w:tc>
        <w:tc>
          <w:tcPr>
            <w:tcW w:w="738" w:type="dxa"/>
            <w:shd w:val="clear" w:color="auto" w:fill="auto"/>
            <w:vAlign w:val="center"/>
          </w:tcPr>
          <w:p w14:paraId="182AB1E0" w14:textId="0FB6D6CC" w:rsidR="009C7FD9" w:rsidRPr="006D2F6B" w:rsidRDefault="009C7FD9" w:rsidP="00E57136">
            <w:pPr>
              <w:jc w:val="center"/>
            </w:pPr>
          </w:p>
        </w:tc>
        <w:tc>
          <w:tcPr>
            <w:tcW w:w="1052" w:type="dxa"/>
            <w:shd w:val="clear" w:color="auto" w:fill="auto"/>
            <w:vAlign w:val="center"/>
          </w:tcPr>
          <w:p w14:paraId="38F6A914" w14:textId="3411CED3" w:rsidR="009C7FD9" w:rsidRPr="006D2F6B" w:rsidRDefault="00EE14B7" w:rsidP="00E57136">
            <w:pPr>
              <w:jc w:val="center"/>
            </w:pPr>
            <w:r>
              <w:t>76.8</w:t>
            </w:r>
          </w:p>
        </w:tc>
        <w:tc>
          <w:tcPr>
            <w:tcW w:w="1052" w:type="dxa"/>
            <w:shd w:val="clear" w:color="auto" w:fill="auto"/>
            <w:vAlign w:val="center"/>
          </w:tcPr>
          <w:p w14:paraId="69C141C6" w14:textId="37146F21" w:rsidR="009C7FD9" w:rsidRPr="006D2F6B" w:rsidRDefault="00EE14B7" w:rsidP="00E57136">
            <w:pPr>
              <w:jc w:val="center"/>
            </w:pPr>
            <w:r>
              <w:t>88.4</w:t>
            </w:r>
          </w:p>
        </w:tc>
        <w:tc>
          <w:tcPr>
            <w:tcW w:w="996" w:type="dxa"/>
            <w:shd w:val="clear" w:color="auto" w:fill="auto"/>
            <w:vAlign w:val="center"/>
          </w:tcPr>
          <w:p w14:paraId="36053D25" w14:textId="07471A0B" w:rsidR="009C7FD9" w:rsidRPr="006D2F6B" w:rsidRDefault="00EE14B7" w:rsidP="00E57136">
            <w:pPr>
              <w:jc w:val="center"/>
            </w:pPr>
            <w:r>
              <w:t>88.7</w:t>
            </w:r>
          </w:p>
        </w:tc>
        <w:tc>
          <w:tcPr>
            <w:tcW w:w="1052" w:type="dxa"/>
            <w:shd w:val="clear" w:color="auto" w:fill="auto"/>
            <w:vAlign w:val="center"/>
          </w:tcPr>
          <w:p w14:paraId="020783B8" w14:textId="734A3467" w:rsidR="009C7FD9" w:rsidRPr="006D2F6B" w:rsidRDefault="00EE14B7" w:rsidP="00E57136">
            <w:pPr>
              <w:jc w:val="center"/>
            </w:pPr>
            <w:r>
              <w:t>84.5</w:t>
            </w:r>
          </w:p>
        </w:tc>
        <w:tc>
          <w:tcPr>
            <w:tcW w:w="755" w:type="dxa"/>
            <w:shd w:val="clear" w:color="auto" w:fill="auto"/>
          </w:tcPr>
          <w:p w14:paraId="7554E40F" w14:textId="77777777" w:rsidR="009C7FD9" w:rsidRPr="006D2F6B" w:rsidRDefault="009C7FD9" w:rsidP="009C7FD9"/>
        </w:tc>
      </w:tr>
      <w:tr w:rsidR="009C7FD9" w14:paraId="2C99A541" w14:textId="77777777" w:rsidTr="00E57136">
        <w:trPr>
          <w:jc w:val="center"/>
        </w:trPr>
        <w:tc>
          <w:tcPr>
            <w:tcW w:w="3393" w:type="dxa"/>
            <w:shd w:val="clear" w:color="auto" w:fill="auto"/>
          </w:tcPr>
          <w:p w14:paraId="1C4A826B" w14:textId="77777777" w:rsidR="009C7FD9" w:rsidRDefault="009C7FD9" w:rsidP="009C7FD9">
            <w:pPr>
              <w:pStyle w:val="PlainText"/>
            </w:pPr>
            <w:r>
              <w:t>Proportion of staff who agree teachers at the school motivate students to learn improves by 5% points</w:t>
            </w:r>
          </w:p>
          <w:p w14:paraId="20D1EB93" w14:textId="7179FFDC" w:rsidR="007E596F" w:rsidRPr="006D2F6B" w:rsidRDefault="007E596F" w:rsidP="009C7FD9">
            <w:pPr>
              <w:pStyle w:val="PlainText"/>
            </w:pPr>
          </w:p>
        </w:tc>
        <w:tc>
          <w:tcPr>
            <w:tcW w:w="738" w:type="dxa"/>
            <w:shd w:val="clear" w:color="auto" w:fill="auto"/>
            <w:vAlign w:val="center"/>
          </w:tcPr>
          <w:p w14:paraId="30471EAD" w14:textId="745B13D7" w:rsidR="009C7FD9" w:rsidRPr="006D2F6B" w:rsidRDefault="009C7FD9" w:rsidP="00E57136">
            <w:pPr>
              <w:jc w:val="center"/>
            </w:pPr>
          </w:p>
        </w:tc>
        <w:tc>
          <w:tcPr>
            <w:tcW w:w="1052" w:type="dxa"/>
            <w:shd w:val="clear" w:color="auto" w:fill="auto"/>
            <w:vAlign w:val="center"/>
          </w:tcPr>
          <w:p w14:paraId="33709622" w14:textId="2A462546" w:rsidR="009C7FD9" w:rsidRPr="006D2F6B" w:rsidRDefault="00904D91" w:rsidP="00E57136">
            <w:pPr>
              <w:jc w:val="center"/>
            </w:pPr>
            <w:r>
              <w:t>96.6</w:t>
            </w:r>
          </w:p>
        </w:tc>
        <w:tc>
          <w:tcPr>
            <w:tcW w:w="1052" w:type="dxa"/>
            <w:shd w:val="clear" w:color="auto" w:fill="auto"/>
            <w:vAlign w:val="center"/>
          </w:tcPr>
          <w:p w14:paraId="013C748A" w14:textId="0613C33D" w:rsidR="009C7FD9" w:rsidRPr="006D2F6B" w:rsidRDefault="00904D91" w:rsidP="00E57136">
            <w:pPr>
              <w:jc w:val="center"/>
            </w:pPr>
            <w:r>
              <w:t>100</w:t>
            </w:r>
          </w:p>
        </w:tc>
        <w:tc>
          <w:tcPr>
            <w:tcW w:w="996" w:type="dxa"/>
            <w:shd w:val="clear" w:color="auto" w:fill="auto"/>
            <w:vAlign w:val="center"/>
          </w:tcPr>
          <w:p w14:paraId="074F91FA" w14:textId="2F83D6AF" w:rsidR="009C7FD9" w:rsidRPr="006D2F6B" w:rsidRDefault="00904D91" w:rsidP="00E57136">
            <w:pPr>
              <w:jc w:val="center"/>
            </w:pPr>
            <w:r>
              <w:t>97.3</w:t>
            </w:r>
          </w:p>
        </w:tc>
        <w:tc>
          <w:tcPr>
            <w:tcW w:w="1052" w:type="dxa"/>
            <w:shd w:val="clear" w:color="auto" w:fill="auto"/>
            <w:vAlign w:val="center"/>
          </w:tcPr>
          <w:p w14:paraId="129FCE02" w14:textId="11120D08" w:rsidR="009C7FD9" w:rsidRPr="006D2F6B" w:rsidRDefault="00904D91" w:rsidP="00E57136">
            <w:pPr>
              <w:jc w:val="center"/>
            </w:pPr>
            <w:r>
              <w:t>89.7</w:t>
            </w:r>
          </w:p>
        </w:tc>
        <w:tc>
          <w:tcPr>
            <w:tcW w:w="755" w:type="dxa"/>
            <w:shd w:val="clear" w:color="auto" w:fill="auto"/>
            <w:vAlign w:val="center"/>
          </w:tcPr>
          <w:p w14:paraId="52CA352D" w14:textId="77777777" w:rsidR="009C7FD9" w:rsidRDefault="009C7FD9" w:rsidP="00E57136">
            <w:pPr>
              <w:jc w:val="center"/>
            </w:pPr>
          </w:p>
          <w:p w14:paraId="17AEEBD2" w14:textId="35E0C989" w:rsidR="009C7FD9" w:rsidRPr="006D2F6B" w:rsidRDefault="009C7FD9" w:rsidP="00E57136">
            <w:pPr>
              <w:jc w:val="center"/>
            </w:pPr>
          </w:p>
        </w:tc>
      </w:tr>
      <w:tr w:rsidR="007E596F" w14:paraId="7CA02989" w14:textId="77777777" w:rsidTr="00E57136">
        <w:trPr>
          <w:jc w:val="center"/>
        </w:trPr>
        <w:tc>
          <w:tcPr>
            <w:tcW w:w="3393" w:type="dxa"/>
            <w:shd w:val="clear" w:color="auto" w:fill="auto"/>
            <w:vAlign w:val="center"/>
          </w:tcPr>
          <w:p w14:paraId="7131D5CB" w14:textId="6C0E43AC" w:rsidR="007E596F" w:rsidRDefault="007E596F" w:rsidP="007E596F">
            <w:pPr>
              <w:pStyle w:val="PlainText"/>
            </w:pPr>
            <w:r w:rsidRPr="00D03B0C">
              <w:rPr>
                <w:b/>
              </w:rPr>
              <w:t>Targets or Measures</w:t>
            </w:r>
          </w:p>
        </w:tc>
        <w:tc>
          <w:tcPr>
            <w:tcW w:w="738" w:type="dxa"/>
            <w:shd w:val="clear" w:color="auto" w:fill="auto"/>
            <w:vAlign w:val="center"/>
          </w:tcPr>
          <w:p w14:paraId="7A470661" w14:textId="77777777" w:rsidR="007E596F" w:rsidRDefault="007E596F" w:rsidP="007E596F">
            <w:pPr>
              <w:jc w:val="center"/>
              <w:rPr>
                <w:b/>
              </w:rPr>
            </w:pPr>
            <w:r>
              <w:rPr>
                <w:b/>
              </w:rPr>
              <w:t>Base</w:t>
            </w:r>
          </w:p>
          <w:p w14:paraId="1FE3B2E0" w14:textId="11CCC2D5" w:rsidR="007E596F" w:rsidDel="008E33CC" w:rsidRDefault="007E596F" w:rsidP="007E596F">
            <w:pPr>
              <w:jc w:val="center"/>
            </w:pPr>
            <w:r>
              <w:rPr>
                <w:b/>
              </w:rPr>
              <w:t>2015</w:t>
            </w:r>
          </w:p>
        </w:tc>
        <w:tc>
          <w:tcPr>
            <w:tcW w:w="1052" w:type="dxa"/>
            <w:shd w:val="clear" w:color="auto" w:fill="auto"/>
            <w:vAlign w:val="center"/>
          </w:tcPr>
          <w:p w14:paraId="7D520507" w14:textId="775B2823" w:rsidR="007E596F" w:rsidRDefault="007E596F" w:rsidP="007E596F">
            <w:pPr>
              <w:jc w:val="center"/>
            </w:pPr>
            <w:r>
              <w:rPr>
                <w:b/>
              </w:rPr>
              <w:t>2016</w:t>
            </w:r>
          </w:p>
        </w:tc>
        <w:tc>
          <w:tcPr>
            <w:tcW w:w="1052" w:type="dxa"/>
            <w:shd w:val="clear" w:color="auto" w:fill="auto"/>
            <w:vAlign w:val="center"/>
          </w:tcPr>
          <w:p w14:paraId="4E97CC96" w14:textId="7F1FC0D8" w:rsidR="007E596F" w:rsidRDefault="007E596F" w:rsidP="007E596F">
            <w:pPr>
              <w:jc w:val="center"/>
            </w:pPr>
            <w:r>
              <w:rPr>
                <w:b/>
              </w:rPr>
              <w:t>2017</w:t>
            </w:r>
          </w:p>
        </w:tc>
        <w:tc>
          <w:tcPr>
            <w:tcW w:w="996" w:type="dxa"/>
            <w:shd w:val="clear" w:color="auto" w:fill="auto"/>
            <w:vAlign w:val="center"/>
          </w:tcPr>
          <w:p w14:paraId="309077D3" w14:textId="003621AC" w:rsidR="007E596F" w:rsidRDefault="007E596F" w:rsidP="007E596F">
            <w:pPr>
              <w:jc w:val="center"/>
            </w:pPr>
            <w:r>
              <w:rPr>
                <w:b/>
              </w:rPr>
              <w:t>2018</w:t>
            </w:r>
          </w:p>
        </w:tc>
        <w:tc>
          <w:tcPr>
            <w:tcW w:w="1052" w:type="dxa"/>
            <w:shd w:val="clear" w:color="auto" w:fill="auto"/>
            <w:vAlign w:val="center"/>
          </w:tcPr>
          <w:p w14:paraId="3151B19F" w14:textId="37B6790F" w:rsidR="007E596F" w:rsidRDefault="007E596F" w:rsidP="007E596F">
            <w:pPr>
              <w:jc w:val="center"/>
            </w:pPr>
            <w:r>
              <w:rPr>
                <w:b/>
              </w:rPr>
              <w:t>2019</w:t>
            </w:r>
          </w:p>
        </w:tc>
        <w:tc>
          <w:tcPr>
            <w:tcW w:w="755" w:type="dxa"/>
            <w:shd w:val="clear" w:color="auto" w:fill="auto"/>
            <w:vAlign w:val="center"/>
          </w:tcPr>
          <w:p w14:paraId="2617DDAE" w14:textId="6E4F096B" w:rsidR="007E596F" w:rsidRPr="006D2F6B" w:rsidRDefault="007E596F" w:rsidP="007E596F">
            <w:pPr>
              <w:jc w:val="center"/>
            </w:pPr>
            <w:r>
              <w:rPr>
                <w:b/>
              </w:rPr>
              <w:t>2020</w:t>
            </w:r>
          </w:p>
        </w:tc>
      </w:tr>
      <w:tr w:rsidR="009C7FD9" w14:paraId="75CC00D1" w14:textId="77777777" w:rsidTr="00E57136">
        <w:trPr>
          <w:jc w:val="center"/>
        </w:trPr>
        <w:tc>
          <w:tcPr>
            <w:tcW w:w="3393" w:type="dxa"/>
            <w:shd w:val="clear" w:color="auto" w:fill="auto"/>
          </w:tcPr>
          <w:p w14:paraId="29B72A8C" w14:textId="2DDDA12A" w:rsidR="009C7FD9" w:rsidRPr="006D2F6B" w:rsidRDefault="009C7FD9" w:rsidP="009C7FD9">
            <w:pPr>
              <w:pStyle w:val="PlainText"/>
            </w:pPr>
            <w:r>
              <w:t xml:space="preserve">Proportion of students who agree teachers at the school motivate </w:t>
            </w:r>
            <w:r>
              <w:lastRenderedPageBreak/>
              <w:t>students to learn improves by 5% points</w:t>
            </w:r>
          </w:p>
        </w:tc>
        <w:tc>
          <w:tcPr>
            <w:tcW w:w="738" w:type="dxa"/>
            <w:shd w:val="clear" w:color="auto" w:fill="auto"/>
            <w:vAlign w:val="center"/>
          </w:tcPr>
          <w:p w14:paraId="72E7FEB8" w14:textId="65152719" w:rsidR="009C7FD9" w:rsidRPr="006D2F6B" w:rsidRDefault="009C7FD9" w:rsidP="00E57136">
            <w:pPr>
              <w:jc w:val="center"/>
            </w:pPr>
          </w:p>
        </w:tc>
        <w:tc>
          <w:tcPr>
            <w:tcW w:w="1052" w:type="dxa"/>
            <w:shd w:val="clear" w:color="auto" w:fill="auto"/>
            <w:vAlign w:val="center"/>
          </w:tcPr>
          <w:p w14:paraId="4923CC15" w14:textId="26578EAA" w:rsidR="009C7FD9" w:rsidRPr="006D2F6B" w:rsidRDefault="008C64DF" w:rsidP="00E57136">
            <w:pPr>
              <w:jc w:val="center"/>
            </w:pPr>
            <w:r>
              <w:t>93.9</w:t>
            </w:r>
          </w:p>
        </w:tc>
        <w:tc>
          <w:tcPr>
            <w:tcW w:w="1052" w:type="dxa"/>
            <w:shd w:val="clear" w:color="auto" w:fill="auto"/>
            <w:vAlign w:val="center"/>
          </w:tcPr>
          <w:p w14:paraId="7D59298D" w14:textId="70001D35" w:rsidR="009C7FD9" w:rsidRPr="006D2F6B" w:rsidRDefault="008C64DF" w:rsidP="00E57136">
            <w:pPr>
              <w:jc w:val="center"/>
            </w:pPr>
            <w:r>
              <w:t>89.1</w:t>
            </w:r>
          </w:p>
        </w:tc>
        <w:tc>
          <w:tcPr>
            <w:tcW w:w="996" w:type="dxa"/>
            <w:shd w:val="clear" w:color="auto" w:fill="auto"/>
            <w:vAlign w:val="center"/>
          </w:tcPr>
          <w:p w14:paraId="609C03F3" w14:textId="3A684E5B" w:rsidR="009C7FD9" w:rsidRPr="006D2F6B" w:rsidRDefault="008C64DF" w:rsidP="00E57136">
            <w:pPr>
              <w:jc w:val="center"/>
            </w:pPr>
            <w:r>
              <w:t>87.3</w:t>
            </w:r>
          </w:p>
        </w:tc>
        <w:tc>
          <w:tcPr>
            <w:tcW w:w="1052" w:type="dxa"/>
            <w:shd w:val="clear" w:color="auto" w:fill="auto"/>
            <w:vAlign w:val="center"/>
          </w:tcPr>
          <w:p w14:paraId="5C5079B0" w14:textId="59A0E4E5" w:rsidR="009C7FD9" w:rsidRPr="006D2F6B" w:rsidRDefault="008C64DF" w:rsidP="00E57136">
            <w:pPr>
              <w:jc w:val="center"/>
            </w:pPr>
            <w:r>
              <w:t>88.7</w:t>
            </w:r>
          </w:p>
        </w:tc>
        <w:tc>
          <w:tcPr>
            <w:tcW w:w="755" w:type="dxa"/>
            <w:shd w:val="clear" w:color="auto" w:fill="auto"/>
            <w:vAlign w:val="center"/>
          </w:tcPr>
          <w:p w14:paraId="16592ACF" w14:textId="77777777" w:rsidR="009C7FD9" w:rsidRPr="006D2F6B" w:rsidRDefault="009C7FD9" w:rsidP="00E57136">
            <w:pPr>
              <w:jc w:val="center"/>
            </w:pPr>
          </w:p>
        </w:tc>
      </w:tr>
      <w:tr w:rsidR="009C7FD9" w14:paraId="22D10F48" w14:textId="77777777" w:rsidTr="00E57136">
        <w:trPr>
          <w:jc w:val="center"/>
        </w:trPr>
        <w:tc>
          <w:tcPr>
            <w:tcW w:w="3393" w:type="dxa"/>
            <w:shd w:val="clear" w:color="auto" w:fill="auto"/>
          </w:tcPr>
          <w:p w14:paraId="1D657529" w14:textId="10BBFAFF" w:rsidR="009C7FD9" w:rsidRPr="006D2F6B" w:rsidRDefault="009C7FD9" w:rsidP="009C7FD9">
            <w:pPr>
              <w:pStyle w:val="PlainText"/>
            </w:pPr>
            <w:r>
              <w:t>Proportion of parents who agree teachers at the school motivate students to learn improves by 5% points</w:t>
            </w:r>
          </w:p>
        </w:tc>
        <w:tc>
          <w:tcPr>
            <w:tcW w:w="738" w:type="dxa"/>
            <w:shd w:val="clear" w:color="auto" w:fill="auto"/>
            <w:vAlign w:val="center"/>
          </w:tcPr>
          <w:p w14:paraId="584C6D1D" w14:textId="7789DDFE" w:rsidR="009C7FD9" w:rsidRPr="006D2F6B" w:rsidRDefault="009C7FD9" w:rsidP="00E57136">
            <w:pPr>
              <w:jc w:val="center"/>
            </w:pPr>
          </w:p>
        </w:tc>
        <w:tc>
          <w:tcPr>
            <w:tcW w:w="1052" w:type="dxa"/>
            <w:shd w:val="clear" w:color="auto" w:fill="auto"/>
            <w:vAlign w:val="center"/>
          </w:tcPr>
          <w:p w14:paraId="0702D11C" w14:textId="01519A0A" w:rsidR="009C7FD9" w:rsidRPr="006D2F6B" w:rsidRDefault="00904D91" w:rsidP="00E57136">
            <w:pPr>
              <w:jc w:val="center"/>
            </w:pPr>
            <w:r>
              <w:t>86.7</w:t>
            </w:r>
          </w:p>
        </w:tc>
        <w:tc>
          <w:tcPr>
            <w:tcW w:w="1052" w:type="dxa"/>
            <w:shd w:val="clear" w:color="auto" w:fill="auto"/>
            <w:vAlign w:val="center"/>
          </w:tcPr>
          <w:p w14:paraId="121CD99E" w14:textId="0A5D2A30" w:rsidR="009C7FD9" w:rsidRPr="006D2F6B" w:rsidRDefault="00904D91" w:rsidP="00E57136">
            <w:pPr>
              <w:jc w:val="center"/>
            </w:pPr>
            <w:r>
              <w:t>95.7</w:t>
            </w:r>
          </w:p>
        </w:tc>
        <w:tc>
          <w:tcPr>
            <w:tcW w:w="996" w:type="dxa"/>
            <w:shd w:val="clear" w:color="auto" w:fill="auto"/>
            <w:vAlign w:val="center"/>
          </w:tcPr>
          <w:p w14:paraId="77D54FF2" w14:textId="1EB4AB64" w:rsidR="009C7FD9" w:rsidRPr="006D2F6B" w:rsidRDefault="00904D91" w:rsidP="00E57136">
            <w:pPr>
              <w:jc w:val="center"/>
            </w:pPr>
            <w:r>
              <w:t>92.5</w:t>
            </w:r>
          </w:p>
        </w:tc>
        <w:tc>
          <w:tcPr>
            <w:tcW w:w="1052" w:type="dxa"/>
            <w:shd w:val="clear" w:color="auto" w:fill="auto"/>
            <w:vAlign w:val="center"/>
          </w:tcPr>
          <w:p w14:paraId="4D68F70A" w14:textId="41E53674" w:rsidR="009C7FD9" w:rsidRPr="006D2F6B" w:rsidRDefault="00904D91" w:rsidP="00E57136">
            <w:pPr>
              <w:jc w:val="center"/>
            </w:pPr>
            <w:r>
              <w:t>90.4</w:t>
            </w:r>
          </w:p>
        </w:tc>
        <w:tc>
          <w:tcPr>
            <w:tcW w:w="755" w:type="dxa"/>
            <w:shd w:val="clear" w:color="auto" w:fill="auto"/>
            <w:vAlign w:val="center"/>
          </w:tcPr>
          <w:p w14:paraId="4EDA2BD9" w14:textId="77777777" w:rsidR="009C7FD9" w:rsidRPr="006D2F6B" w:rsidRDefault="009C7FD9" w:rsidP="00E57136">
            <w:pPr>
              <w:jc w:val="center"/>
            </w:pPr>
          </w:p>
        </w:tc>
      </w:tr>
      <w:tr w:rsidR="009C7FD9" w14:paraId="19ACDB22" w14:textId="77777777" w:rsidTr="00E57136">
        <w:trPr>
          <w:jc w:val="center"/>
        </w:trPr>
        <w:tc>
          <w:tcPr>
            <w:tcW w:w="3393" w:type="dxa"/>
            <w:shd w:val="clear" w:color="auto" w:fill="auto"/>
          </w:tcPr>
          <w:p w14:paraId="122F007F" w14:textId="7640F7E8" w:rsidR="009C7FD9" w:rsidRPr="006D2F6B" w:rsidRDefault="009C7FD9" w:rsidP="009C7FD9">
            <w:pPr>
              <w:pStyle w:val="PlainText"/>
            </w:pPr>
            <w:r>
              <w:t>Proportion of staff who agree student behaviour is well managed at the school improves by 5% points</w:t>
            </w:r>
          </w:p>
        </w:tc>
        <w:tc>
          <w:tcPr>
            <w:tcW w:w="738" w:type="dxa"/>
            <w:shd w:val="clear" w:color="auto" w:fill="auto"/>
            <w:vAlign w:val="center"/>
          </w:tcPr>
          <w:p w14:paraId="3032B41F" w14:textId="7F165966" w:rsidR="009C7FD9" w:rsidRPr="006D2F6B" w:rsidRDefault="009C7FD9" w:rsidP="00E57136">
            <w:pPr>
              <w:jc w:val="center"/>
            </w:pPr>
          </w:p>
        </w:tc>
        <w:tc>
          <w:tcPr>
            <w:tcW w:w="1052" w:type="dxa"/>
            <w:shd w:val="clear" w:color="auto" w:fill="auto"/>
            <w:vAlign w:val="center"/>
          </w:tcPr>
          <w:p w14:paraId="2434D4A4" w14:textId="375BD2D7" w:rsidR="009C7FD9" w:rsidRPr="006D2F6B" w:rsidRDefault="008C64DF" w:rsidP="00E57136">
            <w:pPr>
              <w:jc w:val="center"/>
            </w:pPr>
            <w:r>
              <w:t>62.1</w:t>
            </w:r>
          </w:p>
        </w:tc>
        <w:tc>
          <w:tcPr>
            <w:tcW w:w="1052" w:type="dxa"/>
            <w:shd w:val="clear" w:color="auto" w:fill="auto"/>
            <w:vAlign w:val="center"/>
          </w:tcPr>
          <w:p w14:paraId="19CE6714" w14:textId="2D4A72C1" w:rsidR="009C7FD9" w:rsidRPr="006D2F6B" w:rsidRDefault="008C64DF" w:rsidP="00E57136">
            <w:pPr>
              <w:jc w:val="center"/>
            </w:pPr>
            <w:r>
              <w:t>90.3</w:t>
            </w:r>
          </w:p>
        </w:tc>
        <w:tc>
          <w:tcPr>
            <w:tcW w:w="996" w:type="dxa"/>
            <w:shd w:val="clear" w:color="auto" w:fill="auto"/>
            <w:vAlign w:val="center"/>
          </w:tcPr>
          <w:p w14:paraId="1E553964" w14:textId="42CFB495" w:rsidR="009C7FD9" w:rsidRPr="006D2F6B" w:rsidRDefault="008C64DF" w:rsidP="00E57136">
            <w:pPr>
              <w:jc w:val="center"/>
            </w:pPr>
            <w:r>
              <w:t>89.2</w:t>
            </w:r>
          </w:p>
        </w:tc>
        <w:tc>
          <w:tcPr>
            <w:tcW w:w="1052" w:type="dxa"/>
            <w:shd w:val="clear" w:color="auto" w:fill="auto"/>
            <w:vAlign w:val="center"/>
          </w:tcPr>
          <w:p w14:paraId="468783F9" w14:textId="76404D55" w:rsidR="009C7FD9" w:rsidRPr="006D2F6B" w:rsidRDefault="008C64DF" w:rsidP="00E57136">
            <w:pPr>
              <w:jc w:val="center"/>
            </w:pPr>
            <w:r>
              <w:t>79.3</w:t>
            </w:r>
          </w:p>
        </w:tc>
        <w:tc>
          <w:tcPr>
            <w:tcW w:w="755" w:type="dxa"/>
            <w:shd w:val="clear" w:color="auto" w:fill="auto"/>
            <w:vAlign w:val="center"/>
          </w:tcPr>
          <w:p w14:paraId="57DECEB5" w14:textId="77777777" w:rsidR="009C7FD9" w:rsidRPr="006D2F6B" w:rsidRDefault="009C7FD9" w:rsidP="00E57136">
            <w:pPr>
              <w:jc w:val="center"/>
            </w:pPr>
          </w:p>
        </w:tc>
      </w:tr>
      <w:tr w:rsidR="009C7FD9" w14:paraId="1E9BCFE3" w14:textId="77777777" w:rsidTr="00E57136">
        <w:trPr>
          <w:jc w:val="center"/>
        </w:trPr>
        <w:tc>
          <w:tcPr>
            <w:tcW w:w="3393" w:type="dxa"/>
            <w:shd w:val="clear" w:color="auto" w:fill="auto"/>
          </w:tcPr>
          <w:p w14:paraId="175F77FA" w14:textId="614C5761" w:rsidR="009C7FD9" w:rsidRPr="006D2F6B" w:rsidRDefault="009C7FD9" w:rsidP="009C7FD9">
            <w:pPr>
              <w:pStyle w:val="PlainText"/>
            </w:pPr>
            <w:r>
              <w:t>Proportion of students who agree student behaviour is well managed at the school improves by 5% points</w:t>
            </w:r>
          </w:p>
        </w:tc>
        <w:tc>
          <w:tcPr>
            <w:tcW w:w="738" w:type="dxa"/>
            <w:shd w:val="clear" w:color="auto" w:fill="auto"/>
            <w:vAlign w:val="center"/>
          </w:tcPr>
          <w:p w14:paraId="448A7661" w14:textId="17708F46" w:rsidR="009C7FD9" w:rsidRPr="006D2F6B" w:rsidRDefault="009C7FD9" w:rsidP="00E57136">
            <w:pPr>
              <w:jc w:val="center"/>
            </w:pPr>
          </w:p>
        </w:tc>
        <w:tc>
          <w:tcPr>
            <w:tcW w:w="1052" w:type="dxa"/>
            <w:shd w:val="clear" w:color="auto" w:fill="auto"/>
            <w:vAlign w:val="center"/>
          </w:tcPr>
          <w:p w14:paraId="0EEC48CC" w14:textId="54353596" w:rsidR="009C7FD9" w:rsidRPr="006D2F6B" w:rsidRDefault="007E596F" w:rsidP="00E57136">
            <w:pPr>
              <w:jc w:val="center"/>
            </w:pPr>
            <w:r>
              <w:t>47.1%</w:t>
            </w:r>
          </w:p>
        </w:tc>
        <w:tc>
          <w:tcPr>
            <w:tcW w:w="1052" w:type="dxa"/>
            <w:shd w:val="clear" w:color="auto" w:fill="auto"/>
            <w:vAlign w:val="center"/>
          </w:tcPr>
          <w:p w14:paraId="19B1809F" w14:textId="1855AE6F" w:rsidR="009C7FD9" w:rsidRPr="006D2F6B" w:rsidRDefault="007E596F" w:rsidP="00E57136">
            <w:pPr>
              <w:jc w:val="center"/>
            </w:pPr>
            <w:r>
              <w:t>46.5%</w:t>
            </w:r>
          </w:p>
        </w:tc>
        <w:tc>
          <w:tcPr>
            <w:tcW w:w="996" w:type="dxa"/>
            <w:shd w:val="clear" w:color="auto" w:fill="auto"/>
            <w:vAlign w:val="center"/>
          </w:tcPr>
          <w:p w14:paraId="49A00451" w14:textId="39C38F27" w:rsidR="009C7FD9" w:rsidRPr="006D2F6B" w:rsidRDefault="008C64DF" w:rsidP="00E57136">
            <w:pPr>
              <w:jc w:val="center"/>
            </w:pPr>
            <w:r>
              <w:t>55.6</w:t>
            </w:r>
          </w:p>
        </w:tc>
        <w:tc>
          <w:tcPr>
            <w:tcW w:w="1052" w:type="dxa"/>
            <w:shd w:val="clear" w:color="auto" w:fill="auto"/>
            <w:vAlign w:val="center"/>
          </w:tcPr>
          <w:p w14:paraId="1AD265E1" w14:textId="4B19BBA4" w:rsidR="009C7FD9" w:rsidRPr="006D2F6B" w:rsidRDefault="008C64DF" w:rsidP="00E57136">
            <w:pPr>
              <w:jc w:val="center"/>
            </w:pPr>
            <w:r>
              <w:t>40.2</w:t>
            </w:r>
          </w:p>
        </w:tc>
        <w:tc>
          <w:tcPr>
            <w:tcW w:w="755" w:type="dxa"/>
            <w:shd w:val="clear" w:color="auto" w:fill="auto"/>
          </w:tcPr>
          <w:p w14:paraId="149B2309" w14:textId="77777777" w:rsidR="009C7FD9" w:rsidRPr="006D2F6B" w:rsidRDefault="009C7FD9" w:rsidP="009C7FD9"/>
        </w:tc>
      </w:tr>
      <w:tr w:rsidR="009C7FD9" w14:paraId="180DA73D" w14:textId="77777777" w:rsidTr="00E57136">
        <w:trPr>
          <w:jc w:val="center"/>
        </w:trPr>
        <w:tc>
          <w:tcPr>
            <w:tcW w:w="3393" w:type="dxa"/>
            <w:shd w:val="clear" w:color="auto" w:fill="auto"/>
          </w:tcPr>
          <w:p w14:paraId="76656EDB" w14:textId="786D2244" w:rsidR="009C7FD9" w:rsidRPr="006D2F6B" w:rsidRDefault="009C7FD9" w:rsidP="009C7FD9">
            <w:pPr>
              <w:pStyle w:val="PlainText"/>
            </w:pPr>
            <w:r>
              <w:t>Proportion of parents who agree student behaviour is well managed at the school improves by 5% points</w:t>
            </w:r>
          </w:p>
        </w:tc>
        <w:tc>
          <w:tcPr>
            <w:tcW w:w="738" w:type="dxa"/>
            <w:shd w:val="clear" w:color="auto" w:fill="auto"/>
            <w:vAlign w:val="center"/>
          </w:tcPr>
          <w:p w14:paraId="2C5ABBB3" w14:textId="2A11A43A" w:rsidR="009C7FD9" w:rsidRPr="006D2F6B" w:rsidRDefault="009C7FD9" w:rsidP="00E57136">
            <w:pPr>
              <w:jc w:val="center"/>
            </w:pPr>
          </w:p>
        </w:tc>
        <w:tc>
          <w:tcPr>
            <w:tcW w:w="1052" w:type="dxa"/>
            <w:shd w:val="clear" w:color="auto" w:fill="auto"/>
            <w:vAlign w:val="center"/>
          </w:tcPr>
          <w:p w14:paraId="2FDF8A7C" w14:textId="01D61EFD" w:rsidR="009C7FD9" w:rsidRPr="006D2F6B" w:rsidRDefault="007E596F" w:rsidP="00E57136">
            <w:pPr>
              <w:jc w:val="center"/>
            </w:pPr>
            <w:r>
              <w:t>71.1%</w:t>
            </w:r>
          </w:p>
        </w:tc>
        <w:tc>
          <w:tcPr>
            <w:tcW w:w="1052" w:type="dxa"/>
            <w:shd w:val="clear" w:color="auto" w:fill="auto"/>
            <w:vAlign w:val="center"/>
          </w:tcPr>
          <w:p w14:paraId="2DD08353" w14:textId="143F39B0" w:rsidR="009C7FD9" w:rsidRPr="006D2F6B" w:rsidRDefault="008C64DF" w:rsidP="00E57136">
            <w:pPr>
              <w:jc w:val="center"/>
            </w:pPr>
            <w:r>
              <w:t>86.6</w:t>
            </w:r>
          </w:p>
        </w:tc>
        <w:tc>
          <w:tcPr>
            <w:tcW w:w="996" w:type="dxa"/>
            <w:shd w:val="clear" w:color="auto" w:fill="auto"/>
            <w:vAlign w:val="center"/>
          </w:tcPr>
          <w:p w14:paraId="334ADD8C" w14:textId="5D74EC37" w:rsidR="009C7FD9" w:rsidRPr="006D2F6B" w:rsidRDefault="008C64DF" w:rsidP="00E57136">
            <w:pPr>
              <w:jc w:val="center"/>
            </w:pPr>
            <w:r>
              <w:t>84</w:t>
            </w:r>
          </w:p>
        </w:tc>
        <w:tc>
          <w:tcPr>
            <w:tcW w:w="1052" w:type="dxa"/>
            <w:shd w:val="clear" w:color="auto" w:fill="auto"/>
            <w:vAlign w:val="center"/>
          </w:tcPr>
          <w:p w14:paraId="5A2207E5" w14:textId="32CAEEBD" w:rsidR="009C7FD9" w:rsidRPr="006D2F6B" w:rsidRDefault="008C64DF" w:rsidP="00E57136">
            <w:pPr>
              <w:jc w:val="center"/>
            </w:pPr>
            <w:r>
              <w:t>79.8</w:t>
            </w:r>
          </w:p>
        </w:tc>
        <w:tc>
          <w:tcPr>
            <w:tcW w:w="755" w:type="dxa"/>
            <w:shd w:val="clear" w:color="auto" w:fill="auto"/>
            <w:vAlign w:val="center"/>
          </w:tcPr>
          <w:p w14:paraId="6695B355" w14:textId="77777777" w:rsidR="009C7FD9" w:rsidRPr="006D2F6B" w:rsidRDefault="009C7FD9" w:rsidP="00E57136">
            <w:pPr>
              <w:jc w:val="center"/>
            </w:pPr>
          </w:p>
        </w:tc>
      </w:tr>
      <w:tr w:rsidR="008C64DF" w14:paraId="3EBC3578" w14:textId="77777777" w:rsidTr="00E57136">
        <w:trPr>
          <w:jc w:val="center"/>
        </w:trPr>
        <w:tc>
          <w:tcPr>
            <w:tcW w:w="3393" w:type="dxa"/>
            <w:shd w:val="clear" w:color="auto" w:fill="auto"/>
          </w:tcPr>
          <w:p w14:paraId="5ED57D17" w14:textId="02290BC5" w:rsidR="008C64DF" w:rsidRPr="006D2F6B" w:rsidRDefault="008C64DF" w:rsidP="008C64DF">
            <w:pPr>
              <w:pStyle w:val="PlainText"/>
            </w:pPr>
            <w:r>
              <w:t>Proportion of staff who agree that students feel safe at school improves by 5% points</w:t>
            </w:r>
          </w:p>
        </w:tc>
        <w:tc>
          <w:tcPr>
            <w:tcW w:w="738" w:type="dxa"/>
            <w:shd w:val="clear" w:color="auto" w:fill="auto"/>
            <w:vAlign w:val="center"/>
          </w:tcPr>
          <w:p w14:paraId="3F2CC275" w14:textId="0E6F8231" w:rsidR="008C64DF" w:rsidRPr="006D2F6B" w:rsidRDefault="008C64DF" w:rsidP="00E57136">
            <w:pPr>
              <w:jc w:val="center"/>
            </w:pPr>
          </w:p>
        </w:tc>
        <w:tc>
          <w:tcPr>
            <w:tcW w:w="1052" w:type="dxa"/>
            <w:shd w:val="clear" w:color="auto" w:fill="auto"/>
            <w:vAlign w:val="center"/>
          </w:tcPr>
          <w:p w14:paraId="332CD9F2" w14:textId="66E240B5" w:rsidR="008C64DF" w:rsidRPr="006D2F6B" w:rsidRDefault="007E596F" w:rsidP="00E57136">
            <w:pPr>
              <w:jc w:val="center"/>
            </w:pPr>
            <w:r>
              <w:t>75.9%</w:t>
            </w:r>
          </w:p>
        </w:tc>
        <w:tc>
          <w:tcPr>
            <w:tcW w:w="1052" w:type="dxa"/>
            <w:shd w:val="clear" w:color="auto" w:fill="auto"/>
            <w:vAlign w:val="center"/>
          </w:tcPr>
          <w:p w14:paraId="5AB1F1C7" w14:textId="006206F4" w:rsidR="008C64DF" w:rsidRPr="006D2F6B" w:rsidRDefault="008C64DF" w:rsidP="00E57136">
            <w:pPr>
              <w:jc w:val="center"/>
            </w:pPr>
            <w:r>
              <w:t>100</w:t>
            </w:r>
          </w:p>
        </w:tc>
        <w:tc>
          <w:tcPr>
            <w:tcW w:w="996" w:type="dxa"/>
            <w:shd w:val="clear" w:color="auto" w:fill="auto"/>
            <w:vAlign w:val="center"/>
          </w:tcPr>
          <w:p w14:paraId="77954977" w14:textId="4BB15C9D" w:rsidR="008C64DF" w:rsidRPr="006D2F6B" w:rsidRDefault="008C64DF" w:rsidP="00E57136">
            <w:pPr>
              <w:jc w:val="center"/>
            </w:pPr>
            <w:r>
              <w:t>94.6</w:t>
            </w:r>
          </w:p>
        </w:tc>
        <w:tc>
          <w:tcPr>
            <w:tcW w:w="1052" w:type="dxa"/>
            <w:shd w:val="clear" w:color="auto" w:fill="auto"/>
            <w:vAlign w:val="center"/>
          </w:tcPr>
          <w:p w14:paraId="353042D5" w14:textId="6E3ABFB0" w:rsidR="008C64DF" w:rsidRPr="006D2F6B" w:rsidRDefault="008C64DF" w:rsidP="00E57136">
            <w:pPr>
              <w:jc w:val="center"/>
            </w:pPr>
            <w:r>
              <w:t>75.9</w:t>
            </w:r>
          </w:p>
        </w:tc>
        <w:tc>
          <w:tcPr>
            <w:tcW w:w="755" w:type="dxa"/>
            <w:shd w:val="clear" w:color="auto" w:fill="auto"/>
            <w:vAlign w:val="center"/>
          </w:tcPr>
          <w:p w14:paraId="1780AEBD" w14:textId="77777777" w:rsidR="008C64DF" w:rsidRPr="006D2F6B" w:rsidRDefault="008C64DF" w:rsidP="00E57136">
            <w:pPr>
              <w:jc w:val="center"/>
            </w:pPr>
          </w:p>
        </w:tc>
      </w:tr>
      <w:tr w:rsidR="009C7FD9" w14:paraId="62093A6D" w14:textId="77777777" w:rsidTr="00E57136">
        <w:trPr>
          <w:jc w:val="center"/>
        </w:trPr>
        <w:tc>
          <w:tcPr>
            <w:tcW w:w="3393" w:type="dxa"/>
            <w:shd w:val="clear" w:color="auto" w:fill="auto"/>
          </w:tcPr>
          <w:p w14:paraId="555C07E5" w14:textId="30359F44" w:rsidR="009C7FD9" w:rsidRPr="006D2F6B" w:rsidRDefault="009C7FD9" w:rsidP="009C7FD9">
            <w:pPr>
              <w:pStyle w:val="PlainText"/>
            </w:pPr>
            <w:r>
              <w:t>Proportion of students who agree that students feel safe at school improves by 5% points</w:t>
            </w:r>
          </w:p>
        </w:tc>
        <w:tc>
          <w:tcPr>
            <w:tcW w:w="738" w:type="dxa"/>
            <w:shd w:val="clear" w:color="auto" w:fill="auto"/>
            <w:vAlign w:val="center"/>
          </w:tcPr>
          <w:p w14:paraId="46A7CB16" w14:textId="10D9455C" w:rsidR="009C7FD9" w:rsidRPr="006D2F6B" w:rsidRDefault="009C7FD9" w:rsidP="00E57136">
            <w:pPr>
              <w:jc w:val="center"/>
            </w:pPr>
          </w:p>
        </w:tc>
        <w:tc>
          <w:tcPr>
            <w:tcW w:w="1052" w:type="dxa"/>
            <w:shd w:val="clear" w:color="auto" w:fill="auto"/>
            <w:vAlign w:val="center"/>
          </w:tcPr>
          <w:p w14:paraId="2E26DE3D" w14:textId="7A469995" w:rsidR="009C7FD9" w:rsidRPr="006D2F6B" w:rsidRDefault="007E596F" w:rsidP="00E57136">
            <w:pPr>
              <w:jc w:val="center"/>
            </w:pPr>
            <w:r>
              <w:t>76.5%</w:t>
            </w:r>
          </w:p>
        </w:tc>
        <w:tc>
          <w:tcPr>
            <w:tcW w:w="1052" w:type="dxa"/>
            <w:shd w:val="clear" w:color="auto" w:fill="auto"/>
            <w:vAlign w:val="center"/>
          </w:tcPr>
          <w:p w14:paraId="24289C6F" w14:textId="7D7F4B8D" w:rsidR="009C7FD9" w:rsidRPr="006D2F6B" w:rsidRDefault="007E596F" w:rsidP="00E57136">
            <w:pPr>
              <w:jc w:val="center"/>
            </w:pPr>
            <w:r>
              <w:t>71.1%</w:t>
            </w:r>
          </w:p>
        </w:tc>
        <w:tc>
          <w:tcPr>
            <w:tcW w:w="996" w:type="dxa"/>
            <w:shd w:val="clear" w:color="auto" w:fill="auto"/>
            <w:vAlign w:val="center"/>
          </w:tcPr>
          <w:p w14:paraId="450612BC" w14:textId="0B79F872" w:rsidR="009C7FD9" w:rsidRPr="006D2F6B" w:rsidRDefault="008C64DF" w:rsidP="00E57136">
            <w:pPr>
              <w:jc w:val="center"/>
            </w:pPr>
            <w:r>
              <w:t>74.5</w:t>
            </w:r>
          </w:p>
        </w:tc>
        <w:tc>
          <w:tcPr>
            <w:tcW w:w="1052" w:type="dxa"/>
            <w:shd w:val="clear" w:color="auto" w:fill="auto"/>
            <w:vAlign w:val="center"/>
          </w:tcPr>
          <w:p w14:paraId="150989EB" w14:textId="39D2B24C" w:rsidR="009C7FD9" w:rsidRPr="006D2F6B" w:rsidRDefault="008C64DF" w:rsidP="00E57136">
            <w:pPr>
              <w:jc w:val="center"/>
            </w:pPr>
            <w:r>
              <w:t>72.2</w:t>
            </w:r>
          </w:p>
        </w:tc>
        <w:tc>
          <w:tcPr>
            <w:tcW w:w="755" w:type="dxa"/>
            <w:shd w:val="clear" w:color="auto" w:fill="auto"/>
            <w:vAlign w:val="center"/>
          </w:tcPr>
          <w:p w14:paraId="29FCCB1F" w14:textId="77777777" w:rsidR="009C7FD9" w:rsidRPr="006D2F6B" w:rsidRDefault="009C7FD9" w:rsidP="00E57136">
            <w:pPr>
              <w:jc w:val="center"/>
            </w:pPr>
          </w:p>
        </w:tc>
      </w:tr>
      <w:tr w:rsidR="009C7FD9" w14:paraId="7582C6AE" w14:textId="77777777" w:rsidTr="00E57136">
        <w:trPr>
          <w:jc w:val="center"/>
        </w:trPr>
        <w:tc>
          <w:tcPr>
            <w:tcW w:w="3393" w:type="dxa"/>
            <w:shd w:val="clear" w:color="auto" w:fill="auto"/>
          </w:tcPr>
          <w:p w14:paraId="17136375" w14:textId="06E0F207" w:rsidR="009C7FD9" w:rsidRPr="006D2F6B" w:rsidRDefault="009C7FD9" w:rsidP="009C7FD9">
            <w:pPr>
              <w:pStyle w:val="PlainText"/>
            </w:pPr>
            <w:r>
              <w:t>Proportion of parents who agree that students feel safe at school improves by 5% points</w:t>
            </w:r>
          </w:p>
        </w:tc>
        <w:tc>
          <w:tcPr>
            <w:tcW w:w="738" w:type="dxa"/>
            <w:shd w:val="clear" w:color="auto" w:fill="auto"/>
            <w:vAlign w:val="center"/>
          </w:tcPr>
          <w:p w14:paraId="5DDB3CA5" w14:textId="17825078" w:rsidR="009C7FD9" w:rsidRPr="006D2F6B" w:rsidRDefault="009C7FD9" w:rsidP="00E57136">
            <w:pPr>
              <w:jc w:val="center"/>
            </w:pPr>
          </w:p>
        </w:tc>
        <w:tc>
          <w:tcPr>
            <w:tcW w:w="1052" w:type="dxa"/>
            <w:shd w:val="clear" w:color="auto" w:fill="auto"/>
            <w:vAlign w:val="center"/>
          </w:tcPr>
          <w:p w14:paraId="3EB2682C" w14:textId="7D55CE5A" w:rsidR="009C7FD9" w:rsidRPr="006D2F6B" w:rsidRDefault="007E596F" w:rsidP="00E57136">
            <w:pPr>
              <w:jc w:val="center"/>
            </w:pPr>
            <w:r>
              <w:t>81.7%</w:t>
            </w:r>
          </w:p>
        </w:tc>
        <w:tc>
          <w:tcPr>
            <w:tcW w:w="1052" w:type="dxa"/>
            <w:shd w:val="clear" w:color="auto" w:fill="auto"/>
            <w:vAlign w:val="center"/>
          </w:tcPr>
          <w:p w14:paraId="5D533ED8" w14:textId="5FDA4CD4" w:rsidR="009C7FD9" w:rsidRPr="006D2F6B" w:rsidRDefault="007E596F" w:rsidP="00E57136">
            <w:pPr>
              <w:jc w:val="center"/>
            </w:pPr>
            <w:r>
              <w:t>91.5%</w:t>
            </w:r>
          </w:p>
        </w:tc>
        <w:tc>
          <w:tcPr>
            <w:tcW w:w="996" w:type="dxa"/>
            <w:shd w:val="clear" w:color="auto" w:fill="auto"/>
            <w:vAlign w:val="center"/>
          </w:tcPr>
          <w:p w14:paraId="5D9EBCA8" w14:textId="6D5A157B" w:rsidR="009C7FD9" w:rsidRPr="006D2F6B" w:rsidRDefault="008C64DF" w:rsidP="00E57136">
            <w:pPr>
              <w:jc w:val="center"/>
            </w:pPr>
            <w:r>
              <w:t>90.6</w:t>
            </w:r>
          </w:p>
        </w:tc>
        <w:tc>
          <w:tcPr>
            <w:tcW w:w="1052" w:type="dxa"/>
            <w:shd w:val="clear" w:color="auto" w:fill="auto"/>
            <w:vAlign w:val="center"/>
          </w:tcPr>
          <w:p w14:paraId="2DB87138" w14:textId="39CD00B9" w:rsidR="009C7FD9" w:rsidRPr="006D2F6B" w:rsidRDefault="008C64DF" w:rsidP="00E57136">
            <w:pPr>
              <w:jc w:val="center"/>
            </w:pPr>
            <w:r>
              <w:t>90.4</w:t>
            </w:r>
          </w:p>
        </w:tc>
        <w:tc>
          <w:tcPr>
            <w:tcW w:w="755" w:type="dxa"/>
            <w:shd w:val="clear" w:color="auto" w:fill="auto"/>
            <w:vAlign w:val="center"/>
          </w:tcPr>
          <w:p w14:paraId="17DC324F" w14:textId="77777777" w:rsidR="009C7FD9" w:rsidRPr="006D2F6B" w:rsidRDefault="009C7FD9" w:rsidP="00E57136">
            <w:pPr>
              <w:jc w:val="center"/>
            </w:pPr>
          </w:p>
        </w:tc>
      </w:tr>
      <w:tr w:rsidR="009C7FD9" w14:paraId="309F84F2" w14:textId="77777777" w:rsidTr="00E57136">
        <w:trPr>
          <w:jc w:val="center"/>
        </w:trPr>
        <w:tc>
          <w:tcPr>
            <w:tcW w:w="3393" w:type="dxa"/>
            <w:shd w:val="clear" w:color="auto" w:fill="auto"/>
          </w:tcPr>
          <w:p w14:paraId="350CF414" w14:textId="450AE1C1" w:rsidR="009C7FD9" w:rsidRPr="006D2F6B" w:rsidRDefault="009C7FD9" w:rsidP="009C7FD9">
            <w:pPr>
              <w:pStyle w:val="PlainText"/>
            </w:pPr>
            <w:r>
              <w:t>Proportion of parents who believe they are encouraged to be involved in the school as partners in their children’s learning improves by 5% points</w:t>
            </w:r>
          </w:p>
        </w:tc>
        <w:tc>
          <w:tcPr>
            <w:tcW w:w="738" w:type="dxa"/>
            <w:shd w:val="clear" w:color="auto" w:fill="auto"/>
          </w:tcPr>
          <w:p w14:paraId="4CFC6846" w14:textId="77777777" w:rsidR="009C7FD9" w:rsidRPr="006D2F6B" w:rsidRDefault="009C7FD9" w:rsidP="009C7FD9"/>
        </w:tc>
        <w:tc>
          <w:tcPr>
            <w:tcW w:w="1052" w:type="dxa"/>
            <w:shd w:val="clear" w:color="auto" w:fill="auto"/>
            <w:vAlign w:val="center"/>
          </w:tcPr>
          <w:p w14:paraId="0A392A70" w14:textId="54DBBF16" w:rsidR="009C7FD9" w:rsidRPr="006D2F6B" w:rsidRDefault="00EE14B7" w:rsidP="00E57136">
            <w:pPr>
              <w:jc w:val="center"/>
            </w:pPr>
            <w:r>
              <w:t>87.8</w:t>
            </w:r>
          </w:p>
        </w:tc>
        <w:tc>
          <w:tcPr>
            <w:tcW w:w="1052" w:type="dxa"/>
            <w:shd w:val="clear" w:color="auto" w:fill="auto"/>
            <w:vAlign w:val="center"/>
          </w:tcPr>
          <w:p w14:paraId="4E1DB878" w14:textId="5BC2F9E6" w:rsidR="009C7FD9" w:rsidRPr="006D2F6B" w:rsidRDefault="00EE14B7" w:rsidP="00E57136">
            <w:pPr>
              <w:jc w:val="center"/>
            </w:pPr>
            <w:r>
              <w:t>89.9</w:t>
            </w:r>
          </w:p>
        </w:tc>
        <w:tc>
          <w:tcPr>
            <w:tcW w:w="996" w:type="dxa"/>
            <w:shd w:val="clear" w:color="auto" w:fill="auto"/>
            <w:vAlign w:val="center"/>
          </w:tcPr>
          <w:p w14:paraId="653AACC2" w14:textId="6CDAE808" w:rsidR="009C7FD9" w:rsidRPr="006D2F6B" w:rsidRDefault="00EE14B7" w:rsidP="00E57136">
            <w:pPr>
              <w:jc w:val="center"/>
            </w:pPr>
            <w:r>
              <w:t>86.3</w:t>
            </w:r>
          </w:p>
        </w:tc>
        <w:tc>
          <w:tcPr>
            <w:tcW w:w="1052" w:type="dxa"/>
            <w:shd w:val="clear" w:color="auto" w:fill="auto"/>
            <w:vAlign w:val="center"/>
          </w:tcPr>
          <w:p w14:paraId="17026E2A" w14:textId="38C5E4E4" w:rsidR="009C7FD9" w:rsidRPr="006D2F6B" w:rsidRDefault="00EE14B7" w:rsidP="00E57136">
            <w:pPr>
              <w:jc w:val="center"/>
            </w:pPr>
            <w:r>
              <w:t>93.3</w:t>
            </w:r>
          </w:p>
        </w:tc>
        <w:tc>
          <w:tcPr>
            <w:tcW w:w="755" w:type="dxa"/>
            <w:shd w:val="clear" w:color="auto" w:fill="auto"/>
            <w:vAlign w:val="center"/>
          </w:tcPr>
          <w:p w14:paraId="5348F302" w14:textId="77777777" w:rsidR="009C7FD9" w:rsidRPr="006D2F6B" w:rsidRDefault="009C7FD9" w:rsidP="00E57136">
            <w:pPr>
              <w:jc w:val="center"/>
            </w:pPr>
          </w:p>
        </w:tc>
      </w:tr>
    </w:tbl>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C37E09" w14:paraId="18FB16D9" w14:textId="77777777" w:rsidTr="009C7FD9">
        <w:trPr>
          <w:jc w:val="center"/>
        </w:trPr>
        <w:tc>
          <w:tcPr>
            <w:tcW w:w="4297" w:type="dxa"/>
            <w:shd w:val="clear" w:color="auto" w:fill="auto"/>
          </w:tcPr>
          <w:p w14:paraId="78C0C329" w14:textId="0A2B98BE" w:rsidR="00C37E09" w:rsidRPr="006D2F6B" w:rsidRDefault="00C37E09" w:rsidP="00C37E09">
            <w:pPr>
              <w:rPr>
                <w:b/>
              </w:rPr>
            </w:pPr>
            <w:r w:rsidRPr="006D2F6B">
              <w:rPr>
                <w:b/>
              </w:rPr>
              <w:t>Targets or Measures</w:t>
            </w:r>
          </w:p>
        </w:tc>
        <w:tc>
          <w:tcPr>
            <w:tcW w:w="790" w:type="dxa"/>
            <w:shd w:val="clear" w:color="auto" w:fill="auto"/>
          </w:tcPr>
          <w:p w14:paraId="4BEB5C7C" w14:textId="77777777" w:rsidR="00C37E09" w:rsidRDefault="00C37E09" w:rsidP="00C37E09">
            <w:pPr>
              <w:jc w:val="center"/>
              <w:rPr>
                <w:b/>
              </w:rPr>
            </w:pPr>
            <w:r w:rsidRPr="006D2F6B">
              <w:rPr>
                <w:b/>
              </w:rPr>
              <w:t>Base</w:t>
            </w:r>
          </w:p>
          <w:p w14:paraId="160BF761" w14:textId="5C2BD5F5" w:rsidR="007E596F" w:rsidRPr="006D2F6B" w:rsidRDefault="007E596F" w:rsidP="00C37E09">
            <w:pPr>
              <w:jc w:val="center"/>
              <w:rPr>
                <w:b/>
              </w:rPr>
            </w:pPr>
            <w:r>
              <w:rPr>
                <w:b/>
              </w:rPr>
              <w:t>2015</w:t>
            </w:r>
          </w:p>
        </w:tc>
        <w:tc>
          <w:tcPr>
            <w:tcW w:w="790" w:type="dxa"/>
            <w:shd w:val="clear" w:color="auto" w:fill="auto"/>
          </w:tcPr>
          <w:p w14:paraId="641E04E6" w14:textId="54C23DDA" w:rsidR="00C37E09" w:rsidRPr="006D2F6B" w:rsidRDefault="007E596F" w:rsidP="00C37E09">
            <w:pPr>
              <w:jc w:val="center"/>
              <w:rPr>
                <w:b/>
              </w:rPr>
            </w:pPr>
            <w:r>
              <w:rPr>
                <w:b/>
              </w:rPr>
              <w:t>2016</w:t>
            </w:r>
          </w:p>
        </w:tc>
        <w:tc>
          <w:tcPr>
            <w:tcW w:w="790" w:type="dxa"/>
            <w:shd w:val="clear" w:color="auto" w:fill="auto"/>
          </w:tcPr>
          <w:p w14:paraId="6EAEE263" w14:textId="3ACBB00F" w:rsidR="00C37E09" w:rsidRPr="006D2F6B" w:rsidRDefault="007E596F" w:rsidP="00C37E09">
            <w:pPr>
              <w:jc w:val="center"/>
              <w:rPr>
                <w:b/>
              </w:rPr>
            </w:pPr>
            <w:r>
              <w:rPr>
                <w:b/>
              </w:rPr>
              <w:t>2017</w:t>
            </w:r>
          </w:p>
        </w:tc>
        <w:tc>
          <w:tcPr>
            <w:tcW w:w="790" w:type="dxa"/>
            <w:shd w:val="clear" w:color="auto" w:fill="auto"/>
          </w:tcPr>
          <w:p w14:paraId="462FF350" w14:textId="332DFD73" w:rsidR="00C37E09" w:rsidRPr="006D2F6B" w:rsidRDefault="007E596F" w:rsidP="00C37E09">
            <w:pPr>
              <w:jc w:val="center"/>
              <w:rPr>
                <w:b/>
              </w:rPr>
            </w:pPr>
            <w:r>
              <w:rPr>
                <w:b/>
              </w:rPr>
              <w:t>2018</w:t>
            </w:r>
          </w:p>
        </w:tc>
        <w:tc>
          <w:tcPr>
            <w:tcW w:w="790" w:type="dxa"/>
            <w:shd w:val="clear" w:color="auto" w:fill="auto"/>
          </w:tcPr>
          <w:p w14:paraId="38962DF0" w14:textId="066101FE" w:rsidR="00C37E09" w:rsidRPr="006D2F6B" w:rsidRDefault="007E596F" w:rsidP="00C37E09">
            <w:pPr>
              <w:jc w:val="center"/>
              <w:rPr>
                <w:b/>
              </w:rPr>
            </w:pPr>
            <w:r>
              <w:rPr>
                <w:b/>
              </w:rPr>
              <w:t>2019</w:t>
            </w:r>
          </w:p>
        </w:tc>
        <w:tc>
          <w:tcPr>
            <w:tcW w:w="791" w:type="dxa"/>
            <w:shd w:val="clear" w:color="auto" w:fill="auto"/>
          </w:tcPr>
          <w:p w14:paraId="746D1CE9" w14:textId="52961F40" w:rsidR="00C37E09" w:rsidRPr="006D2F6B" w:rsidRDefault="007E596F" w:rsidP="00C37E09">
            <w:pPr>
              <w:jc w:val="center"/>
              <w:rPr>
                <w:b/>
              </w:rPr>
            </w:pPr>
            <w:r>
              <w:rPr>
                <w:b/>
              </w:rPr>
              <w:t>20</w:t>
            </w:r>
            <w:r w:rsidR="00637830">
              <w:rPr>
                <w:b/>
              </w:rPr>
              <w:t>20</w:t>
            </w:r>
          </w:p>
        </w:tc>
      </w:tr>
      <w:tr w:rsidR="00A43D1F" w14:paraId="1A210E0B" w14:textId="77777777" w:rsidTr="009C7FD9">
        <w:trPr>
          <w:jc w:val="center"/>
        </w:trPr>
        <w:tc>
          <w:tcPr>
            <w:tcW w:w="4297" w:type="dxa"/>
            <w:shd w:val="clear" w:color="auto" w:fill="auto"/>
          </w:tcPr>
          <w:p w14:paraId="73A85493" w14:textId="3FE79201" w:rsidR="00A43D1F" w:rsidRPr="006D2F6B" w:rsidRDefault="00A43D1F" w:rsidP="00A43D1F">
            <w:pPr>
              <w:pStyle w:val="PlainText"/>
            </w:pPr>
            <w:r>
              <w:t>SET Features and Implementation Scores (PBL)</w:t>
            </w:r>
          </w:p>
        </w:tc>
        <w:tc>
          <w:tcPr>
            <w:tcW w:w="790" w:type="dxa"/>
            <w:shd w:val="clear" w:color="auto" w:fill="auto"/>
          </w:tcPr>
          <w:p w14:paraId="1BC19220" w14:textId="6A9A7E75" w:rsidR="00A43D1F" w:rsidRPr="006D2F6B" w:rsidRDefault="00A43D1F" w:rsidP="00A43D1F">
            <w:r>
              <w:t>N/A</w:t>
            </w:r>
          </w:p>
        </w:tc>
        <w:tc>
          <w:tcPr>
            <w:tcW w:w="790" w:type="dxa"/>
            <w:shd w:val="clear" w:color="auto" w:fill="auto"/>
          </w:tcPr>
          <w:p w14:paraId="6C0F9FE0" w14:textId="55A02FF0" w:rsidR="00A43D1F" w:rsidRPr="006D2F6B" w:rsidRDefault="00A43D1F" w:rsidP="00A43D1F">
            <w:r>
              <w:t>N/A</w:t>
            </w:r>
          </w:p>
        </w:tc>
        <w:tc>
          <w:tcPr>
            <w:tcW w:w="790" w:type="dxa"/>
            <w:shd w:val="clear" w:color="auto" w:fill="auto"/>
          </w:tcPr>
          <w:p w14:paraId="2E7554CE" w14:textId="51FCE00D" w:rsidR="00A43D1F" w:rsidRPr="006D2F6B" w:rsidRDefault="00A43D1F" w:rsidP="00A43D1F">
            <w:r>
              <w:t>69.3%</w:t>
            </w:r>
          </w:p>
        </w:tc>
        <w:tc>
          <w:tcPr>
            <w:tcW w:w="790" w:type="dxa"/>
            <w:shd w:val="clear" w:color="auto" w:fill="auto"/>
          </w:tcPr>
          <w:p w14:paraId="66432333" w14:textId="6D2C3B8B" w:rsidR="00A43D1F" w:rsidRPr="006D2F6B" w:rsidRDefault="00A43D1F" w:rsidP="00A43D1F">
            <w:r>
              <w:t>97.7%</w:t>
            </w:r>
          </w:p>
        </w:tc>
        <w:tc>
          <w:tcPr>
            <w:tcW w:w="790" w:type="dxa"/>
            <w:shd w:val="clear" w:color="auto" w:fill="auto"/>
          </w:tcPr>
          <w:p w14:paraId="38AA367E" w14:textId="54F5481E" w:rsidR="00A43D1F" w:rsidRPr="006D2F6B" w:rsidRDefault="00A43D1F" w:rsidP="00A43D1F">
            <w:r>
              <w:t>96.8%</w:t>
            </w:r>
          </w:p>
        </w:tc>
        <w:tc>
          <w:tcPr>
            <w:tcW w:w="791" w:type="dxa"/>
            <w:shd w:val="clear" w:color="auto" w:fill="auto"/>
          </w:tcPr>
          <w:p w14:paraId="74F946E1" w14:textId="77777777" w:rsidR="00A43D1F" w:rsidRPr="006D2F6B" w:rsidRDefault="00A43D1F" w:rsidP="00A43D1F"/>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0162E8B4" w14:textId="733E3F20" w:rsidR="00FD290D" w:rsidRDefault="00FD290D" w:rsidP="009C7FD9">
            <w:pPr>
              <w:pStyle w:val="PlainText"/>
              <w:numPr>
                <w:ilvl w:val="0"/>
                <w:numId w:val="2"/>
              </w:numPr>
              <w:ind w:left="426" w:hanging="425"/>
            </w:pPr>
            <w:r>
              <w:t>This evidence shows a fluctuation in the percentage of Staff, Students, Parents and how they perceive the school</w:t>
            </w:r>
          </w:p>
          <w:p w14:paraId="0E0771BC" w14:textId="052B10A2" w:rsidR="00FD290D" w:rsidRDefault="00FD290D" w:rsidP="009C7FD9">
            <w:pPr>
              <w:pStyle w:val="PlainText"/>
              <w:numPr>
                <w:ilvl w:val="0"/>
                <w:numId w:val="2"/>
              </w:numPr>
              <w:ind w:left="426" w:hanging="425"/>
            </w:pPr>
            <w:r>
              <w:t>Our PBL data shows consistent growth and thorough implementation across the community</w:t>
            </w:r>
          </w:p>
          <w:p w14:paraId="6029B772" w14:textId="13484B15" w:rsidR="00FD290D" w:rsidRDefault="00FD290D" w:rsidP="009C7FD9">
            <w:pPr>
              <w:pStyle w:val="PlainText"/>
              <w:numPr>
                <w:ilvl w:val="0"/>
                <w:numId w:val="2"/>
              </w:numPr>
              <w:ind w:left="426" w:hanging="425"/>
            </w:pPr>
            <w:r>
              <w:t xml:space="preserve">Evidence considered from other data, positive acknowledgements, P&amp;C feedback, community engagement, attendance growth support the development of a positive learning culture </w:t>
            </w:r>
          </w:p>
          <w:p w14:paraId="59D58B72" w14:textId="18E3988C" w:rsidR="00FD290D" w:rsidRDefault="00FD290D" w:rsidP="009C7FD9">
            <w:pPr>
              <w:pStyle w:val="PlainText"/>
              <w:numPr>
                <w:ilvl w:val="0"/>
                <w:numId w:val="2"/>
              </w:numPr>
              <w:ind w:left="426" w:hanging="425"/>
            </w:pPr>
            <w:r>
              <w:t xml:space="preserve">Consideration in the next AP is focused on </w:t>
            </w:r>
            <w:r w:rsidR="000B45A2">
              <w:t>additional community engagement, with more meaning partnerships. Building cultural integrity across the whole school will be a focus.</w:t>
            </w:r>
          </w:p>
          <w:p w14:paraId="17DDC188" w14:textId="5DC68F40" w:rsidR="00EB70CE" w:rsidRDefault="00EB70CE" w:rsidP="000B45A2">
            <w:pPr>
              <w:pStyle w:val="PlainText"/>
              <w:ind w:left="1"/>
            </w:pPr>
          </w:p>
        </w:tc>
      </w:tr>
    </w:tbl>
    <w:p w14:paraId="529C3E95" w14:textId="0BE20FDE" w:rsidR="00937D6F" w:rsidRDefault="00937D6F" w:rsidP="00937D6F">
      <w:pPr>
        <w:pStyle w:val="Heading3"/>
      </w:pPr>
      <w:r>
        <w:lastRenderedPageBreak/>
        <w:t>Our achievements for this priority</w:t>
      </w:r>
    </w:p>
    <w:p w14:paraId="7A877F34" w14:textId="70A9BC30"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9C7FD9">
        <w:trPr>
          <w:trHeight w:val="223"/>
          <w:jc w:val="center"/>
        </w:trPr>
        <w:tc>
          <w:tcPr>
            <w:tcW w:w="9016" w:type="dxa"/>
            <w:shd w:val="clear" w:color="auto" w:fill="auto"/>
          </w:tcPr>
          <w:p w14:paraId="433F4FDB" w14:textId="77777777" w:rsidR="00937D6F" w:rsidRDefault="004318F5" w:rsidP="00CA26FB">
            <w:pPr>
              <w:pStyle w:val="ListBullet"/>
            </w:pPr>
            <w:r>
              <w:t>Whole staff PL</w:t>
            </w:r>
          </w:p>
          <w:p w14:paraId="4AB3A30C" w14:textId="77777777" w:rsidR="004318F5" w:rsidRDefault="004318F5" w:rsidP="004318F5">
            <w:pPr>
              <w:pStyle w:val="ListBullet2"/>
            </w:pPr>
            <w:r>
              <w:t>Building the Field</w:t>
            </w:r>
          </w:p>
          <w:p w14:paraId="773126C5" w14:textId="77777777" w:rsidR="004318F5" w:rsidRDefault="004318F5" w:rsidP="004318F5">
            <w:pPr>
              <w:pStyle w:val="ListBullet2"/>
            </w:pPr>
            <w:r>
              <w:t>Resolve and Inquiry Maths 6 workshops</w:t>
            </w:r>
          </w:p>
          <w:p w14:paraId="281EF910" w14:textId="77777777" w:rsidR="004318F5" w:rsidRDefault="004318F5" w:rsidP="004318F5">
            <w:pPr>
              <w:pStyle w:val="ListBullet2"/>
            </w:pPr>
            <w:r>
              <w:t>10 Essential Skills – Departmental PL</w:t>
            </w:r>
          </w:p>
          <w:p w14:paraId="1AE3F47A" w14:textId="77777777" w:rsidR="00DF5F48" w:rsidRDefault="00DF5F48" w:rsidP="00DF5F48">
            <w:pPr>
              <w:pStyle w:val="ListBullet"/>
            </w:pPr>
            <w:r>
              <w:t>Building and developing the Inquiry Whole School approach.</w:t>
            </w:r>
          </w:p>
          <w:p w14:paraId="2846EAA1" w14:textId="77777777" w:rsidR="00DF5F48" w:rsidRDefault="00DF5F48" w:rsidP="00DF5F48">
            <w:pPr>
              <w:pStyle w:val="ListBullet2"/>
            </w:pPr>
            <w:r>
              <w:t>Work done across the school, developing beliefs and practices and defining what training will occur in 2020</w:t>
            </w:r>
          </w:p>
          <w:p w14:paraId="3349CFC7" w14:textId="77777777" w:rsidR="00DF5F48" w:rsidRDefault="00DF5F48" w:rsidP="00DF5F48">
            <w:pPr>
              <w:pStyle w:val="ListBullet"/>
            </w:pPr>
            <w:r>
              <w:t>Ongoing work with teams on PLC’s</w:t>
            </w:r>
          </w:p>
          <w:p w14:paraId="6D28296B" w14:textId="77777777" w:rsidR="00DF5F48" w:rsidRDefault="00DF5F48" w:rsidP="00DF5F48">
            <w:pPr>
              <w:pStyle w:val="ListBullet"/>
            </w:pPr>
            <w:r>
              <w:t>Planning for 2020 to prioritise this across the whole school</w:t>
            </w:r>
          </w:p>
          <w:p w14:paraId="4F19C6D9" w14:textId="238022D3" w:rsidR="00DF5F48" w:rsidRPr="00CA26FB" w:rsidRDefault="00DF5F48" w:rsidP="00DF5F48">
            <w:pPr>
              <w:pStyle w:val="ListBullet"/>
            </w:pPr>
          </w:p>
        </w:tc>
      </w:tr>
      <w:tr w:rsidR="004318F5" w14:paraId="19AE3DD9" w14:textId="77777777" w:rsidTr="009C7FD9">
        <w:trPr>
          <w:trHeight w:val="223"/>
          <w:jc w:val="center"/>
        </w:trPr>
        <w:tc>
          <w:tcPr>
            <w:tcW w:w="9016" w:type="dxa"/>
            <w:shd w:val="clear" w:color="auto" w:fill="auto"/>
          </w:tcPr>
          <w:p w14:paraId="7D741B95" w14:textId="77777777" w:rsidR="004318F5" w:rsidRDefault="00DF5F48" w:rsidP="00CA26FB">
            <w:pPr>
              <w:pStyle w:val="ListBullet"/>
            </w:pPr>
            <w:r>
              <w:t>Improved community events across the year</w:t>
            </w:r>
          </w:p>
          <w:p w14:paraId="645CB226" w14:textId="77777777" w:rsidR="00DF5F48" w:rsidRDefault="00DF5F48" w:rsidP="00CA26FB">
            <w:pPr>
              <w:pStyle w:val="ListBullet"/>
            </w:pPr>
            <w:r>
              <w:t>Whole school assemblies and celebrations.</w:t>
            </w:r>
          </w:p>
          <w:p w14:paraId="3CA2DB80" w14:textId="317E94B7" w:rsidR="00DF5F48" w:rsidRDefault="00DF5F48" w:rsidP="00DF5F48">
            <w:pPr>
              <w:pStyle w:val="ListBullet2"/>
            </w:pPr>
            <w:r>
              <w:t xml:space="preserve">Recognised nationally for ANZAC and </w:t>
            </w:r>
            <w:r w:rsidR="00937023">
              <w:t>Remembrance Day</w:t>
            </w:r>
            <w:r>
              <w:t xml:space="preserve"> </w:t>
            </w:r>
            <w:r w:rsidR="00937023">
              <w:t>commemorations.</w:t>
            </w:r>
          </w:p>
          <w:p w14:paraId="00F7FF7A" w14:textId="77777777" w:rsidR="00937023" w:rsidRDefault="00937023" w:rsidP="00DF5F48">
            <w:pPr>
              <w:pStyle w:val="ListBullet2"/>
            </w:pPr>
            <w:r>
              <w:t>Harmony day</w:t>
            </w:r>
          </w:p>
          <w:p w14:paraId="2DE4878D" w14:textId="77777777" w:rsidR="00937023" w:rsidRDefault="00937023" w:rsidP="00DF5F48">
            <w:pPr>
              <w:pStyle w:val="ListBullet2"/>
            </w:pPr>
            <w:r>
              <w:t>Senior school excursion to reconciliation place</w:t>
            </w:r>
          </w:p>
          <w:p w14:paraId="4D035A94" w14:textId="690467DE" w:rsidR="00937023" w:rsidRDefault="00937023" w:rsidP="00DF5F48">
            <w:pPr>
              <w:pStyle w:val="ListBullet2"/>
            </w:pPr>
            <w:r>
              <w:t xml:space="preserve">Active and positive Facebook and community communications </w:t>
            </w:r>
          </w:p>
          <w:p w14:paraId="69119985" w14:textId="6EA0C85A" w:rsidR="00937023" w:rsidRDefault="00937023" w:rsidP="00DF5F48">
            <w:pPr>
              <w:pStyle w:val="ListBullet2"/>
            </w:pPr>
            <w:r>
              <w:t>End of year concert</w:t>
            </w:r>
          </w:p>
          <w:p w14:paraId="29330DF9" w14:textId="4D8C6A8C" w:rsidR="00937023" w:rsidRDefault="00937023" w:rsidP="00DF5F48">
            <w:pPr>
              <w:pStyle w:val="ListBullet2"/>
            </w:pPr>
            <w:r>
              <w:t>Wakkakirri performance and community support</w:t>
            </w:r>
          </w:p>
          <w:p w14:paraId="1EE06A8F" w14:textId="79E33952" w:rsidR="00937023" w:rsidRDefault="00937023" w:rsidP="00DF5F48">
            <w:pPr>
              <w:pStyle w:val="ListBullet2"/>
            </w:pPr>
            <w:r>
              <w:t>Growing P&amp;C and fundraising events</w:t>
            </w:r>
          </w:p>
          <w:p w14:paraId="3D81D8F0" w14:textId="77777777" w:rsidR="00937023" w:rsidRDefault="00937023" w:rsidP="00937023">
            <w:pPr>
              <w:pStyle w:val="ListBullet"/>
            </w:pPr>
            <w:r>
              <w:t xml:space="preserve">Strong support from community helpers, working in reading intervention café </w:t>
            </w:r>
          </w:p>
          <w:p w14:paraId="0F81DAF8" w14:textId="77777777" w:rsidR="00937023" w:rsidRDefault="00A1635C" w:rsidP="00937023">
            <w:pPr>
              <w:pStyle w:val="ListBullet"/>
            </w:pPr>
            <w:r>
              <w:t>Engaged with the Childhood Trauma foundation to support student wellbeing.</w:t>
            </w:r>
          </w:p>
          <w:p w14:paraId="3A098132" w14:textId="6F177009" w:rsidR="00A1635C" w:rsidRDefault="00A1635C" w:rsidP="00A1635C">
            <w:pPr>
              <w:pStyle w:val="ListBullet2"/>
            </w:pPr>
            <w:r>
              <w:t xml:space="preserve">Delivered PL on 2 occasions to whole school regards trauma and proactive steps to engage students </w:t>
            </w:r>
          </w:p>
        </w:tc>
      </w:tr>
      <w:tr w:rsidR="00937023" w14:paraId="0919079D" w14:textId="77777777" w:rsidTr="009C7FD9">
        <w:trPr>
          <w:trHeight w:val="223"/>
          <w:jc w:val="center"/>
        </w:trPr>
        <w:tc>
          <w:tcPr>
            <w:tcW w:w="9016" w:type="dxa"/>
            <w:shd w:val="clear" w:color="auto" w:fill="auto"/>
          </w:tcPr>
          <w:p w14:paraId="48BD1DE7" w14:textId="77777777" w:rsidR="00937023" w:rsidRDefault="00937023" w:rsidP="00CA26FB">
            <w:pPr>
              <w:pStyle w:val="ListBullet"/>
            </w:pPr>
            <w:r>
              <w:t xml:space="preserve">Continual growth and development of our Positive Behaviours for Learning framework </w:t>
            </w:r>
          </w:p>
          <w:p w14:paraId="5212FB27" w14:textId="6439BA02" w:rsidR="00937023" w:rsidRDefault="00937023" w:rsidP="00CA26FB">
            <w:pPr>
              <w:pStyle w:val="ListBullet"/>
            </w:pPr>
            <w:r>
              <w:t>Behavioural data reflecting positive trends, RTI modelling showing support for interventions</w:t>
            </w:r>
          </w:p>
          <w:p w14:paraId="0AC923AE" w14:textId="77777777" w:rsidR="00937023" w:rsidRDefault="00937023" w:rsidP="00CA26FB">
            <w:pPr>
              <w:pStyle w:val="ListBullet"/>
            </w:pPr>
            <w:r>
              <w:t xml:space="preserve">Use of </w:t>
            </w:r>
            <w:r w:rsidR="00A1635C">
              <w:t>positive acknowledgements to support positive behaviours.</w:t>
            </w:r>
          </w:p>
          <w:p w14:paraId="2C66D851" w14:textId="77777777" w:rsidR="00A1635C" w:rsidRDefault="00A1635C" w:rsidP="00A1635C">
            <w:pPr>
              <w:pStyle w:val="ListBullet2"/>
            </w:pPr>
            <w:r>
              <w:t>Over 75,000 acknowledgements across the year</w:t>
            </w:r>
          </w:p>
          <w:p w14:paraId="286FCE6E" w14:textId="77777777" w:rsidR="00A1635C" w:rsidRDefault="00A1635C" w:rsidP="00A1635C">
            <w:pPr>
              <w:pStyle w:val="ListBullet"/>
            </w:pPr>
            <w:r>
              <w:t>Training received for the schools PBL strategic team.</w:t>
            </w:r>
          </w:p>
          <w:p w14:paraId="748F613D" w14:textId="77777777" w:rsidR="00A1635C" w:rsidRDefault="00A1635C" w:rsidP="00A1635C">
            <w:pPr>
              <w:pStyle w:val="ListBullet2"/>
            </w:pPr>
            <w:r>
              <w:t xml:space="preserve">First school to be trained in Tier 2 interventions </w:t>
            </w:r>
          </w:p>
          <w:p w14:paraId="6D0DA443" w14:textId="77777777" w:rsidR="00A1635C" w:rsidRDefault="00A1635C" w:rsidP="00A1635C">
            <w:pPr>
              <w:pStyle w:val="ListBullet2"/>
            </w:pPr>
            <w:r>
              <w:t>Work with the PBL ESO team to develop and receive training</w:t>
            </w:r>
          </w:p>
          <w:p w14:paraId="5E6D7CD5" w14:textId="77777777" w:rsidR="00A1635C" w:rsidRDefault="00A1635C" w:rsidP="00A1635C">
            <w:pPr>
              <w:pStyle w:val="ListBullet2"/>
            </w:pPr>
            <w:r>
              <w:t xml:space="preserve">Implementing process in 2020 for students </w:t>
            </w:r>
          </w:p>
          <w:p w14:paraId="2EF1B0D1" w14:textId="40756C85" w:rsidR="00B87025" w:rsidRDefault="00B87025" w:rsidP="00A1635C">
            <w:pPr>
              <w:pStyle w:val="ListBullet2"/>
            </w:pPr>
            <w:r>
              <w:t xml:space="preserve">Staff training taking place to develop language and positive relationships with this process   </w:t>
            </w:r>
          </w:p>
        </w:tc>
      </w:tr>
    </w:tbl>
    <w:p w14:paraId="16392F0B" w14:textId="77777777" w:rsidR="00937D6F" w:rsidRDefault="00937D6F" w:rsidP="00937D6F">
      <w:pPr>
        <w:pStyle w:val="BodyText"/>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433970">
        <w:trPr>
          <w:trHeight w:val="116"/>
          <w:jc w:val="center"/>
        </w:trPr>
        <w:tc>
          <w:tcPr>
            <w:tcW w:w="9027" w:type="dxa"/>
            <w:shd w:val="clear" w:color="auto" w:fill="auto"/>
          </w:tcPr>
          <w:p w14:paraId="3BA8910A" w14:textId="5E7DC9C6" w:rsidR="00932E67" w:rsidRDefault="00155E32" w:rsidP="00932E67">
            <w:pPr>
              <w:pStyle w:val="ListBullet"/>
            </w:pPr>
            <w:r>
              <w:t>Continual Improvement to the learning culture</w:t>
            </w:r>
          </w:p>
          <w:p w14:paraId="41FA0DBC" w14:textId="77777777" w:rsidR="00937D6F" w:rsidRDefault="00155E32" w:rsidP="00932E67">
            <w:pPr>
              <w:pStyle w:val="ListBullet2"/>
            </w:pPr>
            <w:r>
              <w:t>PBL Tier 2 interventions will commence in 2020.</w:t>
            </w:r>
          </w:p>
          <w:p w14:paraId="21103AAA" w14:textId="77777777" w:rsidR="00155E32" w:rsidRDefault="00155E32" w:rsidP="00932E67">
            <w:pPr>
              <w:pStyle w:val="ListBullet2"/>
            </w:pPr>
            <w:r>
              <w:t>Staff training regarding classroom systems and routines to improve classroom management and engaging environments.</w:t>
            </w:r>
          </w:p>
          <w:p w14:paraId="550C3BC6" w14:textId="77777777" w:rsidR="00155E32" w:rsidRDefault="00155E32" w:rsidP="00155E32">
            <w:pPr>
              <w:pStyle w:val="ListBullet"/>
            </w:pPr>
            <w:r>
              <w:t>Work on the Spiral of Inquiry</w:t>
            </w:r>
            <w:r w:rsidR="00451B23">
              <w:t xml:space="preserve"> to build teacher capacity. </w:t>
            </w:r>
          </w:p>
          <w:p w14:paraId="2A48F958" w14:textId="5293C2EE" w:rsidR="00215985" w:rsidRDefault="00215985" w:rsidP="00215985">
            <w:pPr>
              <w:pStyle w:val="ListBullet2"/>
            </w:pPr>
            <w:r>
              <w:t>Increased differentiation to meet students’ needs</w:t>
            </w:r>
          </w:p>
          <w:p w14:paraId="70272E8D" w14:textId="77777777" w:rsidR="00215985" w:rsidRDefault="00215985" w:rsidP="00215985">
            <w:pPr>
              <w:pStyle w:val="ListBullet"/>
            </w:pPr>
            <w:r>
              <w:t>Build community partnerships</w:t>
            </w:r>
          </w:p>
          <w:p w14:paraId="63549BD9" w14:textId="77777777" w:rsidR="00215985" w:rsidRDefault="009D36E9" w:rsidP="00215985">
            <w:pPr>
              <w:pStyle w:val="ListBullet2"/>
            </w:pPr>
            <w:r>
              <w:t>Focus on events that expose community to the learning styles and strategies of the school</w:t>
            </w:r>
          </w:p>
          <w:p w14:paraId="4EC812BC" w14:textId="77777777" w:rsidR="009D36E9" w:rsidRDefault="009D36E9" w:rsidP="00215985">
            <w:pPr>
              <w:pStyle w:val="ListBullet2"/>
            </w:pPr>
            <w:r>
              <w:t>Incorporate community meeting nights</w:t>
            </w:r>
          </w:p>
          <w:p w14:paraId="4D0D0527" w14:textId="1106D939" w:rsidR="009D36E9" w:rsidRDefault="009D36E9" w:rsidP="00E57136">
            <w:pPr>
              <w:pStyle w:val="ListBullet2"/>
              <w:numPr>
                <w:ilvl w:val="0"/>
                <w:numId w:val="0"/>
              </w:numPr>
              <w:ind w:left="714"/>
            </w:pPr>
          </w:p>
        </w:tc>
      </w:tr>
    </w:tbl>
    <w:p w14:paraId="05A9A145" w14:textId="5F27DD1F" w:rsidR="00271528" w:rsidRPr="00557F65" w:rsidRDefault="00271528" w:rsidP="00E061B8">
      <w:pPr>
        <w:pStyle w:val="Heading2"/>
      </w:pPr>
      <w:r>
        <w:lastRenderedPageBreak/>
        <w:t>Reporting on preschool improvement</w:t>
      </w:r>
      <w:r w:rsidR="00433970">
        <w:t xml:space="preserve">  </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211F5E70" w14:textId="77777777" w:rsidR="00433970" w:rsidRDefault="00433970" w:rsidP="00433970">
            <w:pPr>
              <w:pStyle w:val="TableBodyLeft"/>
              <w:rPr>
                <w:b/>
              </w:rPr>
            </w:pPr>
            <w:r w:rsidRPr="009E13CA">
              <w:rPr>
                <w:b/>
              </w:rPr>
              <w:t>Priority 1:</w:t>
            </w:r>
            <w:r>
              <w:rPr>
                <w:b/>
              </w:rPr>
              <w:t xml:space="preserve"> </w:t>
            </w:r>
            <w:r w:rsidRPr="009E13CA">
              <w:rPr>
                <w:b/>
              </w:rPr>
              <w:t xml:space="preserve">Improve student outcomes in literacy and numeracy through embedding a culture of data analysis and building teacher expertise </w:t>
            </w:r>
          </w:p>
          <w:p w14:paraId="4B76AA54" w14:textId="77777777" w:rsidR="00433970" w:rsidRPr="00032BDC" w:rsidRDefault="00433970" w:rsidP="00433970">
            <w:pPr>
              <w:pStyle w:val="TableBodyLeft"/>
              <w:rPr>
                <w:b/>
              </w:rPr>
            </w:pPr>
            <w:r w:rsidRPr="00032BDC">
              <w:rPr>
                <w:b/>
              </w:rPr>
              <w:t>ACTION: Continue to develop the capacity of the preschool team to take detailed, timely observations of children’s learning and rigorous analysis of observations to inform teaching</w:t>
            </w:r>
          </w:p>
          <w:p w14:paraId="227148D6" w14:textId="77777777" w:rsidR="00433970" w:rsidRDefault="00433970" w:rsidP="00433970">
            <w:r>
              <w:t xml:space="preserve">This year some team members trialled the use of an app </w:t>
            </w:r>
            <w:r w:rsidRPr="005B3C67">
              <w:t>for adding annotations</w:t>
            </w:r>
            <w:r>
              <w:t xml:space="preserve"> to photos</w:t>
            </w:r>
            <w:r w:rsidRPr="005B3C67">
              <w:t xml:space="preserve"> and </w:t>
            </w:r>
            <w:r>
              <w:t xml:space="preserve">recording </w:t>
            </w:r>
            <w:r w:rsidRPr="005B3C67">
              <w:t>observational notes linked to the Early Years Framework.</w:t>
            </w:r>
            <w:r>
              <w:t xml:space="preserve"> One team member found the KinderLoop app to be successful and will continue its use in 2020. Each teacher has individual methods for recording detailed and timely observations of children’s learning. </w:t>
            </w:r>
          </w:p>
          <w:p w14:paraId="6F03F7EE" w14:textId="77777777" w:rsidR="00433970" w:rsidRDefault="00433970" w:rsidP="00433970">
            <w:r>
              <w:t>The team ensures their observations are analysed considering the impact on children’s learning, development and adjustments to the teaching and learning program using the following questions:</w:t>
            </w:r>
          </w:p>
          <w:p w14:paraId="064B5C87" w14:textId="77777777" w:rsidR="00433970" w:rsidRDefault="00433970" w:rsidP="00433970">
            <w:pPr>
              <w:pStyle w:val="ListParagraph"/>
              <w:numPr>
                <w:ilvl w:val="0"/>
                <w:numId w:val="28"/>
              </w:numPr>
            </w:pPr>
            <w:r>
              <w:t>What did I notice?</w:t>
            </w:r>
          </w:p>
          <w:p w14:paraId="14294C49" w14:textId="77777777" w:rsidR="00433970" w:rsidRDefault="00433970" w:rsidP="00433970">
            <w:pPr>
              <w:pStyle w:val="ListParagraph"/>
              <w:numPr>
                <w:ilvl w:val="0"/>
                <w:numId w:val="28"/>
              </w:numPr>
            </w:pPr>
            <w:r>
              <w:t>Why does it matter?</w:t>
            </w:r>
          </w:p>
          <w:p w14:paraId="0F604A90" w14:textId="77777777" w:rsidR="00433970" w:rsidRDefault="00433970" w:rsidP="00433970">
            <w:pPr>
              <w:pStyle w:val="ListParagraph"/>
              <w:numPr>
                <w:ilvl w:val="0"/>
                <w:numId w:val="28"/>
              </w:numPr>
            </w:pPr>
            <w:r>
              <w:t>How could I respond to enrich children's research?</w:t>
            </w:r>
          </w:p>
          <w:p w14:paraId="7C193912" w14:textId="77777777" w:rsidR="00433970" w:rsidRDefault="00433970" w:rsidP="00433970">
            <w:pPr>
              <w:pStyle w:val="ListParagraph"/>
              <w:numPr>
                <w:ilvl w:val="0"/>
                <w:numId w:val="28"/>
              </w:numPr>
            </w:pPr>
            <w:r>
              <w:t xml:space="preserve">Which perspectives can I look at this from? and </w:t>
            </w:r>
          </w:p>
          <w:p w14:paraId="6EAF61AB" w14:textId="77777777" w:rsidR="00433970" w:rsidRDefault="00433970" w:rsidP="00433970">
            <w:pPr>
              <w:pStyle w:val="ListParagraph"/>
              <w:numPr>
                <w:ilvl w:val="0"/>
                <w:numId w:val="28"/>
              </w:numPr>
            </w:pPr>
            <w:r>
              <w:t>How can I deepen learning and sustain research?</w:t>
            </w:r>
          </w:p>
          <w:p w14:paraId="5942E052" w14:textId="77777777" w:rsidR="00433970" w:rsidRDefault="00433970" w:rsidP="00433970">
            <w:r>
              <w:t>Observations form a fundamental part of the planning process. The planning document has a section devoted to the recording and analysis of observations and this analysis is used to form the focus of inquiry learning. These observations are regularly added to ensure learning is still current and relevant, in addition to informing future planning and experiences.</w:t>
            </w:r>
          </w:p>
          <w:p w14:paraId="75A485B9" w14:textId="77777777" w:rsidR="00433970" w:rsidRDefault="00433970" w:rsidP="00433970">
            <w:r>
              <w:t>Teachers and assistants work together to reflect on their observations of children and plan future learning sequences. This ensures all educators are united in the way they support children’s learning and development.</w:t>
            </w:r>
          </w:p>
          <w:p w14:paraId="29B5806E" w14:textId="175AC9AD" w:rsidR="00271528" w:rsidRDefault="00271528" w:rsidP="00433970">
            <w:pPr>
              <w:pStyle w:val="ListBullet2"/>
              <w:numPr>
                <w:ilvl w:val="0"/>
                <w:numId w:val="0"/>
              </w:numPr>
              <w:ind w:left="714" w:hanging="357"/>
            </w:pPr>
          </w:p>
        </w:tc>
      </w:tr>
    </w:tbl>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4CE5" w14:textId="77777777" w:rsidR="00E57136" w:rsidRDefault="00E57136" w:rsidP="00CA0BAD">
      <w:pPr>
        <w:spacing w:after="0" w:line="240" w:lineRule="auto"/>
      </w:pPr>
      <w:r>
        <w:separator/>
      </w:r>
    </w:p>
  </w:endnote>
  <w:endnote w:type="continuationSeparator" w:id="0">
    <w:p w14:paraId="1E56B546" w14:textId="77777777" w:rsidR="00E57136" w:rsidRDefault="00E57136"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30D20ED" w:rsidR="00E57136" w:rsidRPr="00BF488D" w:rsidRDefault="00E57136"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246700">
              <w:rPr>
                <w:rFonts w:ascii="Arial" w:hAnsi="Arial" w:cs="Arial"/>
                <w:noProof/>
                <w:color w:val="808080" w:themeColor="background1" w:themeShade="80"/>
                <w:sz w:val="20"/>
                <w:szCs w:val="20"/>
              </w:rPr>
              <w:t>Monday, 24 February 2020</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E57136" w:rsidRPr="008679D5" w:rsidRDefault="00E57136"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1"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1"/>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189B" w14:textId="77777777" w:rsidR="00E57136" w:rsidRDefault="00E57136" w:rsidP="00CA0BAD">
      <w:pPr>
        <w:spacing w:after="0" w:line="240" w:lineRule="auto"/>
      </w:pPr>
      <w:r>
        <w:separator/>
      </w:r>
    </w:p>
  </w:footnote>
  <w:footnote w:type="continuationSeparator" w:id="0">
    <w:p w14:paraId="54F5ABC7" w14:textId="77777777" w:rsidR="00E57136" w:rsidRDefault="00E57136"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E57136" w:rsidRDefault="00E57136"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E57136" w:rsidRDefault="00E57136"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B36C3"/>
    <w:multiLevelType w:val="multilevel"/>
    <w:tmpl w:val="06121A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E3938A1"/>
    <w:multiLevelType w:val="multilevel"/>
    <w:tmpl w:val="607001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46CE8"/>
    <w:multiLevelType w:val="hybridMultilevel"/>
    <w:tmpl w:val="AEF80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25497E"/>
    <w:multiLevelType w:val="hybridMultilevel"/>
    <w:tmpl w:val="5AFCF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572435"/>
    <w:multiLevelType w:val="multilevel"/>
    <w:tmpl w:val="851E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6302EB"/>
    <w:multiLevelType w:val="multilevel"/>
    <w:tmpl w:val="5FA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05D3D"/>
    <w:multiLevelType w:val="hybridMultilevel"/>
    <w:tmpl w:val="AE10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50152F"/>
    <w:multiLevelType w:val="hybridMultilevel"/>
    <w:tmpl w:val="A9827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5B0055CD"/>
    <w:multiLevelType w:val="hybridMultilevel"/>
    <w:tmpl w:val="87F42830"/>
    <w:lvl w:ilvl="0" w:tplc="0C090001">
      <w:start w:val="1"/>
      <w:numFmt w:val="bullet"/>
      <w:lvlText w:val=""/>
      <w:lvlJc w:val="left"/>
      <w:pPr>
        <w:ind w:left="720" w:hanging="360"/>
      </w:pPr>
      <w:rPr>
        <w:rFonts w:ascii="Symbol" w:hAnsi="Symbol" w:hint="default"/>
      </w:rPr>
    </w:lvl>
    <w:lvl w:ilvl="1" w:tplc="3B7A3B64">
      <w:numFmt w:val="bullet"/>
      <w:lvlText w:val="-"/>
      <w:lvlJc w:val="left"/>
      <w:pPr>
        <w:ind w:left="1440" w:hanging="360"/>
      </w:pPr>
      <w:rPr>
        <w:rFonts w:ascii="Calibri" w:eastAsia="Times New Roman" w:hAnsi="Calibri" w:cs="Calibri" w:hint="default"/>
        <w:color w:val="00000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6B64EB"/>
    <w:multiLevelType w:val="hybridMultilevel"/>
    <w:tmpl w:val="BDB20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437DEA"/>
    <w:multiLevelType w:val="multilevel"/>
    <w:tmpl w:val="A9C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5336E"/>
    <w:multiLevelType w:val="hybridMultilevel"/>
    <w:tmpl w:val="F058F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3"/>
  </w:num>
  <w:num w:numId="4">
    <w:abstractNumId w:val="18"/>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14"/>
  </w:num>
  <w:num w:numId="19">
    <w:abstractNumId w:val="19"/>
  </w:num>
  <w:num w:numId="20">
    <w:abstractNumId w:val="26"/>
  </w:num>
  <w:num w:numId="21">
    <w:abstractNumId w:val="25"/>
  </w:num>
  <w:num w:numId="22">
    <w:abstractNumId w:val="20"/>
  </w:num>
  <w:num w:numId="23">
    <w:abstractNumId w:val="16"/>
  </w:num>
  <w:num w:numId="24">
    <w:abstractNumId w:val="27"/>
  </w:num>
  <w:num w:numId="25">
    <w:abstractNumId w:val="24"/>
  </w:num>
  <w:num w:numId="26">
    <w:abstractNumId w:val="17"/>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7A2C"/>
    <w:rsid w:val="00031B91"/>
    <w:rsid w:val="00057DAD"/>
    <w:rsid w:val="0006576A"/>
    <w:rsid w:val="00080E98"/>
    <w:rsid w:val="00097A50"/>
    <w:rsid w:val="000B45A2"/>
    <w:rsid w:val="000F7E7C"/>
    <w:rsid w:val="00107AE2"/>
    <w:rsid w:val="00115AA9"/>
    <w:rsid w:val="00132917"/>
    <w:rsid w:val="00155E32"/>
    <w:rsid w:val="00161E50"/>
    <w:rsid w:val="00163579"/>
    <w:rsid w:val="00180966"/>
    <w:rsid w:val="00183DE5"/>
    <w:rsid w:val="001B26EA"/>
    <w:rsid w:val="001B2E33"/>
    <w:rsid w:val="001C6C3A"/>
    <w:rsid w:val="002145F7"/>
    <w:rsid w:val="00215985"/>
    <w:rsid w:val="00246700"/>
    <w:rsid w:val="0024781C"/>
    <w:rsid w:val="00250DF5"/>
    <w:rsid w:val="00266E77"/>
    <w:rsid w:val="00271528"/>
    <w:rsid w:val="00287DEF"/>
    <w:rsid w:val="002F2C6F"/>
    <w:rsid w:val="002F4184"/>
    <w:rsid w:val="002F7B88"/>
    <w:rsid w:val="00300F72"/>
    <w:rsid w:val="00334BBF"/>
    <w:rsid w:val="00342B3F"/>
    <w:rsid w:val="003440E7"/>
    <w:rsid w:val="00357394"/>
    <w:rsid w:val="00365890"/>
    <w:rsid w:val="00365A1C"/>
    <w:rsid w:val="00373DC0"/>
    <w:rsid w:val="00377F0F"/>
    <w:rsid w:val="003B5E3D"/>
    <w:rsid w:val="003C2864"/>
    <w:rsid w:val="003C69DC"/>
    <w:rsid w:val="003C6C3E"/>
    <w:rsid w:val="003E1EFB"/>
    <w:rsid w:val="003E7667"/>
    <w:rsid w:val="004318F5"/>
    <w:rsid w:val="00433970"/>
    <w:rsid w:val="00435AB7"/>
    <w:rsid w:val="00435C6B"/>
    <w:rsid w:val="00436626"/>
    <w:rsid w:val="00451B23"/>
    <w:rsid w:val="0045509B"/>
    <w:rsid w:val="00461D07"/>
    <w:rsid w:val="00481BD2"/>
    <w:rsid w:val="00492440"/>
    <w:rsid w:val="004C32E2"/>
    <w:rsid w:val="004D00F4"/>
    <w:rsid w:val="004D5E45"/>
    <w:rsid w:val="004F6B58"/>
    <w:rsid w:val="00520A86"/>
    <w:rsid w:val="00533499"/>
    <w:rsid w:val="00557F65"/>
    <w:rsid w:val="005611F4"/>
    <w:rsid w:val="0057672E"/>
    <w:rsid w:val="005830A0"/>
    <w:rsid w:val="0058339C"/>
    <w:rsid w:val="0059350F"/>
    <w:rsid w:val="005A4749"/>
    <w:rsid w:val="005C7432"/>
    <w:rsid w:val="005E709D"/>
    <w:rsid w:val="005E76E4"/>
    <w:rsid w:val="005F3B55"/>
    <w:rsid w:val="00610A38"/>
    <w:rsid w:val="00622A16"/>
    <w:rsid w:val="00631663"/>
    <w:rsid w:val="00637830"/>
    <w:rsid w:val="006467A8"/>
    <w:rsid w:val="0066643F"/>
    <w:rsid w:val="00674E1D"/>
    <w:rsid w:val="006830C3"/>
    <w:rsid w:val="006A31D6"/>
    <w:rsid w:val="006A5062"/>
    <w:rsid w:val="006A7666"/>
    <w:rsid w:val="006D2F6B"/>
    <w:rsid w:val="007347A7"/>
    <w:rsid w:val="007375B4"/>
    <w:rsid w:val="00752390"/>
    <w:rsid w:val="007876FF"/>
    <w:rsid w:val="007B0189"/>
    <w:rsid w:val="007D1460"/>
    <w:rsid w:val="007D407C"/>
    <w:rsid w:val="007D56DB"/>
    <w:rsid w:val="007E596F"/>
    <w:rsid w:val="008300DD"/>
    <w:rsid w:val="00837137"/>
    <w:rsid w:val="00843EFF"/>
    <w:rsid w:val="00846E51"/>
    <w:rsid w:val="008679D5"/>
    <w:rsid w:val="0088556C"/>
    <w:rsid w:val="00896B58"/>
    <w:rsid w:val="008A01DA"/>
    <w:rsid w:val="008C64DF"/>
    <w:rsid w:val="008E33CC"/>
    <w:rsid w:val="00904D91"/>
    <w:rsid w:val="00915ADE"/>
    <w:rsid w:val="0093040B"/>
    <w:rsid w:val="00932E67"/>
    <w:rsid w:val="00937023"/>
    <w:rsid w:val="00937D6F"/>
    <w:rsid w:val="0095770B"/>
    <w:rsid w:val="00997CD0"/>
    <w:rsid w:val="009B454E"/>
    <w:rsid w:val="009B53D3"/>
    <w:rsid w:val="009B7107"/>
    <w:rsid w:val="009B7B58"/>
    <w:rsid w:val="009C7FD9"/>
    <w:rsid w:val="009D0DF3"/>
    <w:rsid w:val="009D36E9"/>
    <w:rsid w:val="009E2D26"/>
    <w:rsid w:val="00A112C4"/>
    <w:rsid w:val="00A1525D"/>
    <w:rsid w:val="00A1635C"/>
    <w:rsid w:val="00A3407F"/>
    <w:rsid w:val="00A43D1F"/>
    <w:rsid w:val="00A53F5F"/>
    <w:rsid w:val="00A60741"/>
    <w:rsid w:val="00A75E7F"/>
    <w:rsid w:val="00A967A3"/>
    <w:rsid w:val="00AA4211"/>
    <w:rsid w:val="00AB3505"/>
    <w:rsid w:val="00AB6EFB"/>
    <w:rsid w:val="00AC32B0"/>
    <w:rsid w:val="00AD7D38"/>
    <w:rsid w:val="00AE1CAD"/>
    <w:rsid w:val="00AE28DE"/>
    <w:rsid w:val="00AE2FBD"/>
    <w:rsid w:val="00AE3C70"/>
    <w:rsid w:val="00B027BE"/>
    <w:rsid w:val="00B06296"/>
    <w:rsid w:val="00B10319"/>
    <w:rsid w:val="00B1411C"/>
    <w:rsid w:val="00B36AF4"/>
    <w:rsid w:val="00B41802"/>
    <w:rsid w:val="00B53B59"/>
    <w:rsid w:val="00B734D8"/>
    <w:rsid w:val="00B87025"/>
    <w:rsid w:val="00B9357F"/>
    <w:rsid w:val="00B96C94"/>
    <w:rsid w:val="00C0648C"/>
    <w:rsid w:val="00C06492"/>
    <w:rsid w:val="00C12F28"/>
    <w:rsid w:val="00C36B48"/>
    <w:rsid w:val="00C37E09"/>
    <w:rsid w:val="00C63CC4"/>
    <w:rsid w:val="00C77B0A"/>
    <w:rsid w:val="00C91C8E"/>
    <w:rsid w:val="00CA0BAD"/>
    <w:rsid w:val="00CA26FB"/>
    <w:rsid w:val="00CE256A"/>
    <w:rsid w:val="00CF3F40"/>
    <w:rsid w:val="00D03B0C"/>
    <w:rsid w:val="00D15E31"/>
    <w:rsid w:val="00D205AA"/>
    <w:rsid w:val="00D21886"/>
    <w:rsid w:val="00D56F59"/>
    <w:rsid w:val="00D66148"/>
    <w:rsid w:val="00D731BD"/>
    <w:rsid w:val="00D94CC6"/>
    <w:rsid w:val="00DA09ED"/>
    <w:rsid w:val="00DA4480"/>
    <w:rsid w:val="00DB037A"/>
    <w:rsid w:val="00DB798D"/>
    <w:rsid w:val="00DE43E6"/>
    <w:rsid w:val="00DE75EB"/>
    <w:rsid w:val="00DF0245"/>
    <w:rsid w:val="00DF0744"/>
    <w:rsid w:val="00DF1E74"/>
    <w:rsid w:val="00DF5F48"/>
    <w:rsid w:val="00DF695B"/>
    <w:rsid w:val="00E0349F"/>
    <w:rsid w:val="00E061B8"/>
    <w:rsid w:val="00E12199"/>
    <w:rsid w:val="00E14A54"/>
    <w:rsid w:val="00E333DB"/>
    <w:rsid w:val="00E434FA"/>
    <w:rsid w:val="00E57136"/>
    <w:rsid w:val="00EA1B8A"/>
    <w:rsid w:val="00EB70CE"/>
    <w:rsid w:val="00EE14B7"/>
    <w:rsid w:val="00EF2574"/>
    <w:rsid w:val="00F05C79"/>
    <w:rsid w:val="00F50E3F"/>
    <w:rsid w:val="00F536D7"/>
    <w:rsid w:val="00F65E3C"/>
    <w:rsid w:val="00F87A19"/>
    <w:rsid w:val="00F950DD"/>
    <w:rsid w:val="00FA1396"/>
    <w:rsid w:val="00FA6811"/>
    <w:rsid w:val="00FA6A61"/>
    <w:rsid w:val="00FB31F0"/>
    <w:rsid w:val="00FC4434"/>
    <w:rsid w:val="00FD290D"/>
    <w:rsid w:val="00FE1945"/>
    <w:rsid w:val="00FE2F6C"/>
    <w:rsid w:val="00FE3249"/>
    <w:rsid w:val="00FE365C"/>
    <w:rsid w:val="00FE4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styleId="NormalWeb">
    <w:name w:val="Normal (Web)"/>
    <w:basedOn w:val="Normal"/>
    <w:uiPriority w:val="99"/>
    <w:semiHidden/>
    <w:unhideWhenUsed/>
    <w:rsid w:val="009B7B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9B7B58"/>
  </w:style>
  <w:style w:type="paragraph" w:customStyle="1" w:styleId="TableBodyLeft">
    <w:name w:val="TableBodyLeft"/>
    <w:rsid w:val="0043397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360329262">
      <w:bodyDiv w:val="1"/>
      <w:marLeft w:val="0"/>
      <w:marRight w:val="0"/>
      <w:marTop w:val="0"/>
      <w:marBottom w:val="0"/>
      <w:divBdr>
        <w:top w:val="none" w:sz="0" w:space="0" w:color="auto"/>
        <w:left w:val="none" w:sz="0" w:space="0" w:color="auto"/>
        <w:bottom w:val="none" w:sz="0" w:space="0" w:color="auto"/>
        <w:right w:val="none" w:sz="0" w:space="0" w:color="auto"/>
      </w:divBdr>
    </w:div>
    <w:div w:id="5174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70242B"/>
    <w:rsid w:val="00715FFD"/>
    <w:rsid w:val="007345E9"/>
    <w:rsid w:val="00796853"/>
    <w:rsid w:val="008B6DE0"/>
    <w:rsid w:val="008F4B21"/>
    <w:rsid w:val="00D31D9E"/>
    <w:rsid w:val="00F9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2863</Words>
  <Characters>16323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Scott, Michelle</cp:lastModifiedBy>
  <cp:revision>2</cp:revision>
  <cp:lastPrinted>2020-02-20T00:22:00Z</cp:lastPrinted>
  <dcterms:created xsi:type="dcterms:W3CDTF">2020-02-25T04:58:00Z</dcterms:created>
  <dcterms:modified xsi:type="dcterms:W3CDTF">2020-02-25T04:58:00Z</dcterms:modified>
</cp:coreProperties>
</file>