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1EAABED0" w:rsidR="00FE1945" w:rsidRPr="00563A3D" w:rsidRDefault="00A35352" w:rsidP="00FE1945">
          <w:pPr>
            <w:rPr>
              <w:rStyle w:val="SchoolName"/>
              <w:color w:val="1F4E79"/>
            </w:rPr>
          </w:pPr>
          <w:r>
            <w:rPr>
              <w:rStyle w:val="SchoolName"/>
              <w:color w:val="1F4E79"/>
            </w:rPr>
            <w:t>Charnwood-Dunlop School</w:t>
          </w:r>
        </w:p>
      </w:sdtContent>
    </w:sdt>
    <w:p w14:paraId="63330FCF" w14:textId="52E6D3AC"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CD51E9">
            <w:t>Belconnen</w:t>
          </w:r>
        </w:sdtContent>
      </w:sdt>
    </w:p>
    <w:p w14:paraId="38F253B0" w14:textId="22ACEFF7" w:rsidR="00FE1945" w:rsidRDefault="00846E51" w:rsidP="00FE1945">
      <w:pPr>
        <w:pStyle w:val="Title"/>
        <w:jc w:val="left"/>
      </w:pPr>
      <w:r>
        <w:t>Impact</w:t>
      </w:r>
      <w:r w:rsidR="00FE1945" w:rsidRPr="005F3926">
        <w:t xml:space="preserve"> </w:t>
      </w:r>
      <w:r w:rsidR="00B10319">
        <w:t xml:space="preserve">Report </w:t>
      </w:r>
      <w:r w:rsidR="00FE1945">
        <w:t>20</w:t>
      </w:r>
      <w:r w:rsidR="00725100">
        <w:t>2</w:t>
      </w:r>
      <w:r w:rsidR="00A35352">
        <w:t>1</w:t>
      </w:r>
    </w:p>
    <w:p w14:paraId="43815876" w14:textId="77777777" w:rsidR="00E434FA" w:rsidRPr="001B2E33" w:rsidRDefault="00E434FA" w:rsidP="001B2E33">
      <w:pPr>
        <w:pStyle w:val="Heading1"/>
      </w:pPr>
      <w:r w:rsidRPr="001B2E33">
        <w:t>The purpose of this document</w:t>
      </w:r>
    </w:p>
    <w:p w14:paraId="4C974366" w14:textId="5F7EAA93" w:rsidR="00132917" w:rsidRDefault="00B10319" w:rsidP="0058339C">
      <w:pPr>
        <w:pStyle w:val="BodyText"/>
        <w:rPr>
          <w:noProof/>
        </w:rPr>
      </w:pPr>
      <w:r w:rsidRPr="00132917">
        <w:t>This document flows</w:t>
      </w:r>
      <w:r w:rsidR="00334BBF" w:rsidRPr="00132917">
        <w:t xml:space="preserve"> directly from our Action</w:t>
      </w:r>
      <w:r w:rsidR="00846E51" w:rsidRPr="00132917">
        <w:t xml:space="preserve"> Plan </w:t>
      </w:r>
      <w:r w:rsidRPr="00132917">
        <w:t>for 20</w:t>
      </w:r>
      <w:r w:rsidR="00725100">
        <w:t>2</w:t>
      </w:r>
      <w:r w:rsidR="00186B33">
        <w:t>1</w:t>
      </w:r>
      <w:r w:rsidR="00725100">
        <w:t xml:space="preserve"> </w:t>
      </w:r>
      <w:r w:rsidRPr="00132917">
        <w:t xml:space="preserve">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r w:rsidR="00AE2FBD" w:rsidRPr="00AE2FBD">
        <w:rPr>
          <w:noProof/>
        </w:rPr>
        <w:t xml:space="preserve"> </w:t>
      </w:r>
    </w:p>
    <w:p w14:paraId="2A5B8451" w14:textId="3190BA84" w:rsidR="00812706" w:rsidRDefault="00812706" w:rsidP="00812706">
      <w:pPr>
        <w:pStyle w:val="BodyText"/>
      </w:pPr>
      <w:r>
        <w:t>NOTE: Due to the significant disruptive events of 2020</w:t>
      </w:r>
      <w:r w:rsidR="00A35352">
        <w:t>/2021</w:t>
      </w:r>
      <w:r>
        <w:t xml:space="preserve"> the data/evidence collection cycles of some measures were interrupted. Where this has occurred an N/A entry has been used. </w:t>
      </w:r>
    </w:p>
    <w:p w14:paraId="3B5F0936" w14:textId="77777777" w:rsidR="00812706" w:rsidRPr="0058339C" w:rsidRDefault="00812706" w:rsidP="0058339C">
      <w:pPr>
        <w:pStyle w:val="BodyText"/>
      </w:pP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334D2083" w14:textId="4497BBA7" w:rsidR="00407115" w:rsidRDefault="00725100" w:rsidP="00407115">
      <w:pPr>
        <w:pStyle w:val="BodyText"/>
      </w:pPr>
      <w:r>
        <w:t>In 202</w:t>
      </w:r>
      <w:r w:rsidR="00895FDD">
        <w:t>1</w:t>
      </w:r>
      <w:r>
        <w:t xml:space="preserve"> our school supported this Strategic Indicator through – Priority </w:t>
      </w:r>
      <w:r w:rsidR="000117CB">
        <w:t>1</w:t>
      </w:r>
      <w:r w:rsidR="00CC1C88">
        <w:t xml:space="preserve"> and 2</w:t>
      </w:r>
      <w:r>
        <w:t xml:space="preserve"> (see reporting for detail):</w:t>
      </w:r>
    </w:p>
    <w:p w14:paraId="306F0CB1" w14:textId="2B459BD3" w:rsidR="000117CB" w:rsidRDefault="000117CB" w:rsidP="00DA2368">
      <w:pPr>
        <w:pStyle w:val="ListBullet"/>
        <w:numPr>
          <w:ilvl w:val="0"/>
          <w:numId w:val="23"/>
        </w:numPr>
      </w:pPr>
      <w:r>
        <w:t xml:space="preserve">Continue to embed the </w:t>
      </w:r>
      <w:r w:rsidR="006C3878">
        <w:t>t</w:t>
      </w:r>
      <w:r>
        <w:t xml:space="preserve">en </w:t>
      </w:r>
      <w:r w:rsidR="006C3878">
        <w:t>e</w:t>
      </w:r>
      <w:r>
        <w:t xml:space="preserve">ssential </w:t>
      </w:r>
      <w:r w:rsidR="006C3878">
        <w:t>i</w:t>
      </w:r>
      <w:r>
        <w:t>nstructional literacy practices P-6.</w:t>
      </w:r>
    </w:p>
    <w:p w14:paraId="70051B7D" w14:textId="106FD214" w:rsidR="00BB3166" w:rsidRDefault="000117CB" w:rsidP="00DA2368">
      <w:pPr>
        <w:pStyle w:val="ListBullet"/>
        <w:numPr>
          <w:ilvl w:val="0"/>
          <w:numId w:val="23"/>
        </w:numPr>
      </w:pPr>
      <w:r>
        <w:t xml:space="preserve">Enhance teachers’ understanding of the content and achievement standards of the Australian Curriculum in </w:t>
      </w:r>
      <w:r w:rsidR="008515BE">
        <w:t>English</w:t>
      </w:r>
      <w:r>
        <w:t xml:space="preserve"> with a view to extrapolate what is essential learning for students.</w:t>
      </w:r>
    </w:p>
    <w:p w14:paraId="372A81B6" w14:textId="0B6F9120" w:rsidR="00725100" w:rsidRPr="00132917" w:rsidRDefault="00725100" w:rsidP="00DA2368">
      <w:pPr>
        <w:pStyle w:val="ListBullet"/>
        <w:numPr>
          <w:ilvl w:val="0"/>
          <w:numId w:val="23"/>
        </w:numPr>
      </w:pPr>
      <w:r>
        <w:t>Continue action research into improving the cultural integrity of the school</w:t>
      </w:r>
      <w:r w:rsidR="00FE21FA">
        <w:t xml:space="preserve"> and the teaching of writing across the school.</w:t>
      </w:r>
    </w:p>
    <w:p w14:paraId="4872C384" w14:textId="77777777" w:rsidR="001B5D77" w:rsidRDefault="001B5D77" w:rsidP="004D00F4">
      <w:pPr>
        <w:pStyle w:val="Heading2"/>
      </w:pPr>
    </w:p>
    <w:p w14:paraId="6A16A7D4" w14:textId="7E8827FB"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02315AB8" w14:textId="21B93C8D" w:rsidR="00B10319" w:rsidRDefault="00B10319" w:rsidP="001B2E33">
      <w:pPr>
        <w:pStyle w:val="BodyText"/>
        <w:rPr>
          <w:i/>
        </w:rPr>
      </w:pPr>
      <w:r w:rsidRPr="001B2E33">
        <w:rPr>
          <w:i/>
        </w:rPr>
        <w:t>To facilitate high quality teaching in ACT public schools and strengthen educational outcomes.</w:t>
      </w:r>
    </w:p>
    <w:p w14:paraId="7D5D21FE" w14:textId="521F268E" w:rsidR="001B5D77" w:rsidRDefault="001B5D77" w:rsidP="001B5D77">
      <w:pPr>
        <w:pStyle w:val="BodyText"/>
      </w:pPr>
      <w:r>
        <w:t>In 202</w:t>
      </w:r>
      <w:r w:rsidR="00FE21FA">
        <w:t>1</w:t>
      </w:r>
      <w:r>
        <w:t xml:space="preserve"> our school supported this Strategic Indicator through – Priority 1 &amp; 2 (see reporting for detail):</w:t>
      </w:r>
    </w:p>
    <w:p w14:paraId="78EDF785" w14:textId="77777777" w:rsidR="001B5D77" w:rsidRDefault="001B5D77" w:rsidP="00DA2368">
      <w:pPr>
        <w:pStyle w:val="ListBullet"/>
        <w:numPr>
          <w:ilvl w:val="0"/>
          <w:numId w:val="23"/>
        </w:numPr>
      </w:pPr>
      <w:bookmarkStart w:id="0" w:name="_Hlk58847528"/>
      <w:r>
        <w:t xml:space="preserve">Strengthen coaching and mentoring for teachers in planning, </w:t>
      </w:r>
      <w:proofErr w:type="gramStart"/>
      <w:r>
        <w:t>pedagogy</w:t>
      </w:r>
      <w:proofErr w:type="gramEnd"/>
      <w:r>
        <w:t xml:space="preserve"> and assessment for writing.</w:t>
      </w:r>
    </w:p>
    <w:p w14:paraId="5C3DAFF6" w14:textId="6EB789FF" w:rsidR="001B5D77" w:rsidRDefault="001B5D77" w:rsidP="00DA2368">
      <w:pPr>
        <w:pStyle w:val="ListBullet"/>
        <w:numPr>
          <w:ilvl w:val="0"/>
          <w:numId w:val="23"/>
        </w:numPr>
      </w:pPr>
      <w:r>
        <w:t xml:space="preserve">Continue to embed the </w:t>
      </w:r>
      <w:r w:rsidR="00812706">
        <w:t>T</w:t>
      </w:r>
      <w:r>
        <w:t xml:space="preserve">en </w:t>
      </w:r>
      <w:r w:rsidR="00812706">
        <w:t>E</w:t>
      </w:r>
      <w:r>
        <w:t xml:space="preserve">ssential </w:t>
      </w:r>
      <w:r w:rsidR="00812706">
        <w:t>I</w:t>
      </w:r>
      <w:r>
        <w:t>nstructional</w:t>
      </w:r>
      <w:r w:rsidR="00812706">
        <w:t xml:space="preserve"> Practices in</w:t>
      </w:r>
      <w:r>
        <w:t xml:space="preserve"> </w:t>
      </w:r>
      <w:r w:rsidR="00812706">
        <w:t>L</w:t>
      </w:r>
      <w:r>
        <w:t>iteracy P-6.</w:t>
      </w:r>
    </w:p>
    <w:p w14:paraId="13B8322D" w14:textId="1235EB5C" w:rsidR="00357340" w:rsidRPr="00300F72" w:rsidRDefault="001B5D77" w:rsidP="00DA2368">
      <w:pPr>
        <w:pStyle w:val="ListBullet"/>
        <w:numPr>
          <w:ilvl w:val="0"/>
          <w:numId w:val="23"/>
        </w:numPr>
      </w:pPr>
      <w:r>
        <w:t xml:space="preserve">Enhance teachers’ understanding of the content and achievement standards of the Australian Curriculum in </w:t>
      </w:r>
      <w:r w:rsidR="007F3927">
        <w:t>English</w:t>
      </w:r>
      <w:r>
        <w:t xml:space="preserve"> with a view to extrapolate what is essential learning for students.</w:t>
      </w:r>
      <w:r w:rsidR="007378E1">
        <w:t xml:space="preserve"> </w:t>
      </w:r>
    </w:p>
    <w:bookmarkEnd w:id="0"/>
    <w:p w14:paraId="559FD5A8" w14:textId="3C14BE93" w:rsidR="00812706" w:rsidRDefault="00812706" w:rsidP="001B2E33">
      <w:pPr>
        <w:pStyle w:val="BodyText"/>
      </w:pP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6C71E37B" w14:textId="77777777" w:rsidR="00B10319" w:rsidRPr="009B454E" w:rsidRDefault="00B10319" w:rsidP="001B2E33">
      <w:pPr>
        <w:pStyle w:val="BodyText"/>
        <w:rPr>
          <w:i/>
        </w:rPr>
      </w:pPr>
      <w:r w:rsidRPr="009B454E">
        <w:rPr>
          <w:i/>
        </w:rPr>
        <w:t>To centre teaching and learning around students as individuals</w:t>
      </w:r>
    </w:p>
    <w:p w14:paraId="5DBBE6D5" w14:textId="55315443" w:rsidR="00407115" w:rsidRDefault="00407115" w:rsidP="00407115">
      <w:pPr>
        <w:pStyle w:val="ListBullet"/>
        <w:numPr>
          <w:ilvl w:val="0"/>
          <w:numId w:val="0"/>
        </w:numPr>
      </w:pPr>
      <w:r>
        <w:lastRenderedPageBreak/>
        <w:t>In 202</w:t>
      </w:r>
      <w:r w:rsidR="00DE1388">
        <w:t>1</w:t>
      </w:r>
      <w:r>
        <w:t xml:space="preserve"> our school supported this Strategic Indicator through – Priority </w:t>
      </w:r>
      <w:r w:rsidR="007F3927">
        <w:t>1 and 2</w:t>
      </w:r>
      <w:r>
        <w:t xml:space="preserve"> (see reporting for detail):</w:t>
      </w:r>
    </w:p>
    <w:p w14:paraId="0306CC83" w14:textId="77777777" w:rsidR="00407115" w:rsidRDefault="00407115" w:rsidP="00407115">
      <w:pPr>
        <w:pStyle w:val="ListBullet"/>
        <w:numPr>
          <w:ilvl w:val="0"/>
          <w:numId w:val="0"/>
        </w:numPr>
      </w:pPr>
    </w:p>
    <w:p w14:paraId="5FD3FF59" w14:textId="00DC1425" w:rsidR="00E5249C" w:rsidRDefault="00407115" w:rsidP="00E74F14">
      <w:pPr>
        <w:pStyle w:val="ListBullet"/>
        <w:numPr>
          <w:ilvl w:val="0"/>
          <w:numId w:val="6"/>
        </w:numPr>
      </w:pPr>
      <w:r>
        <w:t>Continue action research into improving the cultural integrity of the school</w:t>
      </w:r>
      <w:r w:rsidR="007F3927">
        <w:t xml:space="preserve"> and the teaching of writing across the school</w:t>
      </w:r>
      <w:r w:rsidR="00812706">
        <w:t>.</w:t>
      </w:r>
    </w:p>
    <w:p w14:paraId="15FD8338" w14:textId="04DFD610" w:rsidR="00E5249C" w:rsidRDefault="00AD529B" w:rsidP="00E74F14">
      <w:pPr>
        <w:pStyle w:val="ListBullet"/>
        <w:numPr>
          <w:ilvl w:val="0"/>
          <w:numId w:val="6"/>
        </w:numPr>
      </w:pPr>
      <w:r>
        <w:t xml:space="preserve">Teacher professional learning in </w:t>
      </w:r>
      <w:r w:rsidR="003842AB">
        <w:t xml:space="preserve">Inquiry maths using the </w:t>
      </w:r>
      <w:proofErr w:type="spellStart"/>
      <w:r>
        <w:t>ReSolve</w:t>
      </w:r>
      <w:proofErr w:type="spellEnd"/>
      <w:r w:rsidR="003842AB">
        <w:t xml:space="preserve"> teaching strategies and lessons.</w:t>
      </w:r>
    </w:p>
    <w:p w14:paraId="1A23D412" w14:textId="77777777" w:rsidR="002050AF" w:rsidRDefault="002050AF" w:rsidP="00DA2368">
      <w:pPr>
        <w:pStyle w:val="ListBullet"/>
        <w:numPr>
          <w:ilvl w:val="0"/>
          <w:numId w:val="0"/>
        </w:numPr>
        <w:ind w:left="720"/>
      </w:pPr>
    </w:p>
    <w:p w14:paraId="59777CE8" w14:textId="2176A63C" w:rsidR="00300F72" w:rsidRPr="001B26EA" w:rsidRDefault="00300F72">
      <w:pPr>
        <w:pStyle w:val="ListBullet"/>
        <w:numPr>
          <w:ilvl w:val="0"/>
          <w:numId w:val="6"/>
        </w:numPr>
      </w:pPr>
      <w:r w:rsidRPr="001B26EA">
        <w:br w:type="page"/>
      </w:r>
    </w:p>
    <w:p w14:paraId="2B93A716" w14:textId="0A6ED895" w:rsidR="00B10319" w:rsidRDefault="004D5E45" w:rsidP="001B2E33">
      <w:pPr>
        <w:pStyle w:val="Heading1"/>
      </w:pPr>
      <w:r>
        <w:lastRenderedPageBreak/>
        <w:t>Reporting against our priorities</w:t>
      </w:r>
    </w:p>
    <w:p w14:paraId="5A7DC0CC" w14:textId="0F6C70F6"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A1783A" w:rsidRPr="00DA2368">
        <w:rPr>
          <w:rFonts w:ascii="Calibri" w:hAnsi="Calibri" w:cs="Calibri"/>
          <w:b/>
          <w:bCs/>
          <w:color w:val="000000"/>
          <w:sz w:val="28"/>
          <w:szCs w:val="28"/>
        </w:rPr>
        <w:t>Improve the percentage of students making above average progress in numeracy</w:t>
      </w:r>
    </w:p>
    <w:p w14:paraId="255A28BA" w14:textId="66E14F5D" w:rsidR="004D5E45" w:rsidRDefault="006D2F6B" w:rsidP="00837137">
      <w:pPr>
        <w:pStyle w:val="Heading3"/>
      </w:pPr>
      <w:r w:rsidRPr="00837137">
        <w:t>Targets or measures</w:t>
      </w:r>
    </w:p>
    <w:p w14:paraId="0D028BAE" w14:textId="3208A231" w:rsidR="00883C49" w:rsidRDefault="00883C49" w:rsidP="00883C49">
      <w:pPr>
        <w:pStyle w:val="BodyText"/>
      </w:pPr>
      <w:r>
        <w:t>By the end of 202</w:t>
      </w:r>
      <w:r w:rsidR="00A36B7E">
        <w:t>5</w:t>
      </w:r>
      <w:r>
        <w:t xml:space="preserve"> we will achieve:</w:t>
      </w:r>
    </w:p>
    <w:p w14:paraId="2334C090" w14:textId="54964AC4" w:rsidR="00A36B7E" w:rsidRDefault="00A36B7E" w:rsidP="00883C49">
      <w:pPr>
        <w:pStyle w:val="ListBullet"/>
        <w:numPr>
          <w:ilvl w:val="0"/>
          <w:numId w:val="16"/>
        </w:numPr>
      </w:pPr>
      <w:r>
        <w:rPr>
          <w:rFonts w:ascii="Calibri" w:hAnsi="Calibri" w:cs="Calibri"/>
          <w:color w:val="000000"/>
        </w:rPr>
        <w:t>56% or more of year 5 students will be making above average progress in numeracy.</w:t>
      </w:r>
    </w:p>
    <w:p w14:paraId="068C3D43" w14:textId="58CF9391" w:rsidR="00372BF5" w:rsidRPr="00DA2368" w:rsidRDefault="00372BF5" w:rsidP="00883C49">
      <w:pPr>
        <w:pStyle w:val="ListBullet"/>
        <w:numPr>
          <w:ilvl w:val="0"/>
          <w:numId w:val="16"/>
        </w:numPr>
      </w:pPr>
      <w:r>
        <w:rPr>
          <w:rFonts w:ascii="Calibri" w:hAnsi="Calibri" w:cs="Calibri"/>
          <w:color w:val="000000"/>
        </w:rPr>
        <w:t>To increase the percentage of year 3 students in the top two bands of numeracy to 36% or more.</w:t>
      </w:r>
    </w:p>
    <w:p w14:paraId="50373636" w14:textId="65835222" w:rsidR="00883C49" w:rsidRDefault="00CA0B47" w:rsidP="00DA2368">
      <w:pPr>
        <w:pStyle w:val="ListBullet"/>
        <w:numPr>
          <w:ilvl w:val="0"/>
          <w:numId w:val="16"/>
        </w:numPr>
      </w:pPr>
      <w:r>
        <w:rPr>
          <w:rFonts w:ascii="Calibri" w:hAnsi="Calibri" w:cs="Calibri"/>
          <w:color w:val="000000"/>
        </w:rPr>
        <w:t>To increase the percentage of students achieving high growth in mathematics in PIPS/BASE to 23% or more.</w:t>
      </w:r>
    </w:p>
    <w:p w14:paraId="71278C15" w14:textId="703BD2CF" w:rsidR="00883C49" w:rsidRDefault="00883C49" w:rsidP="00883C49">
      <w:pPr>
        <w:pStyle w:val="BodyText"/>
      </w:pPr>
      <w:r w:rsidRPr="00373DC0">
        <w:t>In 20</w:t>
      </w:r>
      <w:r>
        <w:t>2</w:t>
      </w:r>
      <w:r w:rsidR="00632328">
        <w:t>1</w:t>
      </w:r>
      <w:r w:rsidRPr="00373DC0">
        <w:t xml:space="preserve"> we </w:t>
      </w:r>
      <w:r>
        <w:t>implemented</w:t>
      </w:r>
      <w:r w:rsidRPr="00373DC0">
        <w:t xml:space="preserve"> this priority throug</w:t>
      </w:r>
      <w:r>
        <w:t xml:space="preserve">h the following </w:t>
      </w:r>
      <w:r w:rsidRPr="00373DC0">
        <w:t>strategies.</w:t>
      </w:r>
    </w:p>
    <w:p w14:paraId="1535F300" w14:textId="79F2BE23" w:rsidR="00883C49" w:rsidRDefault="00883C49" w:rsidP="00883C49">
      <w:pPr>
        <w:pStyle w:val="BodyText"/>
        <w:numPr>
          <w:ilvl w:val="0"/>
          <w:numId w:val="15"/>
        </w:numPr>
      </w:pPr>
      <w:r w:rsidRPr="000637C2">
        <w:t>Enhance teachers’ understanding of the content and achievement standards of the Australian Curriculum in Mathematics with a view to extrapolate what is essential learning for students.</w:t>
      </w:r>
    </w:p>
    <w:p w14:paraId="7075321C" w14:textId="1BD1FA0D" w:rsidR="00CA0B47" w:rsidRDefault="00EC0A84" w:rsidP="00883C49">
      <w:pPr>
        <w:pStyle w:val="BodyText"/>
        <w:numPr>
          <w:ilvl w:val="0"/>
          <w:numId w:val="15"/>
        </w:numPr>
      </w:pPr>
      <w:r>
        <w:t>Bui</w:t>
      </w:r>
      <w:r w:rsidR="0015196D">
        <w:t xml:space="preserve">lt on the capability of teachers </w:t>
      </w:r>
      <w:r w:rsidR="003D33E5">
        <w:t xml:space="preserve">to teach numeracy through </w:t>
      </w:r>
      <w:proofErr w:type="spellStart"/>
      <w:r w:rsidR="003D33E5">
        <w:t>ReSolve</w:t>
      </w:r>
      <w:proofErr w:type="spellEnd"/>
      <w:r w:rsidR="003D33E5">
        <w:t xml:space="preserve"> and SENA professional learning</w:t>
      </w:r>
      <w:r w:rsidR="001A63F1">
        <w:t>.</w:t>
      </w:r>
    </w:p>
    <w:p w14:paraId="6172847C" w14:textId="5E4C6EAD" w:rsidR="001A63F1" w:rsidRDefault="00C467C4" w:rsidP="00883C49">
      <w:pPr>
        <w:pStyle w:val="BodyText"/>
        <w:numPr>
          <w:ilvl w:val="0"/>
          <w:numId w:val="15"/>
        </w:numPr>
      </w:pPr>
      <w:r>
        <w:t>Reviewed the whole school beliefs and practices around teaching and learning in numeracy</w:t>
      </w:r>
      <w:r w:rsidR="002050AF">
        <w:t>.</w:t>
      </w:r>
    </w:p>
    <w:p w14:paraId="353EC77A" w14:textId="28E73AEC" w:rsidR="002050AF" w:rsidRDefault="002050AF" w:rsidP="00883C49">
      <w:pPr>
        <w:pStyle w:val="BodyText"/>
        <w:numPr>
          <w:ilvl w:val="0"/>
          <w:numId w:val="15"/>
        </w:numPr>
      </w:pPr>
      <w:r>
        <w:t>School leader professional learning</w:t>
      </w:r>
      <w:r w:rsidR="00705A37">
        <w:t xml:space="preserve"> in </w:t>
      </w:r>
      <w:proofErr w:type="spellStart"/>
      <w:r w:rsidR="00705A37">
        <w:t>PATmaths</w:t>
      </w:r>
      <w:proofErr w:type="spellEnd"/>
      <w:r w:rsidR="00705A37">
        <w:t xml:space="preserve"> ‘Getting ahead with PAT’.</w:t>
      </w:r>
    </w:p>
    <w:p w14:paraId="56EA3FEF" w14:textId="77777777" w:rsidR="00250AE6" w:rsidRDefault="00250AE6" w:rsidP="00DA2368">
      <w:pPr>
        <w:pStyle w:val="BodyText"/>
        <w:ind w:left="360"/>
      </w:pPr>
    </w:p>
    <w:p w14:paraId="51B7F3BB" w14:textId="77777777" w:rsidR="00883C49" w:rsidRPr="00997CD0" w:rsidRDefault="00883C49" w:rsidP="00883C49">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Pr="000F7E7C">
        <w:rPr>
          <w:noProof/>
        </w:rPr>
        <w:t xml:space="preserve"> </w:t>
      </w:r>
    </w:p>
    <w:p w14:paraId="190E37A2" w14:textId="77777777" w:rsidR="00883C49" w:rsidRPr="00C0648C" w:rsidRDefault="00883C49" w:rsidP="00883C49">
      <w:pPr>
        <w:pStyle w:val="Heading4"/>
      </w:pPr>
      <w:r w:rsidRPr="00C0648C">
        <w:t>Student learning data</w:t>
      </w:r>
    </w:p>
    <w:tbl>
      <w:tblPr>
        <w:tblStyle w:val="TableGrid"/>
        <w:tblW w:w="10060" w:type="dxa"/>
        <w:jc w:val="center"/>
        <w:tblLayout w:type="fixed"/>
        <w:tblCellMar>
          <w:top w:w="57" w:type="dxa"/>
          <w:left w:w="57" w:type="dxa"/>
          <w:bottom w:w="57" w:type="dxa"/>
          <w:right w:w="57" w:type="dxa"/>
        </w:tblCellMar>
        <w:tblLook w:val="04A0" w:firstRow="1" w:lastRow="0" w:firstColumn="1" w:lastColumn="0" w:noHBand="0" w:noVBand="1"/>
      </w:tblPr>
      <w:tblGrid>
        <w:gridCol w:w="3365"/>
        <w:gridCol w:w="1115"/>
        <w:gridCol w:w="1116"/>
        <w:gridCol w:w="1116"/>
        <w:gridCol w:w="1116"/>
        <w:gridCol w:w="1116"/>
        <w:gridCol w:w="1116"/>
      </w:tblGrid>
      <w:tr w:rsidR="00883C49" w14:paraId="41665839" w14:textId="77777777" w:rsidTr="00F24CC5">
        <w:trPr>
          <w:jc w:val="center"/>
        </w:trPr>
        <w:tc>
          <w:tcPr>
            <w:tcW w:w="3365" w:type="dxa"/>
            <w:shd w:val="clear" w:color="auto" w:fill="auto"/>
          </w:tcPr>
          <w:p w14:paraId="51790E81" w14:textId="77777777" w:rsidR="00883C49" w:rsidRPr="00D03B0C" w:rsidRDefault="00883C49" w:rsidP="00F24CC5">
            <w:pPr>
              <w:rPr>
                <w:b/>
              </w:rPr>
            </w:pPr>
            <w:r w:rsidRPr="00D03B0C">
              <w:rPr>
                <w:b/>
              </w:rPr>
              <w:t>Targets or Measures</w:t>
            </w:r>
          </w:p>
        </w:tc>
        <w:tc>
          <w:tcPr>
            <w:tcW w:w="1115" w:type="dxa"/>
            <w:shd w:val="clear" w:color="auto" w:fill="auto"/>
          </w:tcPr>
          <w:p w14:paraId="2C2E3DBC" w14:textId="77777777" w:rsidR="00883C49" w:rsidRPr="00D03B0C" w:rsidRDefault="00883C49" w:rsidP="00F24CC5">
            <w:pPr>
              <w:jc w:val="center"/>
              <w:rPr>
                <w:b/>
              </w:rPr>
            </w:pPr>
            <w:r w:rsidRPr="00D03B0C">
              <w:rPr>
                <w:b/>
              </w:rPr>
              <w:t>Base</w:t>
            </w:r>
          </w:p>
        </w:tc>
        <w:tc>
          <w:tcPr>
            <w:tcW w:w="1116" w:type="dxa"/>
            <w:shd w:val="clear" w:color="auto" w:fill="auto"/>
          </w:tcPr>
          <w:p w14:paraId="05032B18" w14:textId="2607FCCB" w:rsidR="00883C49" w:rsidRDefault="00883C49" w:rsidP="00F24CC5">
            <w:pPr>
              <w:jc w:val="center"/>
              <w:rPr>
                <w:b/>
              </w:rPr>
            </w:pPr>
            <w:r>
              <w:rPr>
                <w:b/>
              </w:rPr>
              <w:t>20</w:t>
            </w:r>
            <w:r w:rsidR="00733922">
              <w:rPr>
                <w:b/>
              </w:rPr>
              <w:t>21</w:t>
            </w:r>
          </w:p>
          <w:p w14:paraId="6598EA5E" w14:textId="77777777" w:rsidR="00883C49" w:rsidRPr="00D03B0C" w:rsidRDefault="00883C49" w:rsidP="00F24CC5">
            <w:pPr>
              <w:jc w:val="center"/>
              <w:rPr>
                <w:b/>
              </w:rPr>
            </w:pPr>
            <w:r w:rsidRPr="00D03B0C">
              <w:rPr>
                <w:b/>
              </w:rPr>
              <w:t>Year 1</w:t>
            </w:r>
          </w:p>
        </w:tc>
        <w:tc>
          <w:tcPr>
            <w:tcW w:w="1116" w:type="dxa"/>
            <w:shd w:val="clear" w:color="auto" w:fill="auto"/>
          </w:tcPr>
          <w:p w14:paraId="36641042" w14:textId="269871A7" w:rsidR="00883C49" w:rsidRDefault="00883C49" w:rsidP="00F24CC5">
            <w:pPr>
              <w:jc w:val="center"/>
              <w:rPr>
                <w:b/>
              </w:rPr>
            </w:pPr>
            <w:r>
              <w:rPr>
                <w:b/>
              </w:rPr>
              <w:t>20</w:t>
            </w:r>
            <w:r w:rsidR="00733922">
              <w:rPr>
                <w:b/>
              </w:rPr>
              <w:t>22</w:t>
            </w:r>
          </w:p>
          <w:p w14:paraId="37D09456" w14:textId="77777777" w:rsidR="00883C49" w:rsidRPr="00D03B0C" w:rsidRDefault="00883C49" w:rsidP="00F24CC5">
            <w:pPr>
              <w:jc w:val="center"/>
              <w:rPr>
                <w:b/>
              </w:rPr>
            </w:pPr>
            <w:r w:rsidRPr="00D03B0C">
              <w:rPr>
                <w:b/>
              </w:rPr>
              <w:t>Year 2</w:t>
            </w:r>
          </w:p>
        </w:tc>
        <w:tc>
          <w:tcPr>
            <w:tcW w:w="1116" w:type="dxa"/>
            <w:shd w:val="clear" w:color="auto" w:fill="auto"/>
          </w:tcPr>
          <w:p w14:paraId="57D77158" w14:textId="3ABCD9E3" w:rsidR="00883C49" w:rsidRDefault="00883C49" w:rsidP="00F24CC5">
            <w:pPr>
              <w:jc w:val="center"/>
              <w:rPr>
                <w:b/>
              </w:rPr>
            </w:pPr>
            <w:r>
              <w:rPr>
                <w:b/>
              </w:rPr>
              <w:t>202</w:t>
            </w:r>
            <w:r w:rsidR="00733922">
              <w:rPr>
                <w:b/>
              </w:rPr>
              <w:t>3</w:t>
            </w:r>
          </w:p>
          <w:p w14:paraId="7F242F75" w14:textId="77777777" w:rsidR="00883C49" w:rsidRPr="00D03B0C" w:rsidRDefault="00883C49" w:rsidP="00F24CC5">
            <w:pPr>
              <w:jc w:val="center"/>
              <w:rPr>
                <w:b/>
              </w:rPr>
            </w:pPr>
            <w:r w:rsidRPr="00D03B0C">
              <w:rPr>
                <w:b/>
              </w:rPr>
              <w:t>Year 3</w:t>
            </w:r>
          </w:p>
        </w:tc>
        <w:tc>
          <w:tcPr>
            <w:tcW w:w="1116" w:type="dxa"/>
            <w:shd w:val="clear" w:color="auto" w:fill="auto"/>
          </w:tcPr>
          <w:p w14:paraId="2A3D8A53" w14:textId="77777777" w:rsidR="00883C49" w:rsidRPr="00D03B0C" w:rsidRDefault="00883C49" w:rsidP="00F24CC5">
            <w:pPr>
              <w:jc w:val="center"/>
              <w:rPr>
                <w:b/>
              </w:rPr>
            </w:pPr>
            <w:r w:rsidRPr="00D03B0C">
              <w:rPr>
                <w:b/>
              </w:rPr>
              <w:t>Year 4</w:t>
            </w:r>
          </w:p>
        </w:tc>
        <w:tc>
          <w:tcPr>
            <w:tcW w:w="1116" w:type="dxa"/>
            <w:shd w:val="clear" w:color="auto" w:fill="auto"/>
          </w:tcPr>
          <w:p w14:paraId="15F05E82" w14:textId="77777777" w:rsidR="00883C49" w:rsidRPr="00D03B0C" w:rsidRDefault="00883C49" w:rsidP="00F24CC5">
            <w:pPr>
              <w:jc w:val="center"/>
              <w:rPr>
                <w:b/>
              </w:rPr>
            </w:pPr>
            <w:r w:rsidRPr="00D03B0C">
              <w:rPr>
                <w:b/>
              </w:rPr>
              <w:t>Year 5</w:t>
            </w:r>
          </w:p>
        </w:tc>
      </w:tr>
      <w:tr w:rsidR="00883C49" w14:paraId="1E801A21" w14:textId="77777777" w:rsidTr="00F24CC5">
        <w:trPr>
          <w:jc w:val="center"/>
        </w:trPr>
        <w:tc>
          <w:tcPr>
            <w:tcW w:w="3365" w:type="dxa"/>
            <w:shd w:val="clear" w:color="auto" w:fill="auto"/>
          </w:tcPr>
          <w:p w14:paraId="224C0D40" w14:textId="77777777" w:rsidR="00CA0B47" w:rsidRDefault="00CA0B47" w:rsidP="00CA0B47">
            <w:pPr>
              <w:pStyle w:val="ListBullet"/>
              <w:numPr>
                <w:ilvl w:val="0"/>
                <w:numId w:val="16"/>
              </w:numPr>
            </w:pPr>
            <w:r>
              <w:rPr>
                <w:rFonts w:ascii="Calibri" w:hAnsi="Calibri" w:cs="Calibri"/>
                <w:color w:val="000000"/>
              </w:rPr>
              <w:t>56% or more of year 5 students will be making above average progress in numeracy.</w:t>
            </w:r>
          </w:p>
          <w:p w14:paraId="0E5368FD" w14:textId="191455E8" w:rsidR="00883C49" w:rsidRPr="00D03B0C" w:rsidRDefault="00883C49" w:rsidP="00F24CC5">
            <w:pPr>
              <w:pStyle w:val="PlainText"/>
            </w:pPr>
          </w:p>
        </w:tc>
        <w:tc>
          <w:tcPr>
            <w:tcW w:w="1115" w:type="dxa"/>
            <w:shd w:val="clear" w:color="auto" w:fill="auto"/>
          </w:tcPr>
          <w:p w14:paraId="30EF6310" w14:textId="42E13B91" w:rsidR="00883C49" w:rsidRPr="00D03B0C" w:rsidRDefault="00E968A0" w:rsidP="00F24CC5">
            <w:r>
              <w:t xml:space="preserve"> 46%</w:t>
            </w:r>
          </w:p>
        </w:tc>
        <w:tc>
          <w:tcPr>
            <w:tcW w:w="1116" w:type="dxa"/>
            <w:shd w:val="clear" w:color="auto" w:fill="auto"/>
          </w:tcPr>
          <w:p w14:paraId="6AB83CA5" w14:textId="34FB2D65" w:rsidR="00883C49" w:rsidRPr="00D03B0C" w:rsidRDefault="007E4162" w:rsidP="00F24CC5">
            <w:r>
              <w:t>44%</w:t>
            </w:r>
          </w:p>
        </w:tc>
        <w:tc>
          <w:tcPr>
            <w:tcW w:w="1116" w:type="dxa"/>
            <w:shd w:val="clear" w:color="auto" w:fill="auto"/>
          </w:tcPr>
          <w:p w14:paraId="38FB6BFF" w14:textId="32ED992D" w:rsidR="00883C49" w:rsidRPr="00D03B0C" w:rsidRDefault="00883C49" w:rsidP="00F24CC5"/>
        </w:tc>
        <w:tc>
          <w:tcPr>
            <w:tcW w:w="1116" w:type="dxa"/>
            <w:shd w:val="clear" w:color="auto" w:fill="auto"/>
          </w:tcPr>
          <w:p w14:paraId="206AD840" w14:textId="628B7DA0" w:rsidR="00883C49" w:rsidRPr="00D03B0C" w:rsidRDefault="00883C49" w:rsidP="00F24CC5"/>
        </w:tc>
        <w:tc>
          <w:tcPr>
            <w:tcW w:w="1116" w:type="dxa"/>
            <w:shd w:val="clear" w:color="auto" w:fill="auto"/>
          </w:tcPr>
          <w:p w14:paraId="3DF6D515" w14:textId="77777777" w:rsidR="00883C49" w:rsidRPr="00D03B0C" w:rsidRDefault="00883C49" w:rsidP="00F24CC5"/>
        </w:tc>
        <w:tc>
          <w:tcPr>
            <w:tcW w:w="1116" w:type="dxa"/>
            <w:shd w:val="clear" w:color="auto" w:fill="auto"/>
          </w:tcPr>
          <w:p w14:paraId="41596B8F" w14:textId="77777777" w:rsidR="00883C49" w:rsidRPr="00D03B0C" w:rsidRDefault="00883C49" w:rsidP="00F24CC5"/>
        </w:tc>
      </w:tr>
      <w:tr w:rsidR="00883C49" w14:paraId="20E4BD00" w14:textId="77777777" w:rsidTr="00F24CC5">
        <w:trPr>
          <w:jc w:val="center"/>
        </w:trPr>
        <w:tc>
          <w:tcPr>
            <w:tcW w:w="3365" w:type="dxa"/>
            <w:shd w:val="clear" w:color="auto" w:fill="auto"/>
          </w:tcPr>
          <w:p w14:paraId="3CDF71F9" w14:textId="77777777" w:rsidR="00CA0B47" w:rsidRPr="00F24CC5" w:rsidRDefault="00CA0B47" w:rsidP="00CA0B47">
            <w:pPr>
              <w:pStyle w:val="ListBullet"/>
              <w:numPr>
                <w:ilvl w:val="0"/>
                <w:numId w:val="16"/>
              </w:numPr>
            </w:pPr>
            <w:r>
              <w:rPr>
                <w:rFonts w:ascii="Calibri" w:hAnsi="Calibri" w:cs="Calibri"/>
                <w:color w:val="000000"/>
              </w:rPr>
              <w:t>To increase the percentage of year 3 students in the top two bands of numeracy to 36% or more.</w:t>
            </w:r>
          </w:p>
          <w:p w14:paraId="33771AE9" w14:textId="5AD4FCC0" w:rsidR="00883C49" w:rsidRPr="00D03B0C" w:rsidRDefault="00883C49" w:rsidP="00F24CC5">
            <w:pPr>
              <w:pStyle w:val="ListBullet"/>
              <w:numPr>
                <w:ilvl w:val="0"/>
                <w:numId w:val="0"/>
              </w:numPr>
            </w:pPr>
          </w:p>
        </w:tc>
        <w:tc>
          <w:tcPr>
            <w:tcW w:w="1115" w:type="dxa"/>
            <w:shd w:val="clear" w:color="auto" w:fill="auto"/>
          </w:tcPr>
          <w:p w14:paraId="7B503BF3" w14:textId="391CE96D" w:rsidR="00883C49" w:rsidRPr="00D03B0C" w:rsidRDefault="00B0021A" w:rsidP="00F24CC5">
            <w:r>
              <w:t>24%</w:t>
            </w:r>
          </w:p>
        </w:tc>
        <w:tc>
          <w:tcPr>
            <w:tcW w:w="1116" w:type="dxa"/>
            <w:shd w:val="clear" w:color="auto" w:fill="auto"/>
          </w:tcPr>
          <w:p w14:paraId="5018DB47" w14:textId="77777777" w:rsidR="00883C49" w:rsidRPr="00D03B0C" w:rsidRDefault="00883C49" w:rsidP="00F24CC5">
            <w:r>
              <w:t>10.4%</w:t>
            </w:r>
          </w:p>
        </w:tc>
        <w:tc>
          <w:tcPr>
            <w:tcW w:w="1116" w:type="dxa"/>
            <w:shd w:val="clear" w:color="auto" w:fill="auto"/>
          </w:tcPr>
          <w:p w14:paraId="64A11253" w14:textId="149F00C7" w:rsidR="00883C49" w:rsidRPr="00D03B0C" w:rsidRDefault="00883C49" w:rsidP="00F24CC5"/>
        </w:tc>
        <w:tc>
          <w:tcPr>
            <w:tcW w:w="1116" w:type="dxa"/>
            <w:shd w:val="clear" w:color="auto" w:fill="auto"/>
          </w:tcPr>
          <w:p w14:paraId="1248EAB3" w14:textId="0EBB5946" w:rsidR="00883C49" w:rsidRPr="00D03B0C" w:rsidRDefault="00883C49" w:rsidP="00F24CC5"/>
        </w:tc>
        <w:tc>
          <w:tcPr>
            <w:tcW w:w="1116" w:type="dxa"/>
            <w:shd w:val="clear" w:color="auto" w:fill="auto"/>
          </w:tcPr>
          <w:p w14:paraId="126081C3" w14:textId="77777777" w:rsidR="00883C49" w:rsidRPr="00D03B0C" w:rsidRDefault="00883C49" w:rsidP="00F24CC5"/>
        </w:tc>
        <w:tc>
          <w:tcPr>
            <w:tcW w:w="1116" w:type="dxa"/>
            <w:shd w:val="clear" w:color="auto" w:fill="auto"/>
          </w:tcPr>
          <w:p w14:paraId="1B5EDA2D" w14:textId="77777777" w:rsidR="00883C49" w:rsidRPr="00D03B0C" w:rsidRDefault="00883C49" w:rsidP="00F24CC5"/>
        </w:tc>
      </w:tr>
      <w:tr w:rsidR="00883C49" w14:paraId="6839562B" w14:textId="77777777" w:rsidTr="00F24CC5">
        <w:trPr>
          <w:jc w:val="center"/>
        </w:trPr>
        <w:tc>
          <w:tcPr>
            <w:tcW w:w="3365" w:type="dxa"/>
            <w:shd w:val="clear" w:color="auto" w:fill="auto"/>
          </w:tcPr>
          <w:p w14:paraId="50E394EB" w14:textId="77777777" w:rsidR="00CA0B47" w:rsidRDefault="00CA0B47" w:rsidP="00CA0B47">
            <w:pPr>
              <w:pStyle w:val="ListBullet"/>
              <w:numPr>
                <w:ilvl w:val="0"/>
                <w:numId w:val="16"/>
              </w:numPr>
            </w:pPr>
            <w:r>
              <w:rPr>
                <w:rFonts w:ascii="Calibri" w:hAnsi="Calibri" w:cs="Calibri"/>
                <w:color w:val="000000"/>
              </w:rPr>
              <w:t>To increase the percentage of students achieving high growth in mathematics in PIPS/BASE to 23% or more.</w:t>
            </w:r>
          </w:p>
          <w:p w14:paraId="02337BE0" w14:textId="3CBDF90B" w:rsidR="00883C49" w:rsidRPr="001F6118" w:rsidRDefault="00883C49" w:rsidP="00F24CC5">
            <w:pPr>
              <w:pStyle w:val="ListBullet"/>
              <w:numPr>
                <w:ilvl w:val="0"/>
                <w:numId w:val="0"/>
              </w:numPr>
            </w:pPr>
          </w:p>
        </w:tc>
        <w:tc>
          <w:tcPr>
            <w:tcW w:w="1115" w:type="dxa"/>
            <w:shd w:val="clear" w:color="auto" w:fill="auto"/>
          </w:tcPr>
          <w:p w14:paraId="59B38ADA" w14:textId="098D5E22" w:rsidR="00883C49" w:rsidRPr="00D03B0C" w:rsidRDefault="00C54421">
            <w:r>
              <w:t>18%</w:t>
            </w:r>
          </w:p>
        </w:tc>
        <w:tc>
          <w:tcPr>
            <w:tcW w:w="1116" w:type="dxa"/>
            <w:shd w:val="clear" w:color="auto" w:fill="auto"/>
          </w:tcPr>
          <w:p w14:paraId="2F6A8032" w14:textId="0ABC1A02" w:rsidR="00883C49" w:rsidRPr="00D03B0C" w:rsidRDefault="00883C49" w:rsidP="00F24CC5">
            <w:pPr>
              <w:pStyle w:val="ListParagraph"/>
              <w:numPr>
                <w:ilvl w:val="0"/>
                <w:numId w:val="4"/>
              </w:numPr>
              <w:ind w:left="165" w:right="-79" w:hanging="196"/>
            </w:pPr>
          </w:p>
        </w:tc>
        <w:tc>
          <w:tcPr>
            <w:tcW w:w="1116" w:type="dxa"/>
            <w:shd w:val="clear" w:color="auto" w:fill="auto"/>
          </w:tcPr>
          <w:p w14:paraId="4F12ED64" w14:textId="1EF4343B" w:rsidR="00883C49" w:rsidRPr="00D03B0C" w:rsidRDefault="00883C49" w:rsidP="00F24CC5">
            <w:pPr>
              <w:pStyle w:val="ListParagraph"/>
              <w:numPr>
                <w:ilvl w:val="0"/>
                <w:numId w:val="3"/>
              </w:numPr>
              <w:ind w:left="267" w:hanging="218"/>
            </w:pPr>
          </w:p>
        </w:tc>
        <w:tc>
          <w:tcPr>
            <w:tcW w:w="1116" w:type="dxa"/>
            <w:shd w:val="clear" w:color="auto" w:fill="auto"/>
          </w:tcPr>
          <w:p w14:paraId="2429FD7B" w14:textId="4393164F" w:rsidR="00883C49" w:rsidRPr="00D03B0C" w:rsidRDefault="00883C49" w:rsidP="00F24CC5"/>
        </w:tc>
        <w:tc>
          <w:tcPr>
            <w:tcW w:w="1116" w:type="dxa"/>
            <w:shd w:val="clear" w:color="auto" w:fill="auto"/>
          </w:tcPr>
          <w:p w14:paraId="79EE1D97" w14:textId="77777777" w:rsidR="00883C49" w:rsidRPr="00D03B0C" w:rsidRDefault="00883C49" w:rsidP="00F24CC5"/>
        </w:tc>
        <w:tc>
          <w:tcPr>
            <w:tcW w:w="1116" w:type="dxa"/>
            <w:shd w:val="clear" w:color="auto" w:fill="auto"/>
          </w:tcPr>
          <w:p w14:paraId="3EF215C1" w14:textId="77777777" w:rsidR="00883C49" w:rsidRPr="00D03B0C" w:rsidRDefault="00883C49" w:rsidP="00F24CC5"/>
        </w:tc>
      </w:tr>
    </w:tbl>
    <w:p w14:paraId="7AAB8D47" w14:textId="77777777" w:rsidR="00883C49" w:rsidRPr="008A01DA" w:rsidRDefault="00883C49" w:rsidP="00883C49">
      <w:pPr>
        <w:pStyle w:val="Heading4"/>
      </w:pPr>
      <w:r>
        <w:lastRenderedPageBreak/>
        <w:t>Perception Data</w:t>
      </w:r>
    </w:p>
    <w:tbl>
      <w:tblPr>
        <w:tblStyle w:val="TableGrid"/>
        <w:tblW w:w="9993" w:type="dxa"/>
        <w:jc w:val="center"/>
        <w:tblCellMar>
          <w:top w:w="57" w:type="dxa"/>
          <w:left w:w="57" w:type="dxa"/>
          <w:bottom w:w="57" w:type="dxa"/>
          <w:right w:w="57" w:type="dxa"/>
        </w:tblCellMar>
        <w:tblLook w:val="04A0" w:firstRow="1" w:lastRow="0" w:firstColumn="1" w:lastColumn="0" w:noHBand="0" w:noVBand="1"/>
      </w:tblPr>
      <w:tblGrid>
        <w:gridCol w:w="4738"/>
        <w:gridCol w:w="879"/>
        <w:gridCol w:w="879"/>
        <w:gridCol w:w="879"/>
        <w:gridCol w:w="873"/>
        <w:gridCol w:w="872"/>
        <w:gridCol w:w="873"/>
      </w:tblGrid>
      <w:tr w:rsidR="00883C49" w14:paraId="78EDD30F" w14:textId="77777777" w:rsidTr="00F24CC5">
        <w:trPr>
          <w:trHeight w:val="574"/>
          <w:jc w:val="center"/>
        </w:trPr>
        <w:tc>
          <w:tcPr>
            <w:tcW w:w="4738" w:type="dxa"/>
            <w:shd w:val="clear" w:color="auto" w:fill="auto"/>
          </w:tcPr>
          <w:p w14:paraId="2257DEF2" w14:textId="77777777" w:rsidR="00883C49" w:rsidRPr="006D2F6B" w:rsidRDefault="00883C49" w:rsidP="00F24CC5">
            <w:pPr>
              <w:rPr>
                <w:b/>
              </w:rPr>
            </w:pPr>
            <w:r w:rsidRPr="006D2F6B">
              <w:rPr>
                <w:b/>
              </w:rPr>
              <w:t>Targets or Measures</w:t>
            </w:r>
          </w:p>
        </w:tc>
        <w:tc>
          <w:tcPr>
            <w:tcW w:w="879" w:type="dxa"/>
            <w:shd w:val="clear" w:color="auto" w:fill="auto"/>
          </w:tcPr>
          <w:p w14:paraId="2010B106" w14:textId="77777777" w:rsidR="00883C49" w:rsidRPr="006D2F6B" w:rsidRDefault="00883C49" w:rsidP="00F24CC5">
            <w:pPr>
              <w:jc w:val="center"/>
              <w:rPr>
                <w:b/>
              </w:rPr>
            </w:pPr>
            <w:r w:rsidRPr="006D2F6B">
              <w:rPr>
                <w:b/>
              </w:rPr>
              <w:t>Base</w:t>
            </w:r>
          </w:p>
        </w:tc>
        <w:tc>
          <w:tcPr>
            <w:tcW w:w="879" w:type="dxa"/>
            <w:shd w:val="clear" w:color="auto" w:fill="auto"/>
          </w:tcPr>
          <w:p w14:paraId="3B63F51E" w14:textId="2D85DC64" w:rsidR="00883C49" w:rsidRDefault="00883C49" w:rsidP="00F24CC5">
            <w:pPr>
              <w:jc w:val="center"/>
              <w:rPr>
                <w:b/>
              </w:rPr>
            </w:pPr>
            <w:r>
              <w:rPr>
                <w:b/>
              </w:rPr>
              <w:t>20</w:t>
            </w:r>
            <w:r w:rsidR="00733922">
              <w:rPr>
                <w:b/>
              </w:rPr>
              <w:t>21</w:t>
            </w:r>
          </w:p>
          <w:p w14:paraId="04BF53BF" w14:textId="77777777" w:rsidR="00883C49" w:rsidRPr="006D2F6B" w:rsidRDefault="00883C49" w:rsidP="00F24CC5">
            <w:pPr>
              <w:jc w:val="center"/>
              <w:rPr>
                <w:b/>
              </w:rPr>
            </w:pPr>
            <w:r w:rsidRPr="00D03B0C">
              <w:rPr>
                <w:b/>
              </w:rPr>
              <w:t>Year 1</w:t>
            </w:r>
          </w:p>
        </w:tc>
        <w:tc>
          <w:tcPr>
            <w:tcW w:w="879" w:type="dxa"/>
            <w:shd w:val="clear" w:color="auto" w:fill="auto"/>
          </w:tcPr>
          <w:p w14:paraId="3AFC83AE" w14:textId="08F6D573" w:rsidR="00883C49" w:rsidRDefault="00883C49" w:rsidP="00F24CC5">
            <w:pPr>
              <w:jc w:val="center"/>
              <w:rPr>
                <w:b/>
              </w:rPr>
            </w:pPr>
            <w:r>
              <w:rPr>
                <w:b/>
              </w:rPr>
              <w:t>20</w:t>
            </w:r>
            <w:r w:rsidR="00733922">
              <w:rPr>
                <w:b/>
              </w:rPr>
              <w:t>22</w:t>
            </w:r>
          </w:p>
          <w:p w14:paraId="04547405" w14:textId="77777777" w:rsidR="00883C49" w:rsidRPr="006D2F6B" w:rsidRDefault="00883C49" w:rsidP="00F24CC5">
            <w:pPr>
              <w:jc w:val="center"/>
              <w:rPr>
                <w:b/>
              </w:rPr>
            </w:pPr>
            <w:r w:rsidRPr="00D03B0C">
              <w:rPr>
                <w:b/>
              </w:rPr>
              <w:t>Year 2</w:t>
            </w:r>
          </w:p>
        </w:tc>
        <w:tc>
          <w:tcPr>
            <w:tcW w:w="873" w:type="dxa"/>
            <w:shd w:val="clear" w:color="auto" w:fill="auto"/>
          </w:tcPr>
          <w:p w14:paraId="36F39412" w14:textId="14A7347F" w:rsidR="00883C49" w:rsidRDefault="00883C49" w:rsidP="00F24CC5">
            <w:pPr>
              <w:jc w:val="center"/>
              <w:rPr>
                <w:b/>
              </w:rPr>
            </w:pPr>
            <w:r>
              <w:rPr>
                <w:b/>
              </w:rPr>
              <w:t>202</w:t>
            </w:r>
            <w:r w:rsidR="00733922">
              <w:rPr>
                <w:b/>
              </w:rPr>
              <w:t>3</w:t>
            </w:r>
          </w:p>
          <w:p w14:paraId="39844F7B" w14:textId="77777777" w:rsidR="00883C49" w:rsidRPr="006D2F6B" w:rsidRDefault="00883C49" w:rsidP="00F24CC5">
            <w:pPr>
              <w:jc w:val="center"/>
              <w:rPr>
                <w:b/>
              </w:rPr>
            </w:pPr>
            <w:r w:rsidRPr="00D03B0C">
              <w:rPr>
                <w:b/>
              </w:rPr>
              <w:t>Year 3</w:t>
            </w:r>
          </w:p>
        </w:tc>
        <w:tc>
          <w:tcPr>
            <w:tcW w:w="872" w:type="dxa"/>
            <w:shd w:val="clear" w:color="auto" w:fill="auto"/>
          </w:tcPr>
          <w:p w14:paraId="23E9EC77" w14:textId="77777777" w:rsidR="00883C49" w:rsidRPr="006D2F6B" w:rsidRDefault="00883C49" w:rsidP="00F24CC5">
            <w:pPr>
              <w:jc w:val="center"/>
              <w:rPr>
                <w:b/>
              </w:rPr>
            </w:pPr>
            <w:r w:rsidRPr="006D2F6B">
              <w:rPr>
                <w:b/>
              </w:rPr>
              <w:t>Year 4</w:t>
            </w:r>
          </w:p>
        </w:tc>
        <w:tc>
          <w:tcPr>
            <w:tcW w:w="873" w:type="dxa"/>
            <w:shd w:val="clear" w:color="auto" w:fill="auto"/>
          </w:tcPr>
          <w:p w14:paraId="60214F58" w14:textId="77777777" w:rsidR="00883C49" w:rsidRPr="006D2F6B" w:rsidRDefault="00883C49" w:rsidP="00F24CC5">
            <w:pPr>
              <w:jc w:val="center"/>
              <w:rPr>
                <w:b/>
              </w:rPr>
            </w:pPr>
            <w:r w:rsidRPr="006D2F6B">
              <w:rPr>
                <w:b/>
              </w:rPr>
              <w:t>Year 5</w:t>
            </w:r>
          </w:p>
        </w:tc>
      </w:tr>
      <w:tr w:rsidR="00883C49" w14:paraId="217E3852" w14:textId="77777777" w:rsidTr="00F24CC5">
        <w:trPr>
          <w:trHeight w:val="1165"/>
          <w:jc w:val="center"/>
        </w:trPr>
        <w:tc>
          <w:tcPr>
            <w:tcW w:w="4738" w:type="dxa"/>
            <w:shd w:val="clear" w:color="auto" w:fill="auto"/>
          </w:tcPr>
          <w:p w14:paraId="56C6DC76" w14:textId="7B41ABEA" w:rsidR="00883C49" w:rsidRPr="006D2F6B" w:rsidRDefault="00F35604" w:rsidP="00F24CC5">
            <w:pPr>
              <w:pStyle w:val="ListBullet"/>
              <w:numPr>
                <w:ilvl w:val="0"/>
                <w:numId w:val="0"/>
              </w:numPr>
            </w:pPr>
            <w:r>
              <w:rPr>
                <w:rFonts w:ascii="Calibri" w:hAnsi="Calibri" w:cs="Calibri"/>
                <w:color w:val="000000"/>
              </w:rPr>
              <w:t>85% or more students agree or strongly agree that I am satisfied this school has high expectations in all that it does.</w:t>
            </w:r>
          </w:p>
        </w:tc>
        <w:tc>
          <w:tcPr>
            <w:tcW w:w="879" w:type="dxa"/>
            <w:shd w:val="clear" w:color="auto" w:fill="auto"/>
          </w:tcPr>
          <w:p w14:paraId="09A3032E" w14:textId="1D99C6D9" w:rsidR="00883C49" w:rsidRPr="006D2F6B" w:rsidRDefault="00472E8C" w:rsidP="00F24CC5">
            <w:r>
              <w:t>68%</w:t>
            </w:r>
          </w:p>
        </w:tc>
        <w:tc>
          <w:tcPr>
            <w:tcW w:w="879" w:type="dxa"/>
            <w:shd w:val="clear" w:color="auto" w:fill="auto"/>
          </w:tcPr>
          <w:p w14:paraId="0ECA6C75" w14:textId="5BDCFEC1" w:rsidR="00883C49" w:rsidRPr="006D2F6B" w:rsidRDefault="00881075" w:rsidP="00F24CC5">
            <w:r>
              <w:t>TBA</w:t>
            </w:r>
          </w:p>
        </w:tc>
        <w:tc>
          <w:tcPr>
            <w:tcW w:w="879" w:type="dxa"/>
            <w:shd w:val="clear" w:color="auto" w:fill="auto"/>
          </w:tcPr>
          <w:p w14:paraId="4AA7D9A8" w14:textId="032EF3A9" w:rsidR="00883C49" w:rsidRPr="006D2F6B" w:rsidRDefault="00883C49"/>
        </w:tc>
        <w:tc>
          <w:tcPr>
            <w:tcW w:w="873" w:type="dxa"/>
            <w:shd w:val="clear" w:color="auto" w:fill="auto"/>
          </w:tcPr>
          <w:p w14:paraId="7C60FA4D" w14:textId="3DE54C06" w:rsidR="00883C49" w:rsidRPr="006D2F6B" w:rsidRDefault="00883C49" w:rsidP="00F24CC5"/>
        </w:tc>
        <w:tc>
          <w:tcPr>
            <w:tcW w:w="872" w:type="dxa"/>
            <w:shd w:val="clear" w:color="auto" w:fill="auto"/>
          </w:tcPr>
          <w:p w14:paraId="2F6F4EFD" w14:textId="77777777" w:rsidR="00883C49" w:rsidRPr="006D2F6B" w:rsidRDefault="00883C49" w:rsidP="00F24CC5"/>
        </w:tc>
        <w:tc>
          <w:tcPr>
            <w:tcW w:w="873" w:type="dxa"/>
            <w:shd w:val="clear" w:color="auto" w:fill="auto"/>
          </w:tcPr>
          <w:p w14:paraId="5C3612DB" w14:textId="77777777" w:rsidR="00883C49" w:rsidRPr="006D2F6B" w:rsidRDefault="00883C49" w:rsidP="00F24CC5"/>
        </w:tc>
      </w:tr>
    </w:tbl>
    <w:p w14:paraId="024376B0" w14:textId="77777777" w:rsidR="00883C49" w:rsidRPr="008A01DA" w:rsidRDefault="00883C49" w:rsidP="00883C49">
      <w:pPr>
        <w:pStyle w:val="Heading4"/>
      </w:pPr>
      <w:r>
        <w:t>School program and process data</w:t>
      </w:r>
    </w:p>
    <w:tbl>
      <w:tblPr>
        <w:tblStyle w:val="TableGrid"/>
        <w:tblW w:w="10054" w:type="dxa"/>
        <w:jc w:val="center"/>
        <w:tblLayout w:type="fixed"/>
        <w:tblCellMar>
          <w:top w:w="57" w:type="dxa"/>
          <w:left w:w="57" w:type="dxa"/>
          <w:bottom w:w="57" w:type="dxa"/>
          <w:right w:w="57" w:type="dxa"/>
        </w:tblCellMar>
        <w:tblLook w:val="04A0" w:firstRow="1" w:lastRow="0" w:firstColumn="1" w:lastColumn="0" w:noHBand="0" w:noVBand="1"/>
      </w:tblPr>
      <w:tblGrid>
        <w:gridCol w:w="2981"/>
        <w:gridCol w:w="1273"/>
        <w:gridCol w:w="1274"/>
        <w:gridCol w:w="1273"/>
        <w:gridCol w:w="1274"/>
        <w:gridCol w:w="1134"/>
        <w:gridCol w:w="845"/>
      </w:tblGrid>
      <w:tr w:rsidR="00883C49" w14:paraId="7F1D410A" w14:textId="77777777" w:rsidTr="00F24CC5">
        <w:trPr>
          <w:trHeight w:val="568"/>
          <w:jc w:val="center"/>
        </w:trPr>
        <w:tc>
          <w:tcPr>
            <w:tcW w:w="2981" w:type="dxa"/>
            <w:shd w:val="clear" w:color="auto" w:fill="auto"/>
          </w:tcPr>
          <w:p w14:paraId="712CE9B1" w14:textId="77777777" w:rsidR="00883C49" w:rsidRPr="006D2F6B" w:rsidRDefault="00883C49" w:rsidP="00F24CC5">
            <w:pPr>
              <w:rPr>
                <w:b/>
              </w:rPr>
            </w:pPr>
            <w:r w:rsidRPr="006D2F6B">
              <w:rPr>
                <w:b/>
              </w:rPr>
              <w:t>Targets or Measures</w:t>
            </w:r>
          </w:p>
        </w:tc>
        <w:tc>
          <w:tcPr>
            <w:tcW w:w="1273" w:type="dxa"/>
            <w:shd w:val="clear" w:color="auto" w:fill="auto"/>
          </w:tcPr>
          <w:p w14:paraId="630E2E80" w14:textId="77777777" w:rsidR="00883C49" w:rsidRPr="006D2F6B" w:rsidRDefault="00883C49" w:rsidP="00F24CC5">
            <w:pPr>
              <w:jc w:val="center"/>
              <w:rPr>
                <w:b/>
              </w:rPr>
            </w:pPr>
            <w:r w:rsidRPr="006D2F6B">
              <w:rPr>
                <w:b/>
              </w:rPr>
              <w:t>Base</w:t>
            </w:r>
          </w:p>
        </w:tc>
        <w:tc>
          <w:tcPr>
            <w:tcW w:w="1274" w:type="dxa"/>
            <w:shd w:val="clear" w:color="auto" w:fill="auto"/>
          </w:tcPr>
          <w:p w14:paraId="321AD75E" w14:textId="60DD88E5" w:rsidR="00883C49" w:rsidRDefault="00883C49" w:rsidP="00F24CC5">
            <w:pPr>
              <w:jc w:val="center"/>
              <w:rPr>
                <w:b/>
              </w:rPr>
            </w:pPr>
            <w:r>
              <w:rPr>
                <w:b/>
              </w:rPr>
              <w:t>20</w:t>
            </w:r>
            <w:r w:rsidR="00733922">
              <w:rPr>
                <w:b/>
              </w:rPr>
              <w:t>21</w:t>
            </w:r>
          </w:p>
          <w:p w14:paraId="4AC4F615" w14:textId="77777777" w:rsidR="00883C49" w:rsidRPr="006D2F6B" w:rsidRDefault="00883C49" w:rsidP="00F24CC5">
            <w:pPr>
              <w:jc w:val="center"/>
              <w:rPr>
                <w:b/>
              </w:rPr>
            </w:pPr>
            <w:r w:rsidRPr="00D03B0C">
              <w:rPr>
                <w:b/>
              </w:rPr>
              <w:t>Year 1</w:t>
            </w:r>
          </w:p>
        </w:tc>
        <w:tc>
          <w:tcPr>
            <w:tcW w:w="1273" w:type="dxa"/>
            <w:shd w:val="clear" w:color="auto" w:fill="auto"/>
          </w:tcPr>
          <w:p w14:paraId="012161AB" w14:textId="273DDFB3" w:rsidR="00883C49" w:rsidRDefault="00883C49" w:rsidP="00F24CC5">
            <w:pPr>
              <w:jc w:val="center"/>
              <w:rPr>
                <w:b/>
              </w:rPr>
            </w:pPr>
            <w:r>
              <w:rPr>
                <w:b/>
              </w:rPr>
              <w:t>20</w:t>
            </w:r>
            <w:r w:rsidR="00733922">
              <w:rPr>
                <w:b/>
              </w:rPr>
              <w:t>22</w:t>
            </w:r>
          </w:p>
          <w:p w14:paraId="78AC8F05" w14:textId="77777777" w:rsidR="00883C49" w:rsidRPr="006D2F6B" w:rsidRDefault="00883C49" w:rsidP="00F24CC5">
            <w:pPr>
              <w:jc w:val="center"/>
              <w:rPr>
                <w:b/>
              </w:rPr>
            </w:pPr>
            <w:r w:rsidRPr="00D03B0C">
              <w:rPr>
                <w:b/>
              </w:rPr>
              <w:t>Year 2</w:t>
            </w:r>
          </w:p>
        </w:tc>
        <w:tc>
          <w:tcPr>
            <w:tcW w:w="1274" w:type="dxa"/>
            <w:shd w:val="clear" w:color="auto" w:fill="auto"/>
          </w:tcPr>
          <w:p w14:paraId="0EF7B1F9" w14:textId="3703CF9A" w:rsidR="00883C49" w:rsidRDefault="00883C49" w:rsidP="00F24CC5">
            <w:pPr>
              <w:jc w:val="center"/>
              <w:rPr>
                <w:b/>
              </w:rPr>
            </w:pPr>
            <w:r>
              <w:rPr>
                <w:b/>
              </w:rPr>
              <w:t>202</w:t>
            </w:r>
            <w:r w:rsidR="00733922">
              <w:rPr>
                <w:b/>
              </w:rPr>
              <w:t>3</w:t>
            </w:r>
          </w:p>
          <w:p w14:paraId="4F7365E9" w14:textId="77777777" w:rsidR="00883C49" w:rsidRPr="006D2F6B" w:rsidRDefault="00883C49" w:rsidP="00F24CC5">
            <w:pPr>
              <w:jc w:val="center"/>
              <w:rPr>
                <w:b/>
              </w:rPr>
            </w:pPr>
            <w:r w:rsidRPr="00D03B0C">
              <w:rPr>
                <w:b/>
              </w:rPr>
              <w:t>Year 3</w:t>
            </w:r>
          </w:p>
        </w:tc>
        <w:tc>
          <w:tcPr>
            <w:tcW w:w="1134" w:type="dxa"/>
            <w:shd w:val="clear" w:color="auto" w:fill="auto"/>
          </w:tcPr>
          <w:p w14:paraId="19198E4A" w14:textId="77777777" w:rsidR="00883C49" w:rsidRPr="006D2F6B" w:rsidRDefault="00883C49" w:rsidP="00F24CC5">
            <w:pPr>
              <w:jc w:val="center"/>
              <w:rPr>
                <w:b/>
              </w:rPr>
            </w:pPr>
            <w:r w:rsidRPr="006D2F6B">
              <w:rPr>
                <w:b/>
              </w:rPr>
              <w:t>Year 4</w:t>
            </w:r>
          </w:p>
        </w:tc>
        <w:tc>
          <w:tcPr>
            <w:tcW w:w="845" w:type="dxa"/>
            <w:shd w:val="clear" w:color="auto" w:fill="auto"/>
          </w:tcPr>
          <w:p w14:paraId="04745CEA" w14:textId="77777777" w:rsidR="00883C49" w:rsidRPr="006D2F6B" w:rsidRDefault="00883C49" w:rsidP="00F24CC5">
            <w:pPr>
              <w:jc w:val="center"/>
              <w:rPr>
                <w:b/>
              </w:rPr>
            </w:pPr>
            <w:r w:rsidRPr="006D2F6B">
              <w:rPr>
                <w:b/>
              </w:rPr>
              <w:t>Year 5</w:t>
            </w:r>
          </w:p>
        </w:tc>
      </w:tr>
      <w:tr w:rsidR="00883C49" w14:paraId="31F4540B" w14:textId="77777777" w:rsidTr="00F24CC5">
        <w:trPr>
          <w:trHeight w:val="2840"/>
          <w:jc w:val="center"/>
        </w:trPr>
        <w:tc>
          <w:tcPr>
            <w:tcW w:w="2981" w:type="dxa"/>
            <w:shd w:val="clear" w:color="auto" w:fill="auto"/>
          </w:tcPr>
          <w:p w14:paraId="1F08D333" w14:textId="30E8DC12" w:rsidR="00883C49" w:rsidRDefault="00972A4D" w:rsidP="00F24CC5">
            <w:pPr>
              <w:pStyle w:val="ListBullet"/>
              <w:numPr>
                <w:ilvl w:val="0"/>
                <w:numId w:val="0"/>
              </w:numPr>
              <w:rPr>
                <w:rFonts w:ascii="Calibri" w:hAnsi="Calibri" w:cs="Calibri"/>
                <w:color w:val="000000"/>
              </w:rPr>
            </w:pPr>
            <w:r>
              <w:rPr>
                <w:rFonts w:ascii="Calibri" w:hAnsi="Calibri" w:cs="Calibri"/>
                <w:color w:val="000000"/>
              </w:rPr>
              <w:t xml:space="preserve">Increase to 3.5 or higher the average level of </w:t>
            </w:r>
            <w:proofErr w:type="spellStart"/>
            <w:r>
              <w:rPr>
                <w:rFonts w:ascii="Calibri" w:hAnsi="Calibri" w:cs="Calibri"/>
                <w:color w:val="000000"/>
              </w:rPr>
              <w:t>Yr</w:t>
            </w:r>
            <w:proofErr w:type="spellEnd"/>
            <w:r>
              <w:rPr>
                <w:rFonts w:ascii="Calibri" w:hAnsi="Calibri" w:cs="Calibri"/>
                <w:color w:val="000000"/>
              </w:rPr>
              <w:t xml:space="preserve"> 1-6 achievement demonstrated in Numeracy</w:t>
            </w:r>
            <w:r w:rsidR="00883A28">
              <w:rPr>
                <w:rFonts w:ascii="Calibri" w:hAnsi="Calibri" w:cs="Calibri"/>
                <w:color w:val="000000"/>
              </w:rPr>
              <w:t xml:space="preserve"> </w:t>
            </w:r>
            <w:r w:rsidR="00A9235D">
              <w:rPr>
                <w:rFonts w:ascii="Calibri" w:hAnsi="Calibri" w:cs="Calibri"/>
                <w:color w:val="000000"/>
              </w:rPr>
              <w:t>(A-E grades)</w:t>
            </w:r>
          </w:p>
          <w:p w14:paraId="20551A24" w14:textId="08651A16" w:rsidR="00973340" w:rsidRPr="006D2F6B" w:rsidRDefault="00973340" w:rsidP="00F24CC5">
            <w:pPr>
              <w:pStyle w:val="ListBullet"/>
              <w:numPr>
                <w:ilvl w:val="0"/>
                <w:numId w:val="0"/>
              </w:numPr>
            </w:pPr>
            <w:r>
              <w:rPr>
                <w:rFonts w:ascii="Calibri" w:hAnsi="Calibri" w:cs="Calibri"/>
                <w:color w:val="000000"/>
              </w:rPr>
              <w:t xml:space="preserve">(A=5, B= 4, C= 3, D= </w:t>
            </w:r>
            <w:r w:rsidR="00A9235D">
              <w:rPr>
                <w:rFonts w:ascii="Calibri" w:hAnsi="Calibri" w:cs="Calibri"/>
                <w:color w:val="000000"/>
              </w:rPr>
              <w:t>2, E=1)</w:t>
            </w:r>
          </w:p>
        </w:tc>
        <w:tc>
          <w:tcPr>
            <w:tcW w:w="1273" w:type="dxa"/>
            <w:shd w:val="clear" w:color="auto" w:fill="auto"/>
          </w:tcPr>
          <w:p w14:paraId="3EB82AB4" w14:textId="7E960AA2" w:rsidR="00883C49" w:rsidRPr="006D2F6B" w:rsidRDefault="00973340" w:rsidP="00DA2368">
            <w:pPr>
              <w:widowControl w:val="0"/>
              <w:autoSpaceDE w:val="0"/>
              <w:autoSpaceDN w:val="0"/>
              <w:spacing w:after="120"/>
              <w:contextualSpacing/>
            </w:pPr>
            <w:r>
              <w:rPr>
                <w:rFonts w:ascii="Calibri" w:eastAsia="Calibri" w:hAnsi="Calibri" w:cs="Calibri"/>
                <w:lang w:eastAsia="en-AU" w:bidi="en-AU"/>
              </w:rPr>
              <w:t>Grade results average: 2.996</w:t>
            </w:r>
          </w:p>
        </w:tc>
        <w:tc>
          <w:tcPr>
            <w:tcW w:w="1274" w:type="dxa"/>
            <w:shd w:val="clear" w:color="auto" w:fill="auto"/>
          </w:tcPr>
          <w:p w14:paraId="6EDEBA11" w14:textId="77777777" w:rsidR="00883C49" w:rsidRPr="006D2F6B" w:rsidRDefault="00883C49" w:rsidP="00DA2368">
            <w:pPr>
              <w:widowControl w:val="0"/>
              <w:autoSpaceDE w:val="0"/>
              <w:autoSpaceDN w:val="0"/>
              <w:spacing w:after="120"/>
              <w:contextualSpacing/>
            </w:pPr>
          </w:p>
        </w:tc>
        <w:tc>
          <w:tcPr>
            <w:tcW w:w="1273" w:type="dxa"/>
            <w:shd w:val="clear" w:color="auto" w:fill="auto"/>
          </w:tcPr>
          <w:p w14:paraId="7ED296F8" w14:textId="77777777" w:rsidR="00883C49" w:rsidRPr="006D2F6B" w:rsidRDefault="00883C49" w:rsidP="00DA2368">
            <w:pPr>
              <w:widowControl w:val="0"/>
              <w:autoSpaceDE w:val="0"/>
              <w:autoSpaceDN w:val="0"/>
              <w:spacing w:after="120"/>
              <w:contextualSpacing/>
            </w:pPr>
          </w:p>
        </w:tc>
        <w:tc>
          <w:tcPr>
            <w:tcW w:w="1274" w:type="dxa"/>
            <w:shd w:val="clear" w:color="auto" w:fill="auto"/>
          </w:tcPr>
          <w:p w14:paraId="6FF69290" w14:textId="2A25C006" w:rsidR="00883C49" w:rsidRPr="006D2F6B" w:rsidRDefault="00883C49" w:rsidP="00F24CC5"/>
        </w:tc>
        <w:tc>
          <w:tcPr>
            <w:tcW w:w="1134" w:type="dxa"/>
            <w:shd w:val="clear" w:color="auto" w:fill="auto"/>
          </w:tcPr>
          <w:p w14:paraId="6161A2DC" w14:textId="77777777" w:rsidR="00883C49" w:rsidRPr="006D2F6B" w:rsidRDefault="00883C49" w:rsidP="00F24CC5"/>
        </w:tc>
        <w:tc>
          <w:tcPr>
            <w:tcW w:w="845" w:type="dxa"/>
            <w:shd w:val="clear" w:color="auto" w:fill="auto"/>
          </w:tcPr>
          <w:p w14:paraId="79B1B832" w14:textId="77777777" w:rsidR="00883C49" w:rsidRPr="006D2F6B" w:rsidRDefault="00883C49" w:rsidP="00F24CC5"/>
        </w:tc>
      </w:tr>
    </w:tbl>
    <w:p w14:paraId="054909D5" w14:textId="77777777" w:rsidR="00883C49" w:rsidRDefault="00883C49" w:rsidP="00883C49">
      <w:pPr>
        <w:pStyle w:val="BodyText"/>
      </w:pPr>
    </w:p>
    <w:p w14:paraId="5E0AF011" w14:textId="77777777" w:rsidR="00883C49" w:rsidRPr="00E061B8" w:rsidRDefault="00883C49" w:rsidP="00883C49">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883C49" w14:paraId="7D531272" w14:textId="77777777" w:rsidTr="00F24CC5">
        <w:trPr>
          <w:trHeight w:val="401"/>
          <w:jc w:val="center"/>
        </w:trPr>
        <w:tc>
          <w:tcPr>
            <w:tcW w:w="9027" w:type="dxa"/>
            <w:shd w:val="clear" w:color="auto" w:fill="auto"/>
          </w:tcPr>
          <w:p w14:paraId="64A8A526" w14:textId="77777777" w:rsidR="00883C49" w:rsidRDefault="00883C49" w:rsidP="00F24CC5">
            <w:pPr>
              <w:pStyle w:val="PlainText"/>
              <w:numPr>
                <w:ilvl w:val="0"/>
                <w:numId w:val="1"/>
              </w:numPr>
              <w:ind w:left="426" w:hanging="425"/>
            </w:pPr>
            <w:r>
              <w:t>What does this evidence indicate about your school’s progress towards your five-year target</w:t>
            </w:r>
            <w:r w:rsidRPr="006D2F6B">
              <w:t>s</w:t>
            </w:r>
            <w:r>
              <w:t>?</w:t>
            </w:r>
          </w:p>
          <w:p w14:paraId="597ED7ED" w14:textId="0B581D48" w:rsidR="00883C49" w:rsidRDefault="00883C49" w:rsidP="00F24CC5">
            <w:pPr>
              <w:pStyle w:val="PlainText"/>
            </w:pPr>
            <w:r>
              <w:t xml:space="preserve">The perception data sets demonstrate there is still faith from staff that the school has high expectations in all that it does. The student learning data is an essential part of our data and due to COVID 19 do not have this to make any trend or progress statements. </w:t>
            </w:r>
          </w:p>
          <w:p w14:paraId="722E92A2" w14:textId="77777777" w:rsidR="00883C49" w:rsidRDefault="00883C49" w:rsidP="00F24CC5">
            <w:pPr>
              <w:pStyle w:val="PlainText"/>
            </w:pPr>
          </w:p>
          <w:p w14:paraId="7FBC547F" w14:textId="77777777" w:rsidR="00883C49" w:rsidRDefault="00883C49" w:rsidP="00F24CC5">
            <w:pPr>
              <w:pStyle w:val="PlainText"/>
              <w:numPr>
                <w:ilvl w:val="0"/>
                <w:numId w:val="14"/>
              </w:numPr>
            </w:pPr>
            <w:r>
              <w:t>Have any of your data sources changed over time? If so, why?</w:t>
            </w:r>
          </w:p>
          <w:p w14:paraId="770291E1" w14:textId="77777777" w:rsidR="00883C49" w:rsidRDefault="00883C49" w:rsidP="00F24CC5">
            <w:pPr>
              <w:pStyle w:val="PlainText"/>
              <w:ind w:left="426"/>
            </w:pPr>
          </w:p>
          <w:p w14:paraId="38A36DC8" w14:textId="3DF9C7B3" w:rsidR="00883C49" w:rsidRDefault="00883C49" w:rsidP="00F24CC5">
            <w:pPr>
              <w:pStyle w:val="PlainText"/>
              <w:ind w:left="1"/>
            </w:pPr>
            <w:r w:rsidRPr="00255B34">
              <w:t>Our data sources have change due to the Year 3 &amp; Year 5 cohorts unable to sit NAPLAN in 2020</w:t>
            </w:r>
            <w:r w:rsidR="00080917">
              <w:t>.</w:t>
            </w:r>
          </w:p>
          <w:p w14:paraId="326EE13D" w14:textId="3E6B5649" w:rsidR="00080917" w:rsidRDefault="00080917" w:rsidP="00F24CC5">
            <w:pPr>
              <w:pStyle w:val="PlainText"/>
              <w:ind w:left="1"/>
            </w:pPr>
            <w:r>
              <w:t>We also use SENA assessment in the K-2</w:t>
            </w:r>
            <w:r w:rsidR="00E00F77">
              <w:t xml:space="preserve">, and </w:t>
            </w:r>
            <w:proofErr w:type="spellStart"/>
            <w:r w:rsidR="00E00F77">
              <w:t>PATmaths</w:t>
            </w:r>
            <w:proofErr w:type="spellEnd"/>
            <w:r w:rsidR="00E00F77">
              <w:t xml:space="preserve"> in years 3-6.</w:t>
            </w:r>
          </w:p>
          <w:p w14:paraId="70B77409" w14:textId="77777777" w:rsidR="00883C49" w:rsidRDefault="00883C49" w:rsidP="00F24CC5">
            <w:pPr>
              <w:pStyle w:val="PlainText"/>
            </w:pPr>
          </w:p>
          <w:p w14:paraId="48EB6A11" w14:textId="77777777" w:rsidR="00883C49" w:rsidRDefault="00883C49" w:rsidP="00F24CC5">
            <w:pPr>
              <w:pStyle w:val="PlainText"/>
              <w:numPr>
                <w:ilvl w:val="0"/>
                <w:numId w:val="14"/>
              </w:numPr>
            </w:pPr>
            <w:r>
              <w:t>What implications does this evidence have for your next Action Plan?</w:t>
            </w:r>
          </w:p>
          <w:p w14:paraId="0A50DE21" w14:textId="77777777" w:rsidR="00883C49" w:rsidRDefault="00883C49" w:rsidP="00F24CC5">
            <w:pPr>
              <w:pStyle w:val="PlainText"/>
              <w:ind w:left="1"/>
            </w:pPr>
          </w:p>
          <w:p w14:paraId="5B664432" w14:textId="13F27449" w:rsidR="00883C49" w:rsidRDefault="00883C49" w:rsidP="00F24CC5">
            <w:pPr>
              <w:pStyle w:val="PlainText"/>
            </w:pPr>
            <w:r>
              <w:t>Some of the main work about curriculum planning have not been completed due to the other pressing priorities and our period of remote learning.  In 202</w:t>
            </w:r>
            <w:r w:rsidR="00830A8B">
              <w:t>2</w:t>
            </w:r>
            <w:r>
              <w:t xml:space="preserve">, we will </w:t>
            </w:r>
            <w:r w:rsidR="00565082">
              <w:t>refocus on our Numeracy Spiral of Inquiry and Numeracy priority.</w:t>
            </w:r>
          </w:p>
        </w:tc>
      </w:tr>
    </w:tbl>
    <w:p w14:paraId="76F788E9" w14:textId="77777777" w:rsidR="00883C49" w:rsidRPr="000117CB" w:rsidRDefault="00883C49" w:rsidP="00883C49">
      <w:pPr>
        <w:pStyle w:val="Heading3"/>
      </w:pPr>
      <w:r>
        <w:t xml:space="preserve">Our </w:t>
      </w:r>
      <w:r w:rsidRPr="000117CB">
        <w:t>achievements for this priority</w:t>
      </w:r>
    </w:p>
    <w:tbl>
      <w:tblPr>
        <w:tblStyle w:val="TableGrid"/>
        <w:tblW w:w="9062" w:type="dxa"/>
        <w:jc w:val="center"/>
        <w:tblCellMar>
          <w:top w:w="113" w:type="dxa"/>
          <w:bottom w:w="113" w:type="dxa"/>
        </w:tblCellMar>
        <w:tblLook w:val="04A0" w:firstRow="1" w:lastRow="0" w:firstColumn="1" w:lastColumn="0" w:noHBand="0" w:noVBand="1"/>
      </w:tblPr>
      <w:tblGrid>
        <w:gridCol w:w="9062"/>
      </w:tblGrid>
      <w:tr w:rsidR="00883C49" w:rsidRPr="000117CB" w14:paraId="1F1D4995" w14:textId="77777777" w:rsidTr="00F24CC5">
        <w:trPr>
          <w:trHeight w:val="248"/>
          <w:jc w:val="center"/>
        </w:trPr>
        <w:tc>
          <w:tcPr>
            <w:tcW w:w="9062" w:type="dxa"/>
            <w:shd w:val="clear" w:color="auto" w:fill="auto"/>
          </w:tcPr>
          <w:p w14:paraId="114C4942" w14:textId="3E18E8A2" w:rsidR="00883C49" w:rsidRPr="00DA2368" w:rsidRDefault="00E122E5" w:rsidP="00F24CC5">
            <w:pPr>
              <w:pStyle w:val="ListBullet"/>
              <w:numPr>
                <w:ilvl w:val="0"/>
                <w:numId w:val="0"/>
              </w:numPr>
              <w:ind w:left="360" w:hanging="360"/>
              <w:rPr>
                <w:sz w:val="24"/>
                <w:szCs w:val="24"/>
              </w:rPr>
            </w:pPr>
            <w:r w:rsidRPr="00DA2368">
              <w:rPr>
                <w:rFonts w:ascii="Calibri" w:hAnsi="Calibri" w:cs="Calibri"/>
                <w:b/>
                <w:bCs/>
                <w:color w:val="000000"/>
                <w:sz w:val="24"/>
                <w:szCs w:val="24"/>
              </w:rPr>
              <w:t>Strategy 1</w:t>
            </w:r>
            <w:r w:rsidRPr="00DA2368">
              <w:rPr>
                <w:rFonts w:ascii="Calibri" w:hAnsi="Calibri" w:cs="Calibri"/>
                <w:b/>
                <w:bCs/>
                <w:color w:val="000000"/>
                <w:sz w:val="24"/>
                <w:szCs w:val="24"/>
                <w:shd w:val="clear" w:color="auto" w:fill="FFFFFF"/>
              </w:rPr>
              <w:t xml:space="preserve">: </w:t>
            </w:r>
            <w:r w:rsidRPr="00DA2368">
              <w:rPr>
                <w:rFonts w:ascii="Calibri" w:hAnsi="Calibri" w:cs="Calibri"/>
                <w:color w:val="1A1A1A"/>
                <w:sz w:val="24"/>
                <w:szCs w:val="24"/>
                <w:shd w:val="clear" w:color="auto" w:fill="FFFFFF"/>
              </w:rPr>
              <w:t>Build the capability of teachers to effectively deliver differentiated inquiry-based Numeracy</w:t>
            </w:r>
          </w:p>
          <w:p w14:paraId="36A33122" w14:textId="77777777" w:rsidR="00883C49" w:rsidRDefault="00883C49" w:rsidP="00F24CC5">
            <w:pPr>
              <w:pStyle w:val="ListBullet"/>
              <w:numPr>
                <w:ilvl w:val="0"/>
                <w:numId w:val="0"/>
              </w:numPr>
              <w:ind w:left="360" w:hanging="360"/>
            </w:pPr>
          </w:p>
          <w:p w14:paraId="2C7917FF" w14:textId="4C7B0B27" w:rsidR="003827D6" w:rsidRPr="000117CB" w:rsidRDefault="006F27E8" w:rsidP="00F24CC5">
            <w:pPr>
              <w:pStyle w:val="ListBullet"/>
              <w:numPr>
                <w:ilvl w:val="0"/>
                <w:numId w:val="17"/>
              </w:numPr>
            </w:pPr>
            <w:r>
              <w:lastRenderedPageBreak/>
              <w:t xml:space="preserve">Reviewed assessment schedule and moved SENA into </w:t>
            </w:r>
            <w:r w:rsidR="00A227F2">
              <w:t>student profile folders (orange folder)</w:t>
            </w:r>
          </w:p>
          <w:p w14:paraId="29D9673F" w14:textId="59111513" w:rsidR="00883C49" w:rsidRPr="000117CB" w:rsidRDefault="00883C49" w:rsidP="00F24CC5">
            <w:pPr>
              <w:pStyle w:val="ListBullet"/>
              <w:numPr>
                <w:ilvl w:val="0"/>
                <w:numId w:val="17"/>
              </w:numPr>
            </w:pPr>
            <w:r w:rsidRPr="000117CB">
              <w:t xml:space="preserve">Professional learning on </w:t>
            </w:r>
            <w:proofErr w:type="gramStart"/>
            <w:r w:rsidRPr="000117CB">
              <w:t>inquiry based</w:t>
            </w:r>
            <w:proofErr w:type="gramEnd"/>
            <w:r w:rsidR="00E122E5">
              <w:t xml:space="preserve"> </w:t>
            </w:r>
            <w:proofErr w:type="spellStart"/>
            <w:r w:rsidR="00E122E5">
              <w:t>ReSolve</w:t>
            </w:r>
            <w:proofErr w:type="spellEnd"/>
            <w:r w:rsidR="00395426">
              <w:t xml:space="preserve"> </w:t>
            </w:r>
            <w:r w:rsidR="003827D6">
              <w:t xml:space="preserve">and SENA </w:t>
            </w:r>
            <w:r w:rsidR="00395426">
              <w:t>maths</w:t>
            </w:r>
            <w:r w:rsidRPr="000117CB">
              <w:t xml:space="preserve"> learning</w:t>
            </w:r>
          </w:p>
          <w:p w14:paraId="6C047F87" w14:textId="0BC52024" w:rsidR="00883C49" w:rsidRDefault="00DE5484" w:rsidP="00E122E5">
            <w:pPr>
              <w:pStyle w:val="ListBullet"/>
              <w:numPr>
                <w:ilvl w:val="0"/>
                <w:numId w:val="17"/>
              </w:numPr>
            </w:pPr>
            <w:r>
              <w:t xml:space="preserve">Years 3-6 teams looked at, </w:t>
            </w:r>
            <w:proofErr w:type="gramStart"/>
            <w:r>
              <w:t>discussed</w:t>
            </w:r>
            <w:proofErr w:type="gramEnd"/>
            <w:r>
              <w:t xml:space="preserve"> and planned with </w:t>
            </w:r>
            <w:proofErr w:type="spellStart"/>
            <w:r>
              <w:t>PatMaths</w:t>
            </w:r>
            <w:proofErr w:type="spellEnd"/>
            <w:r>
              <w:t xml:space="preserve"> data.</w:t>
            </w:r>
          </w:p>
          <w:p w14:paraId="65FFBDB2" w14:textId="7ED98A86" w:rsidR="00DE5484" w:rsidRPr="000117CB" w:rsidRDefault="00DE5484">
            <w:pPr>
              <w:pStyle w:val="ListBullet"/>
              <w:numPr>
                <w:ilvl w:val="0"/>
                <w:numId w:val="17"/>
              </w:numPr>
            </w:pPr>
            <w:r>
              <w:t xml:space="preserve">Coaching with </w:t>
            </w:r>
            <w:proofErr w:type="spellStart"/>
            <w:r>
              <w:t>ReSolve</w:t>
            </w:r>
            <w:proofErr w:type="spellEnd"/>
            <w:r>
              <w:t xml:space="preserve"> with year 1/ 2 team</w:t>
            </w:r>
          </w:p>
        </w:tc>
      </w:tr>
    </w:tbl>
    <w:p w14:paraId="419C8C88" w14:textId="77777777" w:rsidR="00883C49" w:rsidRDefault="00883C49" w:rsidP="00883C49">
      <w:pPr>
        <w:pStyle w:val="BodyText"/>
      </w:pPr>
    </w:p>
    <w:p w14:paraId="2DC8081C" w14:textId="77777777" w:rsidR="00883C49" w:rsidRDefault="00883C49" w:rsidP="00883C49">
      <w:pPr>
        <w:pStyle w:val="Heading3"/>
      </w:pPr>
      <w:r w:rsidRPr="00DA09ED">
        <w:t xml:space="preserve">Challenges we </w:t>
      </w:r>
      <w:r>
        <w:t>will address in</w:t>
      </w:r>
      <w:r w:rsidRPr="00DA09ED">
        <w:t xml:space="preserve"> our</w:t>
      </w:r>
      <w:r>
        <w:t xml:space="preserve"> next Action Plan</w:t>
      </w:r>
    </w:p>
    <w:p w14:paraId="6DEBF7AE" w14:textId="77777777" w:rsidR="00883C49" w:rsidRPr="005611F4" w:rsidRDefault="00883C49" w:rsidP="00883C49"/>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883C49" w14:paraId="63E82E66" w14:textId="77777777" w:rsidTr="00F24CC5">
        <w:trPr>
          <w:trHeight w:val="116"/>
          <w:jc w:val="center"/>
        </w:trPr>
        <w:tc>
          <w:tcPr>
            <w:tcW w:w="9016" w:type="dxa"/>
            <w:shd w:val="clear" w:color="auto" w:fill="auto"/>
          </w:tcPr>
          <w:p w14:paraId="1089C26E" w14:textId="77777777" w:rsidR="00883C49" w:rsidRDefault="00883C49" w:rsidP="00F24CC5">
            <w:pPr>
              <w:pStyle w:val="ListBullet2"/>
            </w:pPr>
            <w:r>
              <w:t>The school needs to continue to:</w:t>
            </w:r>
          </w:p>
          <w:p w14:paraId="0FF49EF3" w14:textId="77777777" w:rsidR="00883C49" w:rsidRDefault="00883C49" w:rsidP="00F24CC5">
            <w:pPr>
              <w:pStyle w:val="ListBullet2"/>
              <w:numPr>
                <w:ilvl w:val="0"/>
                <w:numId w:val="26"/>
              </w:numPr>
            </w:pPr>
            <w:r>
              <w:t>sharpen and narrow what is essential for our students to learn and build teacher capacity in content knowledge of the Australian Curriculum.</w:t>
            </w:r>
          </w:p>
          <w:p w14:paraId="36829177" w14:textId="77777777" w:rsidR="00883C49" w:rsidRDefault="00883C49" w:rsidP="00F24CC5">
            <w:pPr>
              <w:pStyle w:val="ListBullet2"/>
              <w:numPr>
                <w:ilvl w:val="0"/>
                <w:numId w:val="26"/>
              </w:numPr>
            </w:pPr>
            <w:r w:rsidRPr="00E3757D">
              <w:t>develop differentiated groups for number teaching and learning within, and or across, year levels</w:t>
            </w:r>
            <w:r>
              <w:t>.</w:t>
            </w:r>
          </w:p>
          <w:p w14:paraId="2EEA1CC5" w14:textId="253A6AD4" w:rsidR="00883C49" w:rsidRDefault="00883C49" w:rsidP="00F24CC5">
            <w:pPr>
              <w:pStyle w:val="ListBullet2"/>
              <w:numPr>
                <w:ilvl w:val="0"/>
                <w:numId w:val="26"/>
              </w:numPr>
            </w:pPr>
            <w:r>
              <w:t>utilise Progressive Assessment Test (PAT) mathematics data to supplement the missing NAPLAN data set</w:t>
            </w:r>
            <w:r w:rsidR="006B6D54">
              <w:t xml:space="preserve"> and to improve consistency</w:t>
            </w:r>
            <w:r w:rsidR="006D0012">
              <w:t xml:space="preserve"> of application across the school.</w:t>
            </w:r>
          </w:p>
          <w:p w14:paraId="52898909" w14:textId="77777777" w:rsidR="00877745" w:rsidRDefault="00877745" w:rsidP="00F24CC5">
            <w:pPr>
              <w:pStyle w:val="ListBullet2"/>
              <w:numPr>
                <w:ilvl w:val="0"/>
                <w:numId w:val="26"/>
              </w:numPr>
            </w:pPr>
            <w:r>
              <w:t>Scope the learning within and across cohorts to improve progression</w:t>
            </w:r>
          </w:p>
          <w:p w14:paraId="2F3F7CDA" w14:textId="77777777" w:rsidR="006B6D54" w:rsidRDefault="001C450B" w:rsidP="00F24CC5">
            <w:pPr>
              <w:pStyle w:val="ListBullet2"/>
              <w:numPr>
                <w:ilvl w:val="0"/>
                <w:numId w:val="26"/>
              </w:numPr>
            </w:pPr>
            <w:r>
              <w:t xml:space="preserve">Sharpen the maths planning documents to include key </w:t>
            </w:r>
            <w:r w:rsidR="00FB3EDE">
              <w:t>maths vocabulary</w:t>
            </w:r>
          </w:p>
          <w:p w14:paraId="4A135D1E" w14:textId="119FE9A0" w:rsidR="00FB3EDE" w:rsidRDefault="00FB3EDE" w:rsidP="00F24CC5">
            <w:pPr>
              <w:pStyle w:val="ListBullet2"/>
              <w:numPr>
                <w:ilvl w:val="0"/>
                <w:numId w:val="26"/>
              </w:numPr>
            </w:pPr>
            <w:r>
              <w:t xml:space="preserve">Sharpen our use of Disciplined Dialogue </w:t>
            </w:r>
            <w:r w:rsidR="008711C2">
              <w:t>Discussions in team PLTS</w:t>
            </w:r>
          </w:p>
        </w:tc>
      </w:tr>
    </w:tbl>
    <w:p w14:paraId="5D48EB79" w14:textId="77777777" w:rsidR="00883C49" w:rsidRDefault="00883C49" w:rsidP="00883C49">
      <w:pPr>
        <w:pStyle w:val="BodyText"/>
      </w:pPr>
    </w:p>
    <w:p w14:paraId="517E7ACA" w14:textId="77777777" w:rsidR="00883C49" w:rsidRDefault="00883C49" w:rsidP="00883C49">
      <w:pPr>
        <w:rPr>
          <w:b/>
        </w:rPr>
      </w:pPr>
      <w:r>
        <w:rPr>
          <w:b/>
        </w:rPr>
        <w:br w:type="page"/>
      </w:r>
    </w:p>
    <w:p w14:paraId="6CAE8EAE" w14:textId="3D4CBBCF" w:rsidR="00883C49" w:rsidRDefault="001329AB" w:rsidP="00883C49">
      <w:pPr>
        <w:rPr>
          <w:rFonts w:ascii="Calibri" w:hAnsi="Calibri" w:cs="Calibri"/>
          <w:b/>
          <w:bCs/>
          <w:color w:val="000000"/>
          <w:sz w:val="28"/>
          <w:szCs w:val="28"/>
        </w:rPr>
      </w:pPr>
      <w:r>
        <w:rPr>
          <w:rFonts w:ascii="Arial" w:hAnsi="Arial" w:cs="Arial"/>
          <w:color w:val="1F4E79"/>
        </w:rPr>
        <w:lastRenderedPageBreak/>
        <w:t>Priority 2:</w:t>
      </w:r>
      <w:r>
        <w:rPr>
          <w:rStyle w:val="apple-tab-span"/>
          <w:color w:val="000000"/>
        </w:rPr>
        <w:tab/>
      </w:r>
      <w:r w:rsidRPr="00DA2368">
        <w:rPr>
          <w:rFonts w:ascii="Calibri" w:hAnsi="Calibri" w:cs="Calibri"/>
          <w:b/>
          <w:bCs/>
          <w:color w:val="000000"/>
          <w:sz w:val="28"/>
          <w:szCs w:val="28"/>
        </w:rPr>
        <w:t>Improve student performance in writing across all year levels</w:t>
      </w:r>
    </w:p>
    <w:p w14:paraId="43CDD741" w14:textId="05B25833" w:rsidR="003F052F" w:rsidRPr="00DA2368" w:rsidRDefault="003F052F" w:rsidP="00DA2368">
      <w:r>
        <w:rPr>
          <w:rFonts w:ascii="Calibri" w:hAnsi="Calibri" w:cs="Calibri"/>
          <w:b/>
          <w:bCs/>
          <w:color w:val="000000"/>
          <w:sz w:val="28"/>
          <w:szCs w:val="28"/>
        </w:rPr>
        <w:t>Targets or measures</w:t>
      </w:r>
    </w:p>
    <w:p w14:paraId="0ED94083" w14:textId="4E363B26" w:rsidR="000031B5" w:rsidRDefault="00481BD2" w:rsidP="0058339C">
      <w:pPr>
        <w:pStyle w:val="BodyText"/>
      </w:pPr>
      <w:r>
        <w:t>By the end of 20</w:t>
      </w:r>
      <w:r w:rsidR="00CD51E9">
        <w:t>2</w:t>
      </w:r>
      <w:r w:rsidR="003A1A2A">
        <w:t>2</w:t>
      </w:r>
      <w:r w:rsidR="000031B5">
        <w:t xml:space="preserve"> we will achieve:</w:t>
      </w:r>
    </w:p>
    <w:p w14:paraId="7A8ECB07" w14:textId="184B8DF3" w:rsidR="00AB4C2F" w:rsidRDefault="00CD51E9" w:rsidP="00E74F14">
      <w:pPr>
        <w:pStyle w:val="ListBullet"/>
        <w:numPr>
          <w:ilvl w:val="0"/>
          <w:numId w:val="9"/>
        </w:numPr>
        <w:spacing w:line="240" w:lineRule="auto"/>
      </w:pPr>
      <w:r w:rsidRPr="00CD51E9">
        <w:t>Ensure an average of 60% of students achieve at or above expected growth in writing</w:t>
      </w:r>
      <w:r w:rsidR="00812706">
        <w:t>.</w:t>
      </w:r>
      <w:r w:rsidRPr="00CD51E9">
        <w:t xml:space="preserve"> </w:t>
      </w:r>
    </w:p>
    <w:p w14:paraId="1C705985" w14:textId="2591597D" w:rsidR="00AB4C2F" w:rsidRDefault="00CD51E9" w:rsidP="00E74F14">
      <w:pPr>
        <w:pStyle w:val="ListBullet"/>
        <w:numPr>
          <w:ilvl w:val="0"/>
          <w:numId w:val="9"/>
        </w:numPr>
        <w:spacing w:line="240" w:lineRule="auto"/>
      </w:pPr>
      <w:r w:rsidRPr="00CD51E9">
        <w:t>Ensure an average of 15% of students are in the top two bands for writing</w:t>
      </w:r>
      <w:r w:rsidR="00812706">
        <w:t>.</w:t>
      </w:r>
    </w:p>
    <w:p w14:paraId="58C2B72B" w14:textId="60FBAFCC" w:rsidR="00A33C93" w:rsidRDefault="00A33C93" w:rsidP="00E74F14">
      <w:pPr>
        <w:pStyle w:val="BodyText"/>
        <w:numPr>
          <w:ilvl w:val="0"/>
          <w:numId w:val="9"/>
        </w:numPr>
      </w:pPr>
      <w:r w:rsidRPr="00A33C93">
        <w:t xml:space="preserve">Achieve student gain equal to or better than students with the same starting score </w:t>
      </w:r>
      <w:proofErr w:type="gramStart"/>
      <w:r w:rsidRPr="00A33C93">
        <w:t>and also</w:t>
      </w:r>
      <w:proofErr w:type="gramEnd"/>
      <w:r w:rsidRPr="00A33C93">
        <w:t xml:space="preserve"> achieve student gain equal to or greater than similar schools in Writing.  </w:t>
      </w:r>
    </w:p>
    <w:p w14:paraId="32941D98" w14:textId="5422E710" w:rsidR="00A33C93" w:rsidRDefault="00A33C93" w:rsidP="00E74F14">
      <w:pPr>
        <w:pStyle w:val="BodyText"/>
        <w:numPr>
          <w:ilvl w:val="0"/>
          <w:numId w:val="9"/>
        </w:numPr>
      </w:pPr>
      <w:r w:rsidRPr="00A33C93">
        <w:t>At least 90% of staff and parents believe that students’ learning needs are being met at this school</w:t>
      </w:r>
      <w:r w:rsidR="00812706">
        <w:t>.</w:t>
      </w:r>
    </w:p>
    <w:p w14:paraId="211FF18F" w14:textId="1187F9F9" w:rsidR="00894BEE" w:rsidRDefault="00894BEE" w:rsidP="00E74F14">
      <w:pPr>
        <w:pStyle w:val="BodyText"/>
        <w:numPr>
          <w:ilvl w:val="0"/>
          <w:numId w:val="9"/>
        </w:numPr>
      </w:pPr>
      <w:r w:rsidRPr="00894BEE">
        <w:t xml:space="preserve">All teachers in the early years will be using the </w:t>
      </w:r>
      <w:r w:rsidR="00812706">
        <w:t>Ten Essential Instructional Practices in Literacy P-6.</w:t>
      </w:r>
    </w:p>
    <w:p w14:paraId="1319DBFF" w14:textId="288D7EC7" w:rsidR="004D5E45" w:rsidRPr="00373DC0" w:rsidRDefault="004D5E45" w:rsidP="00837137">
      <w:pPr>
        <w:pStyle w:val="BodyText"/>
      </w:pPr>
      <w:r w:rsidRPr="00373DC0">
        <w:t>In 20</w:t>
      </w:r>
      <w:r w:rsidR="00407115">
        <w:t>2</w:t>
      </w:r>
      <w:r w:rsidR="008711C2">
        <w:t>1</w:t>
      </w:r>
      <w:r w:rsidR="00BB3166">
        <w:t>,</w:t>
      </w:r>
      <w:r w:rsidRPr="00373DC0">
        <w:t xml:space="preserve"> we </w:t>
      </w:r>
      <w:r w:rsidR="00997CD0">
        <w:t>implemented</w:t>
      </w:r>
      <w:r w:rsidRPr="00373DC0">
        <w:t xml:space="preserve"> this priority throug</w:t>
      </w:r>
      <w:r w:rsidR="00997CD0">
        <w:t xml:space="preserve">h the following </w:t>
      </w:r>
      <w:r w:rsidRPr="00373DC0">
        <w:t>strategies.</w:t>
      </w:r>
    </w:p>
    <w:p w14:paraId="658E4D0C" w14:textId="4B3F7D8E" w:rsidR="00407115" w:rsidRDefault="00407115" w:rsidP="00E74F14">
      <w:pPr>
        <w:pStyle w:val="ListBullet"/>
        <w:numPr>
          <w:ilvl w:val="0"/>
          <w:numId w:val="10"/>
        </w:numPr>
      </w:pPr>
      <w:r>
        <w:t xml:space="preserve">Strengthen coaching and mentoring for teachers in planning, </w:t>
      </w:r>
      <w:proofErr w:type="gramStart"/>
      <w:r>
        <w:t>pedagogy</w:t>
      </w:r>
      <w:proofErr w:type="gramEnd"/>
      <w:r>
        <w:t xml:space="preserve"> and assessment for writing.</w:t>
      </w:r>
    </w:p>
    <w:p w14:paraId="5DC08B3F" w14:textId="3FFC49E8" w:rsidR="003A1A2A" w:rsidRDefault="003A1A2A" w:rsidP="00E74F14">
      <w:pPr>
        <w:pStyle w:val="ListBullet"/>
        <w:numPr>
          <w:ilvl w:val="0"/>
          <w:numId w:val="10"/>
        </w:numPr>
      </w:pPr>
      <w:r>
        <w:t>Reviewed and provided professional learning in the Writing workshop/ Literacy workshop.</w:t>
      </w:r>
    </w:p>
    <w:p w14:paraId="0C4B9929" w14:textId="09A8C016" w:rsidR="003A1A2A" w:rsidRDefault="00407115" w:rsidP="00E74F14">
      <w:pPr>
        <w:pStyle w:val="ListBullet"/>
        <w:numPr>
          <w:ilvl w:val="0"/>
          <w:numId w:val="10"/>
        </w:numPr>
      </w:pPr>
      <w:r>
        <w:t xml:space="preserve">Continue to embed the </w:t>
      </w:r>
      <w:r w:rsidR="00812706">
        <w:t>Ten Essential Instructional Practices in Literacy P-6</w:t>
      </w:r>
      <w:r>
        <w:t>.</w:t>
      </w:r>
    </w:p>
    <w:p w14:paraId="42610796" w14:textId="169F777F" w:rsidR="00CD51E9" w:rsidRDefault="00CD51E9" w:rsidP="00E74F14">
      <w:pPr>
        <w:pStyle w:val="ListBullet"/>
        <w:numPr>
          <w:ilvl w:val="0"/>
          <w:numId w:val="10"/>
        </w:numPr>
      </w:pPr>
      <w:r>
        <w:t xml:space="preserve"> </w:t>
      </w:r>
      <w:r w:rsidR="00F60837">
        <w:t>Reviewed our CDS ‘teaching English beliefs and practices’</w:t>
      </w:r>
      <w:r w:rsidR="007C7B5A">
        <w:t>.</w:t>
      </w:r>
    </w:p>
    <w:p w14:paraId="7EB80F2F" w14:textId="6073E6B9" w:rsidR="007C7B5A" w:rsidRDefault="007C7B5A" w:rsidP="00E74F14">
      <w:pPr>
        <w:pStyle w:val="ListBullet"/>
        <w:numPr>
          <w:ilvl w:val="0"/>
          <w:numId w:val="10"/>
        </w:numPr>
      </w:pPr>
      <w:r>
        <w:t xml:space="preserve">Teachers experimented with writing </w:t>
      </w:r>
      <w:r w:rsidR="00DC3DA7">
        <w:t>individual writing and reading goals.</w:t>
      </w:r>
    </w:p>
    <w:p w14:paraId="7DFF073D" w14:textId="6ADC3059"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10193" w:type="dxa"/>
        <w:jc w:val="center"/>
        <w:tblLayout w:type="fixed"/>
        <w:tblCellMar>
          <w:top w:w="57" w:type="dxa"/>
          <w:left w:w="57" w:type="dxa"/>
          <w:bottom w:w="57" w:type="dxa"/>
          <w:right w:w="57" w:type="dxa"/>
        </w:tblCellMar>
        <w:tblLook w:val="04A0" w:firstRow="1" w:lastRow="0" w:firstColumn="1" w:lastColumn="0" w:noHBand="0" w:noVBand="1"/>
      </w:tblPr>
      <w:tblGrid>
        <w:gridCol w:w="3828"/>
        <w:gridCol w:w="1029"/>
        <w:gridCol w:w="1413"/>
        <w:gridCol w:w="1412"/>
        <w:gridCol w:w="785"/>
        <w:gridCol w:w="785"/>
        <w:gridCol w:w="941"/>
      </w:tblGrid>
      <w:tr w:rsidR="00812706" w14:paraId="11CF2626" w14:textId="77777777" w:rsidTr="00DA2368">
        <w:trPr>
          <w:trHeight w:val="536"/>
          <w:jc w:val="center"/>
        </w:trPr>
        <w:tc>
          <w:tcPr>
            <w:tcW w:w="3828" w:type="dxa"/>
            <w:shd w:val="clear" w:color="auto" w:fill="auto"/>
          </w:tcPr>
          <w:p w14:paraId="2744B2CC" w14:textId="77777777" w:rsidR="006D2F6B" w:rsidRPr="00D03B0C" w:rsidRDefault="006D2F6B" w:rsidP="00D03B0C">
            <w:pPr>
              <w:rPr>
                <w:b/>
              </w:rPr>
            </w:pPr>
            <w:r w:rsidRPr="00D03B0C">
              <w:rPr>
                <w:b/>
              </w:rPr>
              <w:t>Targets or Measures</w:t>
            </w:r>
          </w:p>
        </w:tc>
        <w:tc>
          <w:tcPr>
            <w:tcW w:w="1029" w:type="dxa"/>
            <w:shd w:val="clear" w:color="auto" w:fill="auto"/>
          </w:tcPr>
          <w:p w14:paraId="43B8DE87" w14:textId="77777777" w:rsidR="00812706" w:rsidRDefault="00812706" w:rsidP="00D56F59">
            <w:pPr>
              <w:jc w:val="center"/>
              <w:rPr>
                <w:b/>
              </w:rPr>
            </w:pPr>
          </w:p>
          <w:p w14:paraId="118BFB5A" w14:textId="03969AAF" w:rsidR="006D2F6B" w:rsidRPr="00D03B0C" w:rsidRDefault="006D2F6B" w:rsidP="00D56F59">
            <w:pPr>
              <w:jc w:val="center"/>
              <w:rPr>
                <w:b/>
              </w:rPr>
            </w:pPr>
            <w:r w:rsidRPr="00D03B0C">
              <w:rPr>
                <w:b/>
              </w:rPr>
              <w:t>Base</w:t>
            </w:r>
          </w:p>
        </w:tc>
        <w:tc>
          <w:tcPr>
            <w:tcW w:w="1413" w:type="dxa"/>
            <w:shd w:val="clear" w:color="auto" w:fill="auto"/>
          </w:tcPr>
          <w:p w14:paraId="0A646F15" w14:textId="29DDD19A" w:rsidR="00812706" w:rsidRDefault="00812706" w:rsidP="00D56F59">
            <w:pPr>
              <w:jc w:val="center"/>
              <w:rPr>
                <w:b/>
              </w:rPr>
            </w:pPr>
            <w:r>
              <w:rPr>
                <w:b/>
              </w:rPr>
              <w:t>20</w:t>
            </w:r>
            <w:r w:rsidR="00B25831">
              <w:rPr>
                <w:b/>
              </w:rPr>
              <w:t>21</w:t>
            </w:r>
          </w:p>
          <w:p w14:paraId="42366ADC" w14:textId="62AFB94B" w:rsidR="006D2F6B" w:rsidRPr="00D03B0C" w:rsidRDefault="006D2F6B" w:rsidP="00D56F59">
            <w:pPr>
              <w:jc w:val="center"/>
              <w:rPr>
                <w:b/>
              </w:rPr>
            </w:pPr>
            <w:r w:rsidRPr="00D03B0C">
              <w:rPr>
                <w:b/>
              </w:rPr>
              <w:t>Year 1</w:t>
            </w:r>
          </w:p>
        </w:tc>
        <w:tc>
          <w:tcPr>
            <w:tcW w:w="1412" w:type="dxa"/>
            <w:shd w:val="clear" w:color="auto" w:fill="auto"/>
          </w:tcPr>
          <w:p w14:paraId="0D5001B1" w14:textId="3DBED0F8" w:rsidR="00812706" w:rsidRDefault="00812706" w:rsidP="00D56F59">
            <w:pPr>
              <w:jc w:val="center"/>
              <w:rPr>
                <w:b/>
              </w:rPr>
            </w:pPr>
            <w:r>
              <w:rPr>
                <w:b/>
              </w:rPr>
              <w:t>20</w:t>
            </w:r>
            <w:r w:rsidR="00B25831">
              <w:rPr>
                <w:b/>
              </w:rPr>
              <w:t>22</w:t>
            </w:r>
          </w:p>
          <w:p w14:paraId="3CAE587B" w14:textId="300D67B3" w:rsidR="006D2F6B" w:rsidRPr="00D03B0C" w:rsidRDefault="006D2F6B" w:rsidP="00D56F59">
            <w:pPr>
              <w:jc w:val="center"/>
              <w:rPr>
                <w:b/>
              </w:rPr>
            </w:pPr>
            <w:r w:rsidRPr="00D03B0C">
              <w:rPr>
                <w:b/>
              </w:rPr>
              <w:t>Year 2</w:t>
            </w:r>
          </w:p>
        </w:tc>
        <w:tc>
          <w:tcPr>
            <w:tcW w:w="785" w:type="dxa"/>
            <w:shd w:val="clear" w:color="auto" w:fill="auto"/>
          </w:tcPr>
          <w:p w14:paraId="702EE89C" w14:textId="5C6393A2" w:rsidR="00812706" w:rsidRDefault="00812706" w:rsidP="00D56F59">
            <w:pPr>
              <w:jc w:val="center"/>
              <w:rPr>
                <w:b/>
              </w:rPr>
            </w:pPr>
            <w:r>
              <w:rPr>
                <w:b/>
              </w:rPr>
              <w:t>202</w:t>
            </w:r>
            <w:r w:rsidR="00B25831">
              <w:rPr>
                <w:b/>
              </w:rPr>
              <w:t>3</w:t>
            </w:r>
          </w:p>
          <w:p w14:paraId="0785495E" w14:textId="6FA38B96" w:rsidR="006D2F6B" w:rsidRPr="00D03B0C" w:rsidRDefault="006D2F6B" w:rsidP="00D56F59">
            <w:pPr>
              <w:jc w:val="center"/>
              <w:rPr>
                <w:b/>
              </w:rPr>
            </w:pPr>
            <w:r w:rsidRPr="00D03B0C">
              <w:rPr>
                <w:b/>
              </w:rPr>
              <w:t>Year 3</w:t>
            </w:r>
          </w:p>
        </w:tc>
        <w:tc>
          <w:tcPr>
            <w:tcW w:w="785" w:type="dxa"/>
            <w:shd w:val="clear" w:color="auto" w:fill="auto"/>
          </w:tcPr>
          <w:p w14:paraId="01FB5C0F" w14:textId="77777777" w:rsidR="00965FFE" w:rsidRDefault="00965FFE" w:rsidP="00D56F59">
            <w:pPr>
              <w:jc w:val="center"/>
              <w:rPr>
                <w:b/>
              </w:rPr>
            </w:pPr>
            <w:r>
              <w:rPr>
                <w:b/>
              </w:rPr>
              <w:t>2024</w:t>
            </w:r>
          </w:p>
          <w:p w14:paraId="1F5C5718" w14:textId="6C7C9209" w:rsidR="006D2F6B" w:rsidRPr="00D03B0C" w:rsidRDefault="006D2F6B" w:rsidP="00D56F59">
            <w:pPr>
              <w:jc w:val="center"/>
              <w:rPr>
                <w:b/>
              </w:rPr>
            </w:pPr>
            <w:r w:rsidRPr="00D03B0C">
              <w:rPr>
                <w:b/>
              </w:rPr>
              <w:t>Year 4</w:t>
            </w:r>
          </w:p>
        </w:tc>
        <w:tc>
          <w:tcPr>
            <w:tcW w:w="941" w:type="dxa"/>
            <w:shd w:val="clear" w:color="auto" w:fill="auto"/>
          </w:tcPr>
          <w:p w14:paraId="138CEE06" w14:textId="77777777" w:rsidR="00965FFE" w:rsidRDefault="00965FFE" w:rsidP="00D56F59">
            <w:pPr>
              <w:jc w:val="center"/>
              <w:rPr>
                <w:b/>
              </w:rPr>
            </w:pPr>
            <w:r>
              <w:rPr>
                <w:b/>
              </w:rPr>
              <w:t>2025</w:t>
            </w:r>
          </w:p>
          <w:p w14:paraId="3485F32F" w14:textId="644704B8" w:rsidR="006D2F6B" w:rsidRPr="00D03B0C" w:rsidRDefault="006D2F6B" w:rsidP="00D56F59">
            <w:pPr>
              <w:jc w:val="center"/>
              <w:rPr>
                <w:b/>
              </w:rPr>
            </w:pPr>
            <w:r w:rsidRPr="00D03B0C">
              <w:rPr>
                <w:b/>
              </w:rPr>
              <w:t>Year 5</w:t>
            </w:r>
          </w:p>
        </w:tc>
      </w:tr>
      <w:tr w:rsidR="00812706" w14:paraId="3B6F6B79" w14:textId="77777777" w:rsidTr="00DA2368">
        <w:trPr>
          <w:trHeight w:val="820"/>
          <w:jc w:val="center"/>
        </w:trPr>
        <w:tc>
          <w:tcPr>
            <w:tcW w:w="3828" w:type="dxa"/>
            <w:shd w:val="clear" w:color="auto" w:fill="auto"/>
          </w:tcPr>
          <w:p w14:paraId="52F72BA3" w14:textId="35727EF7" w:rsidR="006D2F6B" w:rsidRPr="00D03B0C" w:rsidRDefault="00A322ED" w:rsidP="00D03B0C">
            <w:pPr>
              <w:pStyle w:val="PlainText"/>
            </w:pPr>
            <w:r>
              <w:rPr>
                <w:rFonts w:cs="Calibri"/>
                <w:color w:val="000000"/>
                <w:szCs w:val="22"/>
              </w:rPr>
              <w:t>To increase the percentage of year 5 students in the top two bands of writing to 18% or more</w:t>
            </w:r>
          </w:p>
        </w:tc>
        <w:tc>
          <w:tcPr>
            <w:tcW w:w="1029" w:type="dxa"/>
            <w:shd w:val="clear" w:color="auto" w:fill="auto"/>
          </w:tcPr>
          <w:p w14:paraId="6F51F004" w14:textId="047D9689" w:rsidR="006D2F6B" w:rsidRPr="00D03B0C" w:rsidRDefault="00122D2D" w:rsidP="00D03B0C">
            <w:r>
              <w:rPr>
                <w:rFonts w:ascii="Calibri" w:hAnsi="Calibri" w:cs="Calibri"/>
                <w:color w:val="000000"/>
              </w:rPr>
              <w:t> 9%</w:t>
            </w:r>
          </w:p>
        </w:tc>
        <w:tc>
          <w:tcPr>
            <w:tcW w:w="1413" w:type="dxa"/>
            <w:shd w:val="clear" w:color="auto" w:fill="auto"/>
          </w:tcPr>
          <w:p w14:paraId="3571C78F" w14:textId="6104C036" w:rsidR="006D2F6B" w:rsidRPr="00D03B0C" w:rsidRDefault="00122D2D" w:rsidP="00D03B0C">
            <w:proofErr w:type="spellStart"/>
            <w:r>
              <w:t>Yr</w:t>
            </w:r>
            <w:proofErr w:type="spellEnd"/>
            <w:r>
              <w:t xml:space="preserve"> 5-</w:t>
            </w:r>
          </w:p>
        </w:tc>
        <w:tc>
          <w:tcPr>
            <w:tcW w:w="1412" w:type="dxa"/>
            <w:shd w:val="clear" w:color="auto" w:fill="auto"/>
          </w:tcPr>
          <w:p w14:paraId="69018766" w14:textId="0E4ECB89" w:rsidR="006D2F6B" w:rsidRPr="00D03B0C" w:rsidRDefault="006D2F6B" w:rsidP="00D03B0C"/>
        </w:tc>
        <w:tc>
          <w:tcPr>
            <w:tcW w:w="785" w:type="dxa"/>
            <w:shd w:val="clear" w:color="auto" w:fill="auto"/>
          </w:tcPr>
          <w:p w14:paraId="7AB434B5" w14:textId="7FE2FA2B" w:rsidR="006D2F6B" w:rsidRPr="00D03B0C" w:rsidRDefault="006D2F6B" w:rsidP="00D03B0C"/>
        </w:tc>
        <w:tc>
          <w:tcPr>
            <w:tcW w:w="785" w:type="dxa"/>
            <w:shd w:val="clear" w:color="auto" w:fill="auto"/>
          </w:tcPr>
          <w:p w14:paraId="6E571018" w14:textId="77777777" w:rsidR="006D2F6B" w:rsidRPr="00D03B0C" w:rsidRDefault="006D2F6B" w:rsidP="00D03B0C"/>
        </w:tc>
        <w:tc>
          <w:tcPr>
            <w:tcW w:w="941" w:type="dxa"/>
            <w:shd w:val="clear" w:color="auto" w:fill="auto"/>
          </w:tcPr>
          <w:p w14:paraId="1D114ACD" w14:textId="77777777" w:rsidR="006D2F6B" w:rsidRPr="00D03B0C" w:rsidRDefault="006D2F6B" w:rsidP="00D03B0C"/>
        </w:tc>
      </w:tr>
      <w:tr w:rsidR="00812706" w14:paraId="3E447EBE" w14:textId="77777777" w:rsidTr="00DA2368">
        <w:trPr>
          <w:trHeight w:val="938"/>
          <w:jc w:val="center"/>
        </w:trPr>
        <w:tc>
          <w:tcPr>
            <w:tcW w:w="3828" w:type="dxa"/>
            <w:shd w:val="clear" w:color="auto" w:fill="auto"/>
          </w:tcPr>
          <w:p w14:paraId="3C7AC1FF" w14:textId="53862186" w:rsidR="006D2F6B" w:rsidRPr="00D03B0C" w:rsidRDefault="00122D2D" w:rsidP="005A4792">
            <w:pPr>
              <w:pStyle w:val="BodyText"/>
            </w:pPr>
            <w:r>
              <w:rPr>
                <w:rFonts w:ascii="Calibri" w:hAnsi="Calibri" w:cs="Calibri"/>
                <w:color w:val="000000"/>
              </w:rPr>
              <w:t>To increase the percentage of year 3 students in the top two bands of writing to 53% or more</w:t>
            </w:r>
          </w:p>
        </w:tc>
        <w:tc>
          <w:tcPr>
            <w:tcW w:w="1029" w:type="dxa"/>
            <w:shd w:val="clear" w:color="auto" w:fill="auto"/>
          </w:tcPr>
          <w:p w14:paraId="4C712096" w14:textId="5BC0E67F" w:rsidR="006D2F6B" w:rsidRPr="00D03B0C" w:rsidRDefault="00D6774D" w:rsidP="00D03B0C">
            <w:r>
              <w:rPr>
                <w:rFonts w:ascii="Calibri" w:hAnsi="Calibri" w:cs="Calibri"/>
                <w:color w:val="000000"/>
              </w:rPr>
              <w:t> 21%</w:t>
            </w:r>
          </w:p>
        </w:tc>
        <w:tc>
          <w:tcPr>
            <w:tcW w:w="1413" w:type="dxa"/>
            <w:shd w:val="clear" w:color="auto" w:fill="auto"/>
          </w:tcPr>
          <w:p w14:paraId="12DCA160" w14:textId="125787A8" w:rsidR="006D2F6B" w:rsidRDefault="00EC626B" w:rsidP="00D03B0C">
            <w:proofErr w:type="spellStart"/>
            <w:r>
              <w:t>Yr</w:t>
            </w:r>
            <w:proofErr w:type="spellEnd"/>
            <w:r>
              <w:t xml:space="preserve"> 3</w:t>
            </w:r>
            <w:r w:rsidR="007F4543">
              <w:t xml:space="preserve"> – </w:t>
            </w:r>
          </w:p>
          <w:p w14:paraId="2AFC093D" w14:textId="5697BF9D" w:rsidR="007F4543" w:rsidRPr="00D03B0C" w:rsidRDefault="007F4543" w:rsidP="00D03B0C">
            <w:r>
              <w:t xml:space="preserve"> </w:t>
            </w:r>
          </w:p>
        </w:tc>
        <w:tc>
          <w:tcPr>
            <w:tcW w:w="1412" w:type="dxa"/>
            <w:shd w:val="clear" w:color="auto" w:fill="auto"/>
          </w:tcPr>
          <w:p w14:paraId="534B7449" w14:textId="169EBB8F" w:rsidR="006D2F6B" w:rsidRDefault="007F4543" w:rsidP="00D03B0C">
            <w:proofErr w:type="spellStart"/>
            <w:r>
              <w:t>Yr</w:t>
            </w:r>
            <w:proofErr w:type="spellEnd"/>
            <w:r>
              <w:t xml:space="preserve"> 3 – </w:t>
            </w:r>
          </w:p>
          <w:p w14:paraId="21FB2E79" w14:textId="628E2866" w:rsidR="007F4543" w:rsidRPr="00D03B0C" w:rsidRDefault="007F4543" w:rsidP="00D03B0C"/>
        </w:tc>
        <w:tc>
          <w:tcPr>
            <w:tcW w:w="785" w:type="dxa"/>
            <w:shd w:val="clear" w:color="auto" w:fill="auto"/>
          </w:tcPr>
          <w:p w14:paraId="3C328C1C" w14:textId="02B0CDE4" w:rsidR="006D2F6B" w:rsidRPr="00D03B0C" w:rsidRDefault="006D2F6B" w:rsidP="00D03B0C"/>
        </w:tc>
        <w:tc>
          <w:tcPr>
            <w:tcW w:w="785" w:type="dxa"/>
            <w:shd w:val="clear" w:color="auto" w:fill="auto"/>
          </w:tcPr>
          <w:p w14:paraId="7A35D1D4" w14:textId="77777777" w:rsidR="006D2F6B" w:rsidRPr="00D03B0C" w:rsidRDefault="006D2F6B" w:rsidP="00D03B0C"/>
        </w:tc>
        <w:tc>
          <w:tcPr>
            <w:tcW w:w="941" w:type="dxa"/>
            <w:shd w:val="clear" w:color="auto" w:fill="auto"/>
          </w:tcPr>
          <w:p w14:paraId="7DBFB30A" w14:textId="77777777" w:rsidR="006D2F6B" w:rsidRPr="00D03B0C" w:rsidRDefault="006D2F6B" w:rsidP="00D03B0C"/>
        </w:tc>
      </w:tr>
      <w:tr w:rsidR="00812706" w14:paraId="0B378BB7" w14:textId="77777777" w:rsidTr="00DA2368">
        <w:trPr>
          <w:trHeight w:val="1184"/>
          <w:jc w:val="center"/>
        </w:trPr>
        <w:tc>
          <w:tcPr>
            <w:tcW w:w="3828" w:type="dxa"/>
            <w:shd w:val="clear" w:color="auto" w:fill="auto"/>
          </w:tcPr>
          <w:p w14:paraId="066DA723" w14:textId="3A457EFE" w:rsidR="00DC3DA7" w:rsidRDefault="00CE3C71" w:rsidP="006330BF">
            <w:pPr>
              <w:pStyle w:val="BodyText"/>
              <w:rPr>
                <w:rFonts w:ascii="Calibri" w:hAnsi="Calibri" w:cs="Calibri"/>
                <w:color w:val="000000"/>
              </w:rPr>
            </w:pPr>
            <w:r>
              <w:rPr>
                <w:rFonts w:ascii="Calibri" w:hAnsi="Calibri" w:cs="Calibri"/>
                <w:color w:val="000000"/>
              </w:rPr>
              <w:t>To increase the percentage of students achieving high growth in reading in PIPS/BASE to 27% or more</w:t>
            </w:r>
          </w:p>
          <w:p w14:paraId="22B8378D" w14:textId="1037D818" w:rsidR="00DC3DA7" w:rsidRDefault="00DC3DA7" w:rsidP="006330BF">
            <w:pPr>
              <w:pStyle w:val="BodyText"/>
              <w:rPr>
                <w:rFonts w:ascii="Calibri" w:hAnsi="Calibri" w:cs="Calibri"/>
                <w:color w:val="000000"/>
              </w:rPr>
            </w:pPr>
          </w:p>
          <w:p w14:paraId="4969C937" w14:textId="7A591B2B" w:rsidR="00DC3DA7" w:rsidRDefault="00DC3DA7" w:rsidP="006330BF">
            <w:pPr>
              <w:pStyle w:val="BodyText"/>
              <w:rPr>
                <w:rFonts w:ascii="Calibri" w:hAnsi="Calibri" w:cs="Calibri"/>
                <w:color w:val="000000"/>
              </w:rPr>
            </w:pPr>
          </w:p>
          <w:p w14:paraId="477438CE" w14:textId="77777777" w:rsidR="00DC3DA7" w:rsidRDefault="00DC3DA7" w:rsidP="006330BF">
            <w:pPr>
              <w:pStyle w:val="BodyText"/>
            </w:pPr>
          </w:p>
          <w:p w14:paraId="12BE010B" w14:textId="77777777" w:rsidR="006330BF" w:rsidRPr="00CD51E9" w:rsidRDefault="006330BF">
            <w:pPr>
              <w:pStyle w:val="BodyText"/>
            </w:pPr>
          </w:p>
        </w:tc>
        <w:tc>
          <w:tcPr>
            <w:tcW w:w="1029" w:type="dxa"/>
            <w:shd w:val="clear" w:color="auto" w:fill="auto"/>
          </w:tcPr>
          <w:p w14:paraId="1E3AD186" w14:textId="18FF3C02" w:rsidR="006330BF" w:rsidRPr="00B8772C" w:rsidRDefault="00BF6625">
            <w:pPr>
              <w:rPr>
                <w:rFonts w:ascii="Calibri" w:eastAsia="Calibri" w:hAnsi="Calibri" w:cs="Calibri"/>
                <w:lang w:eastAsia="en-AU" w:bidi="en-AU"/>
              </w:rPr>
            </w:pPr>
            <w:r>
              <w:rPr>
                <w:rFonts w:ascii="Calibri" w:hAnsi="Calibri" w:cs="Calibri"/>
                <w:color w:val="000000"/>
              </w:rPr>
              <w:t>17%</w:t>
            </w:r>
          </w:p>
        </w:tc>
        <w:tc>
          <w:tcPr>
            <w:tcW w:w="1413" w:type="dxa"/>
            <w:shd w:val="clear" w:color="auto" w:fill="auto"/>
          </w:tcPr>
          <w:p w14:paraId="5184C2F1" w14:textId="14DE233E" w:rsidR="006330BF" w:rsidRPr="00D03B0C" w:rsidRDefault="00271474" w:rsidP="00DA2368">
            <w:pPr>
              <w:pStyle w:val="ListParagraph"/>
              <w:numPr>
                <w:ilvl w:val="0"/>
                <w:numId w:val="3"/>
              </w:numPr>
              <w:ind w:left="230" w:hanging="230"/>
            </w:pPr>
            <w:r>
              <w:rPr>
                <w:sz w:val="18"/>
                <w:szCs w:val="18"/>
              </w:rPr>
              <w:t>TBA</w:t>
            </w:r>
          </w:p>
        </w:tc>
        <w:tc>
          <w:tcPr>
            <w:tcW w:w="1412" w:type="dxa"/>
            <w:shd w:val="clear" w:color="auto" w:fill="auto"/>
          </w:tcPr>
          <w:p w14:paraId="6D377968" w14:textId="77777777" w:rsidR="006330BF" w:rsidRPr="00D03B0C" w:rsidRDefault="006330BF" w:rsidP="00DA2368">
            <w:pPr>
              <w:pStyle w:val="PlainText"/>
              <w:numPr>
                <w:ilvl w:val="0"/>
                <w:numId w:val="3"/>
              </w:numPr>
              <w:ind w:left="227" w:hanging="227"/>
            </w:pPr>
          </w:p>
        </w:tc>
        <w:tc>
          <w:tcPr>
            <w:tcW w:w="785" w:type="dxa"/>
            <w:shd w:val="clear" w:color="auto" w:fill="auto"/>
          </w:tcPr>
          <w:p w14:paraId="04396D2B" w14:textId="63A4BEFA" w:rsidR="006330BF" w:rsidRPr="00D03B0C" w:rsidRDefault="006330BF" w:rsidP="00D03B0C"/>
        </w:tc>
        <w:tc>
          <w:tcPr>
            <w:tcW w:w="785" w:type="dxa"/>
            <w:shd w:val="clear" w:color="auto" w:fill="auto"/>
          </w:tcPr>
          <w:p w14:paraId="2A1DAAC4" w14:textId="77777777" w:rsidR="006330BF" w:rsidRPr="00D03B0C" w:rsidRDefault="006330BF" w:rsidP="00D03B0C"/>
        </w:tc>
        <w:tc>
          <w:tcPr>
            <w:tcW w:w="941" w:type="dxa"/>
            <w:shd w:val="clear" w:color="auto" w:fill="auto"/>
          </w:tcPr>
          <w:p w14:paraId="4F2CF81F" w14:textId="77777777" w:rsidR="006330BF" w:rsidRPr="00D03B0C" w:rsidRDefault="006330BF" w:rsidP="00D03B0C"/>
        </w:tc>
      </w:tr>
    </w:tbl>
    <w:p w14:paraId="64BF1F74" w14:textId="77777777" w:rsidR="008A01DA" w:rsidRPr="008A01DA" w:rsidRDefault="008A01DA" w:rsidP="00C0648C">
      <w:pPr>
        <w:pStyle w:val="Heading4"/>
      </w:pPr>
      <w:r>
        <w:lastRenderedPageBreak/>
        <w:t>Perception Data</w:t>
      </w:r>
    </w:p>
    <w:tbl>
      <w:tblPr>
        <w:tblStyle w:val="TableGrid"/>
        <w:tblW w:w="10022" w:type="dxa"/>
        <w:jc w:val="center"/>
        <w:tblCellMar>
          <w:top w:w="57" w:type="dxa"/>
          <w:left w:w="57" w:type="dxa"/>
          <w:bottom w:w="57" w:type="dxa"/>
          <w:right w:w="57" w:type="dxa"/>
        </w:tblCellMar>
        <w:tblLook w:val="04A0" w:firstRow="1" w:lastRow="0" w:firstColumn="1" w:lastColumn="0" w:noHBand="0" w:noVBand="1"/>
      </w:tblPr>
      <w:tblGrid>
        <w:gridCol w:w="4694"/>
        <w:gridCol w:w="964"/>
        <w:gridCol w:w="876"/>
        <w:gridCol w:w="876"/>
        <w:gridCol w:w="871"/>
        <w:gridCol w:w="870"/>
        <w:gridCol w:w="871"/>
      </w:tblGrid>
      <w:tr w:rsidR="003946A3" w14:paraId="4EF7DD9F" w14:textId="77777777" w:rsidTr="00812706">
        <w:trPr>
          <w:trHeight w:val="572"/>
          <w:jc w:val="center"/>
        </w:trPr>
        <w:tc>
          <w:tcPr>
            <w:tcW w:w="4752" w:type="dxa"/>
            <w:shd w:val="clear" w:color="auto" w:fill="auto"/>
          </w:tcPr>
          <w:p w14:paraId="13269C94" w14:textId="77777777" w:rsidR="00812706" w:rsidRPr="006D2F6B" w:rsidRDefault="00812706" w:rsidP="00812706">
            <w:pPr>
              <w:rPr>
                <w:b/>
              </w:rPr>
            </w:pPr>
            <w:r w:rsidRPr="006D2F6B">
              <w:rPr>
                <w:b/>
              </w:rPr>
              <w:t>Targets or Measures</w:t>
            </w:r>
          </w:p>
        </w:tc>
        <w:tc>
          <w:tcPr>
            <w:tcW w:w="881" w:type="dxa"/>
            <w:shd w:val="clear" w:color="auto" w:fill="auto"/>
          </w:tcPr>
          <w:p w14:paraId="4B51A1C5" w14:textId="77777777" w:rsidR="00812706" w:rsidRPr="006D2F6B" w:rsidRDefault="00812706" w:rsidP="00812706">
            <w:pPr>
              <w:jc w:val="center"/>
              <w:rPr>
                <w:b/>
              </w:rPr>
            </w:pPr>
            <w:r w:rsidRPr="006D2F6B">
              <w:rPr>
                <w:b/>
              </w:rPr>
              <w:t>Base</w:t>
            </w:r>
          </w:p>
        </w:tc>
        <w:tc>
          <w:tcPr>
            <w:tcW w:w="881" w:type="dxa"/>
            <w:shd w:val="clear" w:color="auto" w:fill="auto"/>
          </w:tcPr>
          <w:p w14:paraId="0948C337" w14:textId="423F795A" w:rsidR="00812706" w:rsidRDefault="00812706" w:rsidP="00812706">
            <w:pPr>
              <w:jc w:val="center"/>
              <w:rPr>
                <w:b/>
              </w:rPr>
            </w:pPr>
            <w:r>
              <w:rPr>
                <w:b/>
              </w:rPr>
              <w:t>20</w:t>
            </w:r>
            <w:r w:rsidR="00B25831">
              <w:rPr>
                <w:b/>
              </w:rPr>
              <w:t>21</w:t>
            </w:r>
          </w:p>
          <w:p w14:paraId="15B7F1C3" w14:textId="181F4731" w:rsidR="00812706" w:rsidRPr="006D2F6B" w:rsidRDefault="00812706" w:rsidP="00812706">
            <w:pPr>
              <w:jc w:val="center"/>
              <w:rPr>
                <w:b/>
              </w:rPr>
            </w:pPr>
            <w:r w:rsidRPr="00D03B0C">
              <w:rPr>
                <w:b/>
              </w:rPr>
              <w:t>Year 1</w:t>
            </w:r>
          </w:p>
        </w:tc>
        <w:tc>
          <w:tcPr>
            <w:tcW w:w="881" w:type="dxa"/>
            <w:shd w:val="clear" w:color="auto" w:fill="auto"/>
          </w:tcPr>
          <w:p w14:paraId="1D2B26B1" w14:textId="02FADFF2" w:rsidR="00812706" w:rsidRDefault="00812706" w:rsidP="00812706">
            <w:pPr>
              <w:jc w:val="center"/>
              <w:rPr>
                <w:b/>
              </w:rPr>
            </w:pPr>
            <w:r>
              <w:rPr>
                <w:b/>
              </w:rPr>
              <w:t>20</w:t>
            </w:r>
            <w:r w:rsidR="00B25831">
              <w:rPr>
                <w:b/>
              </w:rPr>
              <w:t>22</w:t>
            </w:r>
          </w:p>
          <w:p w14:paraId="4CC28E98" w14:textId="6D6E02C8" w:rsidR="00812706" w:rsidRPr="006D2F6B" w:rsidRDefault="00812706" w:rsidP="00812706">
            <w:pPr>
              <w:jc w:val="center"/>
              <w:rPr>
                <w:b/>
              </w:rPr>
            </w:pPr>
            <w:r w:rsidRPr="00D03B0C">
              <w:rPr>
                <w:b/>
              </w:rPr>
              <w:t>Year 2</w:t>
            </w:r>
          </w:p>
        </w:tc>
        <w:tc>
          <w:tcPr>
            <w:tcW w:w="876" w:type="dxa"/>
            <w:shd w:val="clear" w:color="auto" w:fill="auto"/>
          </w:tcPr>
          <w:p w14:paraId="565966D9" w14:textId="306D9185" w:rsidR="00812706" w:rsidRDefault="00812706" w:rsidP="00812706">
            <w:pPr>
              <w:jc w:val="center"/>
              <w:rPr>
                <w:b/>
              </w:rPr>
            </w:pPr>
            <w:r>
              <w:rPr>
                <w:b/>
              </w:rPr>
              <w:t>202</w:t>
            </w:r>
            <w:r w:rsidR="00B25831">
              <w:rPr>
                <w:b/>
              </w:rPr>
              <w:t>3</w:t>
            </w:r>
          </w:p>
          <w:p w14:paraId="5EE5455E" w14:textId="76746438" w:rsidR="00812706" w:rsidRPr="006D2F6B" w:rsidRDefault="00812706" w:rsidP="00812706">
            <w:pPr>
              <w:jc w:val="center"/>
              <w:rPr>
                <w:b/>
              </w:rPr>
            </w:pPr>
            <w:r w:rsidRPr="00D03B0C">
              <w:rPr>
                <w:b/>
              </w:rPr>
              <w:t>Year 3</w:t>
            </w:r>
          </w:p>
        </w:tc>
        <w:tc>
          <w:tcPr>
            <w:tcW w:w="875" w:type="dxa"/>
            <w:shd w:val="clear" w:color="auto" w:fill="auto"/>
          </w:tcPr>
          <w:p w14:paraId="7E7D71A9" w14:textId="77777777" w:rsidR="003946A3" w:rsidRDefault="003946A3" w:rsidP="00812706">
            <w:pPr>
              <w:jc w:val="center"/>
              <w:rPr>
                <w:b/>
              </w:rPr>
            </w:pPr>
            <w:r>
              <w:rPr>
                <w:b/>
              </w:rPr>
              <w:t>2024</w:t>
            </w:r>
          </w:p>
          <w:p w14:paraId="1CA3136C" w14:textId="5773547F" w:rsidR="00812706" w:rsidRPr="006D2F6B" w:rsidRDefault="00812706" w:rsidP="00812706">
            <w:pPr>
              <w:jc w:val="center"/>
              <w:rPr>
                <w:b/>
              </w:rPr>
            </w:pPr>
            <w:r w:rsidRPr="006D2F6B">
              <w:rPr>
                <w:b/>
              </w:rPr>
              <w:t>Year 4</w:t>
            </w:r>
          </w:p>
        </w:tc>
        <w:tc>
          <w:tcPr>
            <w:tcW w:w="876" w:type="dxa"/>
            <w:shd w:val="clear" w:color="auto" w:fill="auto"/>
          </w:tcPr>
          <w:p w14:paraId="29B5E47F" w14:textId="77777777" w:rsidR="003946A3" w:rsidRDefault="003946A3" w:rsidP="00812706">
            <w:pPr>
              <w:jc w:val="center"/>
              <w:rPr>
                <w:b/>
              </w:rPr>
            </w:pPr>
            <w:r>
              <w:rPr>
                <w:b/>
              </w:rPr>
              <w:t>2025</w:t>
            </w:r>
          </w:p>
          <w:p w14:paraId="372CDBC5" w14:textId="7D2C5B42" w:rsidR="00812706" w:rsidRPr="006D2F6B" w:rsidRDefault="00812706" w:rsidP="00812706">
            <w:pPr>
              <w:jc w:val="center"/>
              <w:rPr>
                <w:b/>
              </w:rPr>
            </w:pPr>
            <w:r w:rsidRPr="006D2F6B">
              <w:rPr>
                <w:b/>
              </w:rPr>
              <w:t>Year 5</w:t>
            </w:r>
          </w:p>
        </w:tc>
      </w:tr>
      <w:tr w:rsidR="003946A3" w14:paraId="71FE611D" w14:textId="77777777" w:rsidTr="00812706">
        <w:trPr>
          <w:trHeight w:val="1287"/>
          <w:jc w:val="center"/>
        </w:trPr>
        <w:tc>
          <w:tcPr>
            <w:tcW w:w="4752" w:type="dxa"/>
            <w:shd w:val="clear" w:color="auto" w:fill="auto"/>
          </w:tcPr>
          <w:p w14:paraId="15FDFA6D" w14:textId="6C1EBA2E" w:rsidR="006D2F6B" w:rsidRPr="006D2F6B" w:rsidRDefault="003946A3" w:rsidP="00DA2368">
            <w:pPr>
              <w:pStyle w:val="BodyText"/>
            </w:pPr>
            <w:r>
              <w:rPr>
                <w:rFonts w:ascii="Calibri" w:hAnsi="Calibri" w:cs="Calibri"/>
                <w:color w:val="000000"/>
              </w:rPr>
              <w:t>85% or more of our students agree or strongly agree that teachers encourage academic emphasis at the school.</w:t>
            </w:r>
          </w:p>
        </w:tc>
        <w:tc>
          <w:tcPr>
            <w:tcW w:w="881" w:type="dxa"/>
            <w:shd w:val="clear" w:color="auto" w:fill="auto"/>
          </w:tcPr>
          <w:p w14:paraId="4B7CDD05" w14:textId="08D11245" w:rsidR="006D2F6B" w:rsidRPr="006D2F6B" w:rsidRDefault="003946A3" w:rsidP="00D03B0C">
            <w:r>
              <w:t>Students</w:t>
            </w:r>
            <w:r w:rsidR="00D66EEB">
              <w:t>: 79%</w:t>
            </w:r>
          </w:p>
        </w:tc>
        <w:tc>
          <w:tcPr>
            <w:tcW w:w="881" w:type="dxa"/>
            <w:shd w:val="clear" w:color="auto" w:fill="auto"/>
          </w:tcPr>
          <w:p w14:paraId="1037F637" w14:textId="7746A580" w:rsidR="006D2F6B" w:rsidRPr="006D2F6B" w:rsidRDefault="006D2F6B" w:rsidP="00D03B0C"/>
        </w:tc>
        <w:tc>
          <w:tcPr>
            <w:tcW w:w="881" w:type="dxa"/>
            <w:shd w:val="clear" w:color="auto" w:fill="auto"/>
          </w:tcPr>
          <w:p w14:paraId="4DED56F3" w14:textId="7C2BC98F" w:rsidR="006D2F6B" w:rsidRPr="006D2F6B" w:rsidRDefault="006D2F6B" w:rsidP="00D03B0C"/>
        </w:tc>
        <w:tc>
          <w:tcPr>
            <w:tcW w:w="876" w:type="dxa"/>
            <w:shd w:val="clear" w:color="auto" w:fill="auto"/>
          </w:tcPr>
          <w:p w14:paraId="252D803F" w14:textId="28CA9464" w:rsidR="007A7E13" w:rsidRPr="006D2F6B" w:rsidRDefault="007A7E13" w:rsidP="00D03B0C"/>
        </w:tc>
        <w:tc>
          <w:tcPr>
            <w:tcW w:w="875" w:type="dxa"/>
            <w:shd w:val="clear" w:color="auto" w:fill="auto"/>
          </w:tcPr>
          <w:p w14:paraId="5D9DADCD" w14:textId="77777777" w:rsidR="006D2F6B" w:rsidRPr="006D2F6B" w:rsidRDefault="006D2F6B" w:rsidP="00D03B0C"/>
        </w:tc>
        <w:tc>
          <w:tcPr>
            <w:tcW w:w="876" w:type="dxa"/>
            <w:shd w:val="clear" w:color="auto" w:fill="auto"/>
          </w:tcPr>
          <w:p w14:paraId="0521852A"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10057" w:type="dxa"/>
        <w:jc w:val="center"/>
        <w:tblCellMar>
          <w:top w:w="57" w:type="dxa"/>
          <w:left w:w="57" w:type="dxa"/>
          <w:bottom w:w="57" w:type="dxa"/>
          <w:right w:w="57" w:type="dxa"/>
        </w:tblCellMar>
        <w:tblLook w:val="04A0" w:firstRow="1" w:lastRow="0" w:firstColumn="1" w:lastColumn="0" w:noHBand="0" w:noVBand="1"/>
      </w:tblPr>
      <w:tblGrid>
        <w:gridCol w:w="4782"/>
        <w:gridCol w:w="879"/>
        <w:gridCol w:w="879"/>
        <w:gridCol w:w="879"/>
        <w:gridCol w:w="879"/>
        <w:gridCol w:w="879"/>
        <w:gridCol w:w="880"/>
      </w:tblGrid>
      <w:tr w:rsidR="00812706" w14:paraId="5A7D1DBC" w14:textId="77777777" w:rsidTr="00DA2368">
        <w:trPr>
          <w:trHeight w:val="277"/>
          <w:jc w:val="center"/>
        </w:trPr>
        <w:tc>
          <w:tcPr>
            <w:tcW w:w="4782" w:type="dxa"/>
            <w:shd w:val="clear" w:color="auto" w:fill="auto"/>
          </w:tcPr>
          <w:p w14:paraId="7683E7F7" w14:textId="77777777" w:rsidR="00812706" w:rsidRPr="006D2F6B" w:rsidRDefault="00812706" w:rsidP="00812706">
            <w:pPr>
              <w:rPr>
                <w:b/>
              </w:rPr>
            </w:pPr>
            <w:r w:rsidRPr="006D2F6B">
              <w:rPr>
                <w:b/>
              </w:rPr>
              <w:t>Targets or Measures</w:t>
            </w:r>
          </w:p>
        </w:tc>
        <w:tc>
          <w:tcPr>
            <w:tcW w:w="879" w:type="dxa"/>
            <w:shd w:val="clear" w:color="auto" w:fill="auto"/>
          </w:tcPr>
          <w:p w14:paraId="3D66D815" w14:textId="77777777" w:rsidR="00812706" w:rsidRPr="006D2F6B" w:rsidRDefault="00812706" w:rsidP="00812706">
            <w:pPr>
              <w:jc w:val="center"/>
              <w:rPr>
                <w:b/>
              </w:rPr>
            </w:pPr>
            <w:r w:rsidRPr="006D2F6B">
              <w:rPr>
                <w:b/>
              </w:rPr>
              <w:t>Base</w:t>
            </w:r>
          </w:p>
        </w:tc>
        <w:tc>
          <w:tcPr>
            <w:tcW w:w="879" w:type="dxa"/>
            <w:shd w:val="clear" w:color="auto" w:fill="auto"/>
          </w:tcPr>
          <w:p w14:paraId="62269528" w14:textId="7EAB7945" w:rsidR="00812706" w:rsidRDefault="00812706" w:rsidP="00812706">
            <w:pPr>
              <w:jc w:val="center"/>
              <w:rPr>
                <w:b/>
              </w:rPr>
            </w:pPr>
            <w:r>
              <w:rPr>
                <w:b/>
              </w:rPr>
              <w:t>20</w:t>
            </w:r>
            <w:r w:rsidR="00B25831">
              <w:rPr>
                <w:b/>
              </w:rPr>
              <w:t>21</w:t>
            </w:r>
          </w:p>
          <w:p w14:paraId="2D7C7705" w14:textId="13584E12" w:rsidR="00812706" w:rsidRPr="006D2F6B" w:rsidRDefault="00812706" w:rsidP="00812706">
            <w:pPr>
              <w:jc w:val="center"/>
              <w:rPr>
                <w:b/>
              </w:rPr>
            </w:pPr>
            <w:r w:rsidRPr="00D03B0C">
              <w:rPr>
                <w:b/>
              </w:rPr>
              <w:t>Year 1</w:t>
            </w:r>
          </w:p>
        </w:tc>
        <w:tc>
          <w:tcPr>
            <w:tcW w:w="879" w:type="dxa"/>
            <w:shd w:val="clear" w:color="auto" w:fill="auto"/>
          </w:tcPr>
          <w:p w14:paraId="1976AC50" w14:textId="3DB7C1B6" w:rsidR="00812706" w:rsidRDefault="00812706" w:rsidP="00812706">
            <w:pPr>
              <w:jc w:val="center"/>
              <w:rPr>
                <w:b/>
              </w:rPr>
            </w:pPr>
            <w:r>
              <w:rPr>
                <w:b/>
              </w:rPr>
              <w:t>20</w:t>
            </w:r>
            <w:r w:rsidR="00B25831">
              <w:rPr>
                <w:b/>
              </w:rPr>
              <w:t>22</w:t>
            </w:r>
          </w:p>
          <w:p w14:paraId="1AEEC90B" w14:textId="4D8F2D4C" w:rsidR="00812706" w:rsidRPr="006D2F6B" w:rsidRDefault="00812706" w:rsidP="00812706">
            <w:pPr>
              <w:jc w:val="center"/>
              <w:rPr>
                <w:b/>
              </w:rPr>
            </w:pPr>
            <w:r w:rsidRPr="00D03B0C">
              <w:rPr>
                <w:b/>
              </w:rPr>
              <w:t>Year 2</w:t>
            </w:r>
          </w:p>
        </w:tc>
        <w:tc>
          <w:tcPr>
            <w:tcW w:w="879" w:type="dxa"/>
            <w:shd w:val="clear" w:color="auto" w:fill="auto"/>
          </w:tcPr>
          <w:p w14:paraId="131FA874" w14:textId="08C98FB5" w:rsidR="00812706" w:rsidRDefault="00812706" w:rsidP="00812706">
            <w:pPr>
              <w:jc w:val="center"/>
              <w:rPr>
                <w:b/>
              </w:rPr>
            </w:pPr>
            <w:r>
              <w:rPr>
                <w:b/>
              </w:rPr>
              <w:t>202</w:t>
            </w:r>
            <w:r w:rsidR="00B25831">
              <w:rPr>
                <w:b/>
              </w:rPr>
              <w:t>3</w:t>
            </w:r>
          </w:p>
          <w:p w14:paraId="55A376BF" w14:textId="379AD717" w:rsidR="00812706" w:rsidRPr="006D2F6B" w:rsidRDefault="00812706" w:rsidP="00812706">
            <w:pPr>
              <w:jc w:val="center"/>
              <w:rPr>
                <w:b/>
              </w:rPr>
            </w:pPr>
            <w:r w:rsidRPr="00D03B0C">
              <w:rPr>
                <w:b/>
              </w:rPr>
              <w:t>Year 3</w:t>
            </w:r>
          </w:p>
        </w:tc>
        <w:tc>
          <w:tcPr>
            <w:tcW w:w="879" w:type="dxa"/>
            <w:shd w:val="clear" w:color="auto" w:fill="auto"/>
          </w:tcPr>
          <w:p w14:paraId="7B0F6FB9" w14:textId="77777777" w:rsidR="00812706" w:rsidRPr="006D2F6B" w:rsidRDefault="00812706" w:rsidP="00812706">
            <w:pPr>
              <w:jc w:val="center"/>
              <w:rPr>
                <w:b/>
              </w:rPr>
            </w:pPr>
            <w:r w:rsidRPr="006D2F6B">
              <w:rPr>
                <w:b/>
              </w:rPr>
              <w:t>Year 4</w:t>
            </w:r>
          </w:p>
        </w:tc>
        <w:tc>
          <w:tcPr>
            <w:tcW w:w="880" w:type="dxa"/>
            <w:shd w:val="clear" w:color="auto" w:fill="auto"/>
          </w:tcPr>
          <w:p w14:paraId="1A3E1375" w14:textId="77777777" w:rsidR="00812706" w:rsidRPr="006D2F6B" w:rsidRDefault="00812706" w:rsidP="00812706">
            <w:pPr>
              <w:jc w:val="center"/>
              <w:rPr>
                <w:b/>
              </w:rPr>
            </w:pPr>
            <w:r w:rsidRPr="006D2F6B">
              <w:rPr>
                <w:b/>
              </w:rPr>
              <w:t>Year 5</w:t>
            </w:r>
          </w:p>
        </w:tc>
      </w:tr>
      <w:tr w:rsidR="006D2F6B" w14:paraId="511DB66E" w14:textId="77777777" w:rsidTr="00DA2368">
        <w:trPr>
          <w:trHeight w:val="970"/>
          <w:jc w:val="center"/>
        </w:trPr>
        <w:tc>
          <w:tcPr>
            <w:tcW w:w="4782" w:type="dxa"/>
            <w:shd w:val="clear" w:color="auto" w:fill="auto"/>
          </w:tcPr>
          <w:p w14:paraId="70D80F65" w14:textId="3615A0F2" w:rsidR="007309B5" w:rsidRDefault="00D66EEB" w:rsidP="006330BF">
            <w:pPr>
              <w:pStyle w:val="BodyText"/>
            </w:pPr>
            <w:r>
              <w:rPr>
                <w:rFonts w:ascii="Calibri" w:hAnsi="Calibri" w:cs="Calibri"/>
                <w:color w:val="000000"/>
              </w:rPr>
              <w:t>Increase the proportion of students who perceive they are competent and confident as writers.</w:t>
            </w:r>
          </w:p>
          <w:p w14:paraId="0CEA91E9" w14:textId="4E858EBA" w:rsidR="006D2F6B" w:rsidRPr="006D2F6B" w:rsidRDefault="006D2F6B" w:rsidP="00DA2368">
            <w:pPr>
              <w:pStyle w:val="BodyText"/>
            </w:pPr>
          </w:p>
        </w:tc>
        <w:tc>
          <w:tcPr>
            <w:tcW w:w="879" w:type="dxa"/>
            <w:shd w:val="clear" w:color="auto" w:fill="auto"/>
          </w:tcPr>
          <w:p w14:paraId="1DEC5E9B" w14:textId="76CC300A" w:rsidR="006D2F6B" w:rsidRPr="006D2F6B" w:rsidRDefault="004A098E" w:rsidP="00D03B0C">
            <w:r>
              <w:t>NA</w:t>
            </w:r>
          </w:p>
        </w:tc>
        <w:tc>
          <w:tcPr>
            <w:tcW w:w="879" w:type="dxa"/>
            <w:shd w:val="clear" w:color="auto" w:fill="auto"/>
          </w:tcPr>
          <w:p w14:paraId="0FF61450" w14:textId="125BDE74" w:rsidR="006D2F6B" w:rsidRPr="006D2F6B" w:rsidRDefault="006D2F6B" w:rsidP="00D03B0C"/>
        </w:tc>
        <w:tc>
          <w:tcPr>
            <w:tcW w:w="879" w:type="dxa"/>
            <w:shd w:val="clear" w:color="auto" w:fill="auto"/>
          </w:tcPr>
          <w:p w14:paraId="6E75F6C9" w14:textId="6971D47E" w:rsidR="006D2F6B" w:rsidRPr="006D2F6B" w:rsidRDefault="006D2F6B" w:rsidP="00D03B0C"/>
        </w:tc>
        <w:tc>
          <w:tcPr>
            <w:tcW w:w="879" w:type="dxa"/>
            <w:shd w:val="clear" w:color="auto" w:fill="auto"/>
          </w:tcPr>
          <w:p w14:paraId="3E895FED" w14:textId="4EF1C322" w:rsidR="006D2F6B" w:rsidRPr="006D2F6B" w:rsidRDefault="006D2F6B" w:rsidP="00D03B0C"/>
        </w:tc>
        <w:tc>
          <w:tcPr>
            <w:tcW w:w="879" w:type="dxa"/>
            <w:shd w:val="clear" w:color="auto" w:fill="auto"/>
          </w:tcPr>
          <w:p w14:paraId="3731D7F2" w14:textId="77777777" w:rsidR="006D2F6B" w:rsidRPr="006D2F6B" w:rsidRDefault="006D2F6B" w:rsidP="00D03B0C"/>
        </w:tc>
        <w:tc>
          <w:tcPr>
            <w:tcW w:w="880" w:type="dxa"/>
            <w:shd w:val="clear" w:color="auto" w:fill="auto"/>
          </w:tcPr>
          <w:p w14:paraId="0E363862" w14:textId="77777777" w:rsidR="006D2F6B" w:rsidRPr="006D2F6B" w:rsidRDefault="006D2F6B" w:rsidP="00D03B0C"/>
        </w:tc>
      </w:tr>
      <w:tr w:rsidR="007309B5" w14:paraId="343EE107" w14:textId="77777777" w:rsidTr="00812706">
        <w:trPr>
          <w:trHeight w:val="970"/>
          <w:jc w:val="center"/>
        </w:trPr>
        <w:tc>
          <w:tcPr>
            <w:tcW w:w="4782" w:type="dxa"/>
            <w:shd w:val="clear" w:color="auto" w:fill="auto"/>
          </w:tcPr>
          <w:p w14:paraId="0948F114" w14:textId="66071130" w:rsidR="007309B5" w:rsidRDefault="007309B5" w:rsidP="006330BF">
            <w:pPr>
              <w:pStyle w:val="BodyText"/>
              <w:rPr>
                <w:rFonts w:ascii="Calibri" w:hAnsi="Calibri" w:cs="Calibri"/>
                <w:color w:val="000000"/>
              </w:rPr>
            </w:pPr>
            <w:r>
              <w:rPr>
                <w:rFonts w:ascii="Calibri" w:hAnsi="Calibri" w:cs="Calibri"/>
                <w:color w:val="000000"/>
              </w:rPr>
              <w:t>Increase the proportion of students who perceive they know how to improve as writers</w:t>
            </w:r>
          </w:p>
        </w:tc>
        <w:tc>
          <w:tcPr>
            <w:tcW w:w="879" w:type="dxa"/>
            <w:shd w:val="clear" w:color="auto" w:fill="auto"/>
          </w:tcPr>
          <w:p w14:paraId="4E553F5E" w14:textId="0260429A" w:rsidR="007309B5" w:rsidDel="00D66EEB" w:rsidRDefault="004A098E" w:rsidP="00D03B0C">
            <w:r>
              <w:t>NA</w:t>
            </w:r>
          </w:p>
        </w:tc>
        <w:tc>
          <w:tcPr>
            <w:tcW w:w="879" w:type="dxa"/>
            <w:shd w:val="clear" w:color="auto" w:fill="auto"/>
          </w:tcPr>
          <w:p w14:paraId="376CCE58" w14:textId="77777777" w:rsidR="007309B5" w:rsidDel="00D66EEB" w:rsidRDefault="007309B5" w:rsidP="00D03B0C"/>
        </w:tc>
        <w:tc>
          <w:tcPr>
            <w:tcW w:w="879" w:type="dxa"/>
            <w:shd w:val="clear" w:color="auto" w:fill="auto"/>
          </w:tcPr>
          <w:p w14:paraId="6434CD99" w14:textId="77777777" w:rsidR="007309B5" w:rsidDel="00D66EEB" w:rsidRDefault="007309B5" w:rsidP="00D03B0C"/>
        </w:tc>
        <w:tc>
          <w:tcPr>
            <w:tcW w:w="879" w:type="dxa"/>
            <w:shd w:val="clear" w:color="auto" w:fill="auto"/>
          </w:tcPr>
          <w:p w14:paraId="58C0594C" w14:textId="77777777" w:rsidR="007309B5" w:rsidDel="00D66EEB" w:rsidRDefault="007309B5" w:rsidP="00D03B0C"/>
        </w:tc>
        <w:tc>
          <w:tcPr>
            <w:tcW w:w="879" w:type="dxa"/>
            <w:shd w:val="clear" w:color="auto" w:fill="auto"/>
          </w:tcPr>
          <w:p w14:paraId="662E95F8" w14:textId="77777777" w:rsidR="007309B5" w:rsidRPr="006D2F6B" w:rsidRDefault="007309B5" w:rsidP="00D03B0C"/>
        </w:tc>
        <w:tc>
          <w:tcPr>
            <w:tcW w:w="880" w:type="dxa"/>
            <w:shd w:val="clear" w:color="auto" w:fill="auto"/>
          </w:tcPr>
          <w:p w14:paraId="243C315F" w14:textId="77777777" w:rsidR="007309B5" w:rsidRPr="006D2F6B" w:rsidRDefault="007309B5"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58C99C7E" w:rsidR="003C69DC" w:rsidRDefault="003C69DC" w:rsidP="00564820">
            <w:pPr>
              <w:pStyle w:val="PlainText"/>
              <w:numPr>
                <w:ilvl w:val="0"/>
                <w:numId w:val="29"/>
              </w:numPr>
            </w:pPr>
            <w:r>
              <w:t xml:space="preserve">What does this evidence indicate about your school’s progress towards </w:t>
            </w:r>
            <w:r w:rsidR="006830C3">
              <w:t>its</w:t>
            </w:r>
            <w:r>
              <w:t xml:space="preserve"> five-year target</w:t>
            </w:r>
            <w:r w:rsidR="00846E51" w:rsidRPr="006D2F6B">
              <w:t>s</w:t>
            </w:r>
            <w:r>
              <w:t>?</w:t>
            </w:r>
          </w:p>
          <w:p w14:paraId="33508A56" w14:textId="77777777" w:rsidR="00F06A77" w:rsidRDefault="00F06A77" w:rsidP="00F06A77">
            <w:pPr>
              <w:pStyle w:val="PlainText"/>
            </w:pPr>
          </w:p>
          <w:p w14:paraId="49857327" w14:textId="5B6469A8" w:rsidR="00F06A77" w:rsidRDefault="00F06A77" w:rsidP="00F06A77">
            <w:pPr>
              <w:pStyle w:val="PlainText"/>
            </w:pPr>
            <w:r>
              <w:t xml:space="preserve">This evidence indicates that the school is </w:t>
            </w:r>
            <w:r w:rsidR="006C3878">
              <w:t xml:space="preserve">continuing to </w:t>
            </w:r>
            <w:r w:rsidR="00F915B6">
              <w:t xml:space="preserve">explore and embed </w:t>
            </w:r>
            <w:r w:rsidR="006C3878">
              <w:t xml:space="preserve">the </w:t>
            </w:r>
            <w:r w:rsidR="00812706">
              <w:t>Ten Essential Instructional Practices in Literacy P-6</w:t>
            </w:r>
            <w:r>
              <w:t xml:space="preserve">. It is important to note that the </w:t>
            </w:r>
            <w:r w:rsidR="00BE20A4">
              <w:t>2020</w:t>
            </w:r>
            <w:r w:rsidR="006F2C4D">
              <w:t>/ 2021</w:t>
            </w:r>
            <w:r w:rsidR="00BB3166">
              <w:t>,</w:t>
            </w:r>
            <w:r w:rsidR="00BE20A4">
              <w:t xml:space="preserve"> period of teaching and learning was interrupted by COVID -19</w:t>
            </w:r>
            <w:r w:rsidR="00142A93">
              <w:t xml:space="preserve">.  However, the writing for authentic purposes during this time </w:t>
            </w:r>
            <w:r w:rsidR="006F2C4D">
              <w:t>ha</w:t>
            </w:r>
            <w:r w:rsidR="00142A93">
              <w:t xml:space="preserve">s increased and teachers’ anecdotal notes evidence this.  </w:t>
            </w:r>
            <w:r w:rsidR="007A7E13">
              <w:t>The timing of the School Satisfaction Survey coincided with a patch of remote learning due to COVID-19</w:t>
            </w:r>
            <w:r w:rsidR="00F915B6">
              <w:t xml:space="preserve"> as well as</w:t>
            </w:r>
            <w:r w:rsidR="009614A3">
              <w:t xml:space="preserve"> </w:t>
            </w:r>
            <w:r w:rsidR="00CD342E">
              <w:t>significant leadership and staffing changes</w:t>
            </w:r>
            <w:r w:rsidR="009614A3">
              <w:t>.</w:t>
            </w:r>
          </w:p>
          <w:p w14:paraId="7C14749B" w14:textId="77777777" w:rsidR="00F06A77" w:rsidRDefault="00F06A77">
            <w:pPr>
              <w:pStyle w:val="PlainText"/>
            </w:pPr>
          </w:p>
          <w:p w14:paraId="3CDE0F3D" w14:textId="25683248" w:rsidR="00CF3F40" w:rsidRDefault="00B53B59" w:rsidP="00564820">
            <w:pPr>
              <w:pStyle w:val="PlainText"/>
              <w:numPr>
                <w:ilvl w:val="0"/>
                <w:numId w:val="29"/>
              </w:numPr>
            </w:pPr>
            <w:r>
              <w:t xml:space="preserve">Have any </w:t>
            </w:r>
            <w:r w:rsidR="00161E50">
              <w:t>of your data sources changed over time? If so, why?</w:t>
            </w:r>
          </w:p>
          <w:p w14:paraId="295DAC34" w14:textId="77777777" w:rsidR="00812706" w:rsidRDefault="00812706" w:rsidP="00DA2368">
            <w:pPr>
              <w:pStyle w:val="PlainText"/>
              <w:ind w:left="426"/>
            </w:pPr>
          </w:p>
          <w:p w14:paraId="665C12D6" w14:textId="6CD05A67" w:rsidR="00825383" w:rsidRDefault="00825383" w:rsidP="00825383">
            <w:pPr>
              <w:pStyle w:val="PlainText"/>
              <w:ind w:left="1"/>
            </w:pPr>
            <w:r>
              <w:t xml:space="preserve">Our data sources have </w:t>
            </w:r>
            <w:r w:rsidR="00BB3166">
              <w:t>change due to the Year 3 &amp; Year 5 cohorts unable to sit NAPLAN in 2020.</w:t>
            </w:r>
          </w:p>
          <w:p w14:paraId="6A5E460E" w14:textId="77777777" w:rsidR="00825383" w:rsidRDefault="00825383" w:rsidP="00825383">
            <w:pPr>
              <w:pStyle w:val="PlainText"/>
              <w:ind w:left="1"/>
            </w:pPr>
          </w:p>
          <w:p w14:paraId="0253B235" w14:textId="642CA80F" w:rsidR="00161E50" w:rsidRDefault="00161E50" w:rsidP="00564820">
            <w:pPr>
              <w:pStyle w:val="PlainText"/>
              <w:numPr>
                <w:ilvl w:val="0"/>
                <w:numId w:val="29"/>
              </w:numPr>
            </w:pPr>
            <w:r>
              <w:t xml:space="preserve">What implications does </w:t>
            </w:r>
            <w:r w:rsidR="006D2F6B">
              <w:t>this evidence</w:t>
            </w:r>
            <w:r w:rsidR="00846E51">
              <w:t xml:space="preserve"> have for your next </w:t>
            </w:r>
            <w:r w:rsidR="00812706">
              <w:t>Action Plan</w:t>
            </w:r>
            <w:r>
              <w:t>?</w:t>
            </w:r>
          </w:p>
          <w:p w14:paraId="77C50066" w14:textId="77777777" w:rsidR="00812706" w:rsidRDefault="00812706" w:rsidP="00DA2368">
            <w:pPr>
              <w:pStyle w:val="PlainText"/>
              <w:ind w:left="426"/>
            </w:pPr>
          </w:p>
          <w:p w14:paraId="2DFB70DA" w14:textId="28B773A3" w:rsidR="00EE69C5" w:rsidRDefault="00825383">
            <w:pPr>
              <w:pStyle w:val="PlainText"/>
              <w:ind w:left="1"/>
            </w:pPr>
            <w:r>
              <w:t xml:space="preserve">The implication of this evidence for our next Action Plan will be </w:t>
            </w:r>
            <w:r w:rsidR="00142A93">
              <w:t xml:space="preserve">to revisit the </w:t>
            </w:r>
            <w:r w:rsidR="00812706">
              <w:t>Ten Essential Instructional Practices in Literacy P-6</w:t>
            </w:r>
            <w:r w:rsidR="00601150">
              <w:t xml:space="preserve"> and Writers Worksop</w:t>
            </w:r>
            <w:r w:rsidR="00142A93">
              <w:t xml:space="preserve"> in week 0, to ensure there is a consistency of practice</w:t>
            </w:r>
            <w:r w:rsidR="00601150">
              <w:t xml:space="preserve"> across the school.</w:t>
            </w:r>
            <w:r>
              <w:t xml:space="preserve"> </w:t>
            </w:r>
            <w:r w:rsidR="00521211">
              <w:t xml:space="preserve"> We will continue to e</w:t>
            </w:r>
            <w:r w:rsidR="0049596C">
              <w:t>mbed whole school approach to individual student’s writing goals with student agenc</w:t>
            </w:r>
            <w:r w:rsidR="00521211">
              <w:t>y.</w:t>
            </w:r>
          </w:p>
        </w:tc>
      </w:tr>
    </w:tbl>
    <w:p w14:paraId="113E7E85" w14:textId="4A8004DD" w:rsidR="002F4184" w:rsidRDefault="00937D6F" w:rsidP="002F4184">
      <w:pPr>
        <w:pStyle w:val="Heading3"/>
      </w:pPr>
      <w:r>
        <w:t>Our achievements for this priority</w:t>
      </w:r>
    </w:p>
    <w:p w14:paraId="2C475ECA" w14:textId="0167A4B7" w:rsidR="005611F4" w:rsidRPr="005611F4" w:rsidRDefault="005611F4" w:rsidP="005611F4"/>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D62806">
        <w:trPr>
          <w:trHeight w:val="223"/>
          <w:jc w:val="center"/>
        </w:trPr>
        <w:tc>
          <w:tcPr>
            <w:tcW w:w="9016" w:type="dxa"/>
            <w:shd w:val="clear" w:color="auto" w:fill="auto"/>
          </w:tcPr>
          <w:p w14:paraId="126EAF14" w14:textId="77777777" w:rsidR="00812706" w:rsidRPr="00A57F16" w:rsidRDefault="00812706" w:rsidP="00DA2368">
            <w:pPr>
              <w:pStyle w:val="ListBullet"/>
              <w:numPr>
                <w:ilvl w:val="0"/>
                <w:numId w:val="0"/>
              </w:numPr>
              <w:ind w:left="360" w:hanging="360"/>
              <w:rPr>
                <w:b/>
                <w:bCs/>
              </w:rPr>
            </w:pPr>
          </w:p>
          <w:p w14:paraId="1A840233" w14:textId="049A6665" w:rsidR="00BE20A4" w:rsidRPr="00BE20A4" w:rsidRDefault="00BE20A4" w:rsidP="00DD3100">
            <w:pPr>
              <w:pStyle w:val="ListBullet"/>
              <w:numPr>
                <w:ilvl w:val="0"/>
                <w:numId w:val="0"/>
              </w:numPr>
              <w:ind w:left="360" w:hanging="360"/>
              <w:rPr>
                <w:bCs/>
                <w:color w:val="000000" w:themeColor="text1"/>
              </w:rPr>
            </w:pPr>
          </w:p>
          <w:p w14:paraId="55551A18" w14:textId="39EC5EB8" w:rsidR="00BE20A4" w:rsidRPr="00BE20A4" w:rsidRDefault="00BE20A4" w:rsidP="00DA2368">
            <w:pPr>
              <w:pStyle w:val="ListBullet"/>
              <w:numPr>
                <w:ilvl w:val="0"/>
                <w:numId w:val="0"/>
              </w:numPr>
              <w:ind w:left="720"/>
              <w:rPr>
                <w:bCs/>
                <w:color w:val="000000" w:themeColor="text1"/>
              </w:rPr>
            </w:pPr>
          </w:p>
          <w:p w14:paraId="3CD6F412" w14:textId="16477BD8" w:rsidR="00BE20A4" w:rsidRPr="00BE20A4" w:rsidRDefault="004E17B7" w:rsidP="00E74F14">
            <w:pPr>
              <w:pStyle w:val="ListBullet"/>
              <w:numPr>
                <w:ilvl w:val="0"/>
                <w:numId w:val="11"/>
              </w:numPr>
              <w:rPr>
                <w:bCs/>
                <w:color w:val="000000" w:themeColor="text1"/>
              </w:rPr>
            </w:pPr>
            <w:r>
              <w:rPr>
                <w:bCs/>
                <w:color w:val="000000" w:themeColor="text1"/>
              </w:rPr>
              <w:t xml:space="preserve">We completed </w:t>
            </w:r>
            <w:r w:rsidR="00BE20A4" w:rsidRPr="00BE20A4">
              <w:rPr>
                <w:bCs/>
                <w:color w:val="000000" w:themeColor="text1"/>
              </w:rPr>
              <w:t>rigorous moderation processes for each term</w:t>
            </w:r>
            <w:r w:rsidR="001D3258">
              <w:rPr>
                <w:bCs/>
                <w:color w:val="000000" w:themeColor="text1"/>
              </w:rPr>
              <w:t xml:space="preserve"> tri</w:t>
            </w:r>
            <w:r w:rsidR="00E1631F">
              <w:rPr>
                <w:bCs/>
                <w:color w:val="000000" w:themeColor="text1"/>
              </w:rPr>
              <w:t>a</w:t>
            </w:r>
            <w:r w:rsidR="001D3258">
              <w:rPr>
                <w:bCs/>
                <w:color w:val="000000" w:themeColor="text1"/>
              </w:rPr>
              <w:t>lling QLD and First Steps Maps of development</w:t>
            </w:r>
            <w:r w:rsidR="00DD3100">
              <w:rPr>
                <w:bCs/>
                <w:color w:val="000000" w:themeColor="text1"/>
              </w:rPr>
              <w:t>.</w:t>
            </w:r>
            <w:r w:rsidR="008B569B">
              <w:rPr>
                <w:bCs/>
                <w:color w:val="000000" w:themeColor="text1"/>
              </w:rPr>
              <w:t xml:space="preserve"> Our 3/ 4 teaching team also participated in network moderation sessions.</w:t>
            </w:r>
          </w:p>
          <w:p w14:paraId="0E12D6F4" w14:textId="4F66D2DA" w:rsidR="00BE20A4" w:rsidRPr="00DA2368" w:rsidRDefault="008B569B" w:rsidP="00E74F14">
            <w:pPr>
              <w:pStyle w:val="ListBullet"/>
              <w:numPr>
                <w:ilvl w:val="0"/>
                <w:numId w:val="11"/>
              </w:numPr>
              <w:rPr>
                <w:b/>
              </w:rPr>
            </w:pPr>
            <w:r>
              <w:rPr>
                <w:bCs/>
                <w:color w:val="000000" w:themeColor="text1"/>
              </w:rPr>
              <w:t xml:space="preserve">We continued to </w:t>
            </w:r>
            <w:r w:rsidR="00DD3100">
              <w:rPr>
                <w:bCs/>
                <w:color w:val="000000" w:themeColor="text1"/>
              </w:rPr>
              <w:t>c</w:t>
            </w:r>
            <w:r w:rsidR="00BE20A4" w:rsidRPr="00BE20A4">
              <w:rPr>
                <w:bCs/>
                <w:color w:val="000000" w:themeColor="text1"/>
              </w:rPr>
              <w:t>ollaborate and discuss teaching practices</w:t>
            </w:r>
            <w:r w:rsidR="00C96C34">
              <w:rPr>
                <w:bCs/>
                <w:color w:val="000000" w:themeColor="text1"/>
              </w:rPr>
              <w:t xml:space="preserve"> in PLTS and data discussions</w:t>
            </w:r>
          </w:p>
          <w:p w14:paraId="747F4F21" w14:textId="1B88B488" w:rsidR="00D5070F" w:rsidRPr="007A7E13" w:rsidRDefault="00D5070F" w:rsidP="00E74F14">
            <w:pPr>
              <w:pStyle w:val="ListBullet"/>
              <w:numPr>
                <w:ilvl w:val="0"/>
                <w:numId w:val="11"/>
              </w:numPr>
              <w:rPr>
                <w:b/>
              </w:rPr>
            </w:pPr>
            <w:r>
              <w:rPr>
                <w:bCs/>
              </w:rPr>
              <w:t>Our teaching team Pre- year 6 completed the phase 11 EYLI</w:t>
            </w:r>
            <w:r w:rsidR="00E207A5">
              <w:rPr>
                <w:bCs/>
              </w:rPr>
              <w:t>.</w:t>
            </w:r>
          </w:p>
          <w:p w14:paraId="2D25719E" w14:textId="77777777" w:rsidR="007A7E13" w:rsidRPr="00A57F16" w:rsidRDefault="007A7E13" w:rsidP="00A57F16">
            <w:pPr>
              <w:pStyle w:val="ListBullet"/>
              <w:numPr>
                <w:ilvl w:val="0"/>
                <w:numId w:val="0"/>
              </w:numPr>
              <w:rPr>
                <w:b/>
              </w:rPr>
            </w:pPr>
          </w:p>
          <w:p w14:paraId="6BBFE018" w14:textId="668292A8" w:rsidR="00BE20A4" w:rsidRDefault="00BE20A4" w:rsidP="00E74F14">
            <w:pPr>
              <w:pStyle w:val="ListBullet"/>
              <w:numPr>
                <w:ilvl w:val="0"/>
                <w:numId w:val="12"/>
              </w:numPr>
              <w:rPr>
                <w:bCs/>
              </w:rPr>
            </w:pPr>
            <w:r w:rsidRPr="00BE20A4">
              <w:rPr>
                <w:bCs/>
              </w:rPr>
              <w:t xml:space="preserve">Utilised the audit tool </w:t>
            </w:r>
            <w:r w:rsidR="009646B2">
              <w:rPr>
                <w:bCs/>
              </w:rPr>
              <w:t xml:space="preserve">for the ten essential practices </w:t>
            </w:r>
            <w:r w:rsidRPr="00BE20A4">
              <w:rPr>
                <w:bCs/>
              </w:rPr>
              <w:t>with teachers and responded to the outcomes of this, planning the next steps forward</w:t>
            </w:r>
            <w:r w:rsidR="009646B2">
              <w:rPr>
                <w:bCs/>
              </w:rPr>
              <w:t>.</w:t>
            </w:r>
          </w:p>
          <w:p w14:paraId="3A411B49" w14:textId="241A648F" w:rsidR="00E207A5" w:rsidRDefault="00E207A5" w:rsidP="00E74F14">
            <w:pPr>
              <w:pStyle w:val="ListBullet"/>
              <w:numPr>
                <w:ilvl w:val="0"/>
                <w:numId w:val="12"/>
              </w:numPr>
              <w:rPr>
                <w:bCs/>
              </w:rPr>
            </w:pPr>
            <w:r>
              <w:rPr>
                <w:bCs/>
              </w:rPr>
              <w:t xml:space="preserve">Each team </w:t>
            </w:r>
            <w:r w:rsidR="00C9105F">
              <w:rPr>
                <w:bCs/>
              </w:rPr>
              <w:t xml:space="preserve">and the whole school created writing goals and </w:t>
            </w:r>
            <w:r>
              <w:rPr>
                <w:bCs/>
              </w:rPr>
              <w:t>embedded various EIPs into their teams planning and classroom practices.</w:t>
            </w:r>
          </w:p>
          <w:p w14:paraId="0A6720E8" w14:textId="23D86966" w:rsidR="00E1631F" w:rsidRPr="00DA2368" w:rsidRDefault="00E1631F" w:rsidP="00E74F14">
            <w:pPr>
              <w:pStyle w:val="ListBullet"/>
              <w:numPr>
                <w:ilvl w:val="0"/>
                <w:numId w:val="12"/>
              </w:numPr>
              <w:rPr>
                <w:bCs/>
              </w:rPr>
            </w:pPr>
            <w:r>
              <w:t>Writing surveys for students and staff</w:t>
            </w:r>
          </w:p>
          <w:p w14:paraId="40502607" w14:textId="5849D918" w:rsidR="003B123B" w:rsidRPr="00BE20A4" w:rsidRDefault="003B123B" w:rsidP="00E74F14">
            <w:pPr>
              <w:pStyle w:val="ListBullet"/>
              <w:numPr>
                <w:ilvl w:val="0"/>
                <w:numId w:val="12"/>
              </w:numPr>
              <w:rPr>
                <w:bCs/>
              </w:rPr>
            </w:pPr>
            <w:r>
              <w:t>Curriculum strategic team conducted a ‘Spiral of Inquiry’ into writing and particularly around our purpose for and use of writing rubrics.</w:t>
            </w:r>
          </w:p>
          <w:p w14:paraId="3B04DD93" w14:textId="5982A3B0" w:rsidR="00BE20A4" w:rsidRPr="00BE20A4" w:rsidRDefault="009646B2" w:rsidP="00E74F14">
            <w:pPr>
              <w:pStyle w:val="ListBullet"/>
              <w:numPr>
                <w:ilvl w:val="0"/>
                <w:numId w:val="12"/>
              </w:numPr>
              <w:rPr>
                <w:bCs/>
              </w:rPr>
            </w:pPr>
            <w:r>
              <w:rPr>
                <w:bCs/>
              </w:rPr>
              <w:t>Provided s</w:t>
            </w:r>
            <w:r w:rsidR="00BE20A4" w:rsidRPr="00BE20A4">
              <w:rPr>
                <w:bCs/>
              </w:rPr>
              <w:t>houlder to shoulder team teaching</w:t>
            </w:r>
            <w:r>
              <w:rPr>
                <w:bCs/>
              </w:rPr>
              <w:t>.</w:t>
            </w:r>
          </w:p>
          <w:p w14:paraId="48C5D032" w14:textId="693A6567" w:rsidR="00CA26FB" w:rsidRPr="009646B2" w:rsidRDefault="00BE20A4" w:rsidP="00E74F14">
            <w:pPr>
              <w:pStyle w:val="ListBullet"/>
              <w:numPr>
                <w:ilvl w:val="0"/>
                <w:numId w:val="12"/>
              </w:numPr>
              <w:rPr>
                <w:bCs/>
              </w:rPr>
            </w:pPr>
            <w:r w:rsidRPr="00BE20A4">
              <w:rPr>
                <w:bCs/>
              </w:rPr>
              <w:t xml:space="preserve">Responded to staff PL needs by creating school based targeted professional learning, </w:t>
            </w:r>
            <w:proofErr w:type="gramStart"/>
            <w:r w:rsidRPr="00BE20A4">
              <w:rPr>
                <w:bCs/>
              </w:rPr>
              <w:t>e.g.</w:t>
            </w:r>
            <w:proofErr w:type="gramEnd"/>
            <w:r w:rsidRPr="00BE20A4">
              <w:rPr>
                <w:bCs/>
              </w:rPr>
              <w:t xml:space="preserve"> </w:t>
            </w:r>
            <w:r w:rsidR="007B0B43">
              <w:rPr>
                <w:bCs/>
              </w:rPr>
              <w:t>writing workshop and literacy progressions</w:t>
            </w:r>
            <w:r w:rsidR="008E6162">
              <w:rPr>
                <w:bCs/>
              </w:rPr>
              <w:t>.</w:t>
            </w:r>
          </w:p>
        </w:tc>
      </w:tr>
    </w:tbl>
    <w:p w14:paraId="53530C31" w14:textId="77777777" w:rsidR="00937D6F" w:rsidRDefault="00937D6F" w:rsidP="00937D6F">
      <w:pPr>
        <w:pStyle w:val="BodyText"/>
      </w:pPr>
    </w:p>
    <w:p w14:paraId="73AF730F" w14:textId="2E7A20FF" w:rsidR="005611F4" w:rsidRPr="005611F4" w:rsidRDefault="00937D6F" w:rsidP="00C927E0">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D62806">
        <w:trPr>
          <w:trHeight w:val="116"/>
          <w:jc w:val="center"/>
        </w:trPr>
        <w:tc>
          <w:tcPr>
            <w:tcW w:w="9016" w:type="dxa"/>
            <w:shd w:val="clear" w:color="auto" w:fill="auto"/>
          </w:tcPr>
          <w:p w14:paraId="4D467D62" w14:textId="0051074C" w:rsidR="00932E67" w:rsidRDefault="00C927E0" w:rsidP="00E74F14">
            <w:pPr>
              <w:pStyle w:val="ListBullet"/>
              <w:numPr>
                <w:ilvl w:val="0"/>
                <w:numId w:val="13"/>
              </w:numPr>
            </w:pPr>
            <w:r>
              <w:t>Increase coaching and mentoring</w:t>
            </w:r>
            <w:r w:rsidR="003B123B">
              <w:t xml:space="preserve"> across the school</w:t>
            </w:r>
            <w:r>
              <w:t xml:space="preserve"> for teachers in writing pedagogy and assessment</w:t>
            </w:r>
            <w:r w:rsidR="00F9110F">
              <w:t>- formalised coaching model implemented.</w:t>
            </w:r>
          </w:p>
          <w:p w14:paraId="189C3F00" w14:textId="3F91B125" w:rsidR="00937D6F" w:rsidRDefault="00C927E0" w:rsidP="00E74F14">
            <w:pPr>
              <w:pStyle w:val="ListBullet2"/>
              <w:numPr>
                <w:ilvl w:val="0"/>
                <w:numId w:val="13"/>
              </w:numPr>
            </w:pPr>
            <w:r>
              <w:t xml:space="preserve">Continuing to build teacher capacity to implement the </w:t>
            </w:r>
            <w:r w:rsidR="00D62806">
              <w:t>Ten Essential Instructional Practices in Literacy P-6</w:t>
            </w:r>
            <w:r w:rsidR="007A5ED2">
              <w:t>, literacy workshop</w:t>
            </w:r>
            <w:r w:rsidR="00D62806">
              <w:t xml:space="preserve"> </w:t>
            </w:r>
            <w:r>
              <w:t xml:space="preserve">and to use </w:t>
            </w:r>
            <w:r w:rsidR="00AC31BF">
              <w:t xml:space="preserve">appropriate assessment tools to monitor </w:t>
            </w:r>
            <w:r w:rsidR="008E6162">
              <w:t xml:space="preserve">and plan for </w:t>
            </w:r>
            <w:r w:rsidR="00AC31BF">
              <w:t>student progress.</w:t>
            </w:r>
          </w:p>
          <w:p w14:paraId="39180703" w14:textId="77777777" w:rsidR="003B123B" w:rsidRDefault="003B123B" w:rsidP="00E74F14">
            <w:pPr>
              <w:pStyle w:val="ListBullet2"/>
              <w:numPr>
                <w:ilvl w:val="0"/>
                <w:numId w:val="13"/>
              </w:numPr>
            </w:pPr>
            <w:r>
              <w:t xml:space="preserve">Continue to build teachers’ capacity to plan and conference with students to create, </w:t>
            </w:r>
            <w:proofErr w:type="gramStart"/>
            <w:r>
              <w:t>revise</w:t>
            </w:r>
            <w:proofErr w:type="gramEnd"/>
            <w:r>
              <w:t xml:space="preserve"> and implement quality </w:t>
            </w:r>
            <w:r w:rsidR="00C862A8">
              <w:t>Individual Goals around writing.</w:t>
            </w:r>
          </w:p>
          <w:p w14:paraId="6FEAB89A" w14:textId="77777777" w:rsidR="00D43651" w:rsidRDefault="00D43651" w:rsidP="00E74F14">
            <w:pPr>
              <w:pStyle w:val="ListBullet2"/>
              <w:numPr>
                <w:ilvl w:val="0"/>
                <w:numId w:val="13"/>
              </w:numPr>
            </w:pPr>
            <w:r>
              <w:t>Community survey around the teaching of literacy at CDS.</w:t>
            </w:r>
          </w:p>
          <w:p w14:paraId="7BDB7F64" w14:textId="77777777" w:rsidR="008C7AB1" w:rsidRDefault="008C7AB1" w:rsidP="00E74F14">
            <w:pPr>
              <w:pStyle w:val="ListBullet2"/>
              <w:numPr>
                <w:ilvl w:val="0"/>
                <w:numId w:val="13"/>
              </w:numPr>
            </w:pPr>
            <w:r>
              <w:t xml:space="preserve">Building teachers’ </w:t>
            </w:r>
            <w:r w:rsidR="009A46BB">
              <w:t xml:space="preserve">capability </w:t>
            </w:r>
            <w:r w:rsidR="00E6190C">
              <w:t>in conferencing and writing individual student’s writing goals</w:t>
            </w:r>
            <w:r w:rsidR="00F9110F">
              <w:t>.</w:t>
            </w:r>
          </w:p>
          <w:p w14:paraId="21501890" w14:textId="6D687057" w:rsidR="00CA30DB" w:rsidRDefault="00CA30DB" w:rsidP="00E74F14">
            <w:pPr>
              <w:pStyle w:val="ListBullet2"/>
              <w:numPr>
                <w:ilvl w:val="0"/>
                <w:numId w:val="13"/>
              </w:numPr>
            </w:pPr>
            <w:r>
              <w:t>Whole school moderation rubrics/ document created and used.</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71B86871" w14:textId="4867F5E6"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Pr="000F0410">
        <w:rPr>
          <w:color w:val="auto"/>
        </w:rPr>
        <w:tab/>
      </w:r>
      <w:r w:rsidR="00EA43D7" w:rsidRPr="00DA2368">
        <w:rPr>
          <w:b/>
          <w:bCs/>
          <w:color w:val="auto"/>
          <w:sz w:val="26"/>
          <w:szCs w:val="26"/>
        </w:rPr>
        <w:t>I</w:t>
      </w:r>
      <w:r w:rsidR="00EA43D7" w:rsidRPr="00DA2368">
        <w:rPr>
          <w:rFonts w:ascii="Calibri" w:hAnsi="Calibri" w:cs="Calibri"/>
          <w:b/>
          <w:bCs/>
          <w:color w:val="000000"/>
          <w:sz w:val="26"/>
          <w:szCs w:val="26"/>
        </w:rPr>
        <w:t>mprove the school community connections to improve students’ engagement in learning and aspirations for the future</w:t>
      </w:r>
      <w:r w:rsidR="00A60571" w:rsidRPr="00DA2368">
        <w:rPr>
          <w:rFonts w:ascii="Calibri" w:hAnsi="Calibri" w:cs="Calibri"/>
          <w:b/>
          <w:bCs/>
          <w:color w:val="000000"/>
          <w:sz w:val="26"/>
          <w:szCs w:val="26"/>
        </w:rPr>
        <w:t>.</w:t>
      </w:r>
    </w:p>
    <w:p w14:paraId="4A8BBC93" w14:textId="77777777" w:rsidR="00EB70CE" w:rsidRPr="00837137" w:rsidRDefault="00EB70CE" w:rsidP="00EB70CE">
      <w:pPr>
        <w:pStyle w:val="Heading3"/>
      </w:pPr>
      <w:r w:rsidRPr="00837137">
        <w:t>Targets or measures</w:t>
      </w:r>
    </w:p>
    <w:p w14:paraId="6DCE2140" w14:textId="57515FCE" w:rsidR="00EB70CE" w:rsidRDefault="00EB70CE" w:rsidP="00EB70CE">
      <w:pPr>
        <w:pStyle w:val="BodyText"/>
      </w:pPr>
      <w:r>
        <w:t>By the end of 20</w:t>
      </w:r>
      <w:r w:rsidR="00513AD6">
        <w:t>2</w:t>
      </w:r>
      <w:r w:rsidR="00DE012C">
        <w:t>5</w:t>
      </w:r>
      <w:r>
        <w:t xml:space="preserve"> we will achieve:</w:t>
      </w:r>
    </w:p>
    <w:p w14:paraId="23EA3D84" w14:textId="11488A85" w:rsidR="00D27587" w:rsidRPr="00DA2368" w:rsidRDefault="00D27587" w:rsidP="00D27587">
      <w:pPr>
        <w:pStyle w:val="BodyText"/>
        <w:numPr>
          <w:ilvl w:val="0"/>
          <w:numId w:val="28"/>
        </w:numPr>
      </w:pPr>
      <w:r>
        <w:rPr>
          <w:rFonts w:ascii="Calibri" w:hAnsi="Calibri" w:cs="Calibri"/>
          <w:color w:val="000000"/>
        </w:rPr>
        <w:t>85% or more of our students agree or strongly agree that teachers encourage academic emphasis at the school.</w:t>
      </w:r>
    </w:p>
    <w:p w14:paraId="26F6D46E" w14:textId="6FC27976" w:rsidR="00E904EC" w:rsidRPr="00DA2368" w:rsidRDefault="00E904EC" w:rsidP="00D27587">
      <w:pPr>
        <w:pStyle w:val="BodyText"/>
        <w:numPr>
          <w:ilvl w:val="0"/>
          <w:numId w:val="28"/>
        </w:numPr>
      </w:pPr>
      <w:r>
        <w:rPr>
          <w:rFonts w:ascii="Calibri" w:hAnsi="Calibri" w:cs="Calibri"/>
          <w:color w:val="000000"/>
        </w:rPr>
        <w:t>86% or more of our students agree or strongly agree that they receive the support they need from their home environment to allow them to engage fully with their learning at school.</w:t>
      </w:r>
    </w:p>
    <w:p w14:paraId="12BA8521" w14:textId="709B9F1B" w:rsidR="00E904EC" w:rsidRDefault="00E904EC" w:rsidP="00DA2368">
      <w:pPr>
        <w:pStyle w:val="BodyText"/>
        <w:numPr>
          <w:ilvl w:val="0"/>
          <w:numId w:val="28"/>
        </w:numPr>
      </w:pPr>
      <w:r>
        <w:rPr>
          <w:rFonts w:ascii="Calibri" w:hAnsi="Calibri" w:cs="Calibri"/>
          <w:color w:val="000000"/>
        </w:rPr>
        <w:t>75% or more of our students agree or strongly agree that</w:t>
      </w:r>
      <w:r>
        <w:rPr>
          <w:rFonts w:ascii="Calibri" w:hAnsi="Calibri" w:cs="Calibri"/>
          <w:color w:val="000000"/>
          <w:sz w:val="20"/>
          <w:szCs w:val="20"/>
        </w:rPr>
        <w:t xml:space="preserve"> </w:t>
      </w:r>
      <w:r>
        <w:rPr>
          <w:rFonts w:ascii="Calibri" w:hAnsi="Calibri" w:cs="Calibri"/>
          <w:color w:val="000000"/>
          <w:shd w:val="clear" w:color="auto" w:fill="FFFFFF"/>
        </w:rPr>
        <w:t>students care about and are friendly to each other.</w:t>
      </w:r>
    </w:p>
    <w:p w14:paraId="7D1CD611"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Students develop strong </w:t>
      </w:r>
      <w:proofErr w:type="spellStart"/>
      <w:r>
        <w:rPr>
          <w:rFonts w:ascii="Calibri" w:hAnsi="Calibri" w:cs="Calibri"/>
          <w:color w:val="000000"/>
          <w:sz w:val="22"/>
          <w:szCs w:val="22"/>
        </w:rPr>
        <w:t>self efficacy</w:t>
      </w:r>
      <w:proofErr w:type="spellEnd"/>
      <w:r>
        <w:rPr>
          <w:rFonts w:ascii="Calibri" w:hAnsi="Calibri" w:cs="Calibri"/>
          <w:color w:val="000000"/>
          <w:sz w:val="22"/>
          <w:szCs w:val="22"/>
        </w:rPr>
        <w:t xml:space="preserve"> and make choices that contribute positively to the school learning culture</w:t>
      </w:r>
    </w:p>
    <w:p w14:paraId="564D528B"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understand and apply knowledge of sustainable practices</w:t>
      </w:r>
    </w:p>
    <w:p w14:paraId="6F648ED0"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Self-reflective learners who utilise key learning assets and skills</w:t>
      </w:r>
    </w:p>
    <w:p w14:paraId="7FC7A61D"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Opportunities for students to make connections beyond the school through meaningful community partnerships</w:t>
      </w:r>
    </w:p>
    <w:p w14:paraId="293C9DBF"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school that facilitates as a community hub providing access for and linking families to critical services</w:t>
      </w:r>
    </w:p>
    <w:p w14:paraId="157C81EE" w14:textId="77777777" w:rsidR="000174EE" w:rsidRDefault="000174EE" w:rsidP="000174EE">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with a strong connection to the school that display pride in the achievements and progress.</w:t>
      </w:r>
    </w:p>
    <w:p w14:paraId="5AFA30E4" w14:textId="4B329483" w:rsidR="000174EE" w:rsidRDefault="000174EE" w:rsidP="00EB70CE">
      <w:pPr>
        <w:pStyle w:val="BodyText"/>
      </w:pPr>
    </w:p>
    <w:p w14:paraId="6E783ED4" w14:textId="77777777" w:rsidR="000174EE" w:rsidRDefault="000174EE" w:rsidP="00EB70CE">
      <w:pPr>
        <w:pStyle w:val="BodyText"/>
      </w:pPr>
    </w:p>
    <w:p w14:paraId="08A16910" w14:textId="4CD29E91" w:rsidR="00EB70CE" w:rsidRPr="00373DC0" w:rsidRDefault="00EB70CE" w:rsidP="00EB70CE">
      <w:pPr>
        <w:pStyle w:val="BodyText"/>
      </w:pPr>
      <w:r w:rsidRPr="00373DC0">
        <w:t>In 20</w:t>
      </w:r>
      <w:r w:rsidR="000174EE">
        <w:t>21</w:t>
      </w:r>
      <w:r w:rsidRPr="00373DC0">
        <w:t xml:space="preserve"> we </w:t>
      </w:r>
      <w:r>
        <w:t>implemented</w:t>
      </w:r>
      <w:r w:rsidRPr="00373DC0">
        <w:t xml:space="preserve"> this priority throug</w:t>
      </w:r>
      <w:r>
        <w:t xml:space="preserve">h the following </w:t>
      </w:r>
      <w:r w:rsidRPr="00373DC0">
        <w:t>strategies.</w:t>
      </w:r>
    </w:p>
    <w:p w14:paraId="10893084" w14:textId="4C3639E8" w:rsidR="00D95EE4" w:rsidRDefault="00604803" w:rsidP="00256DA8">
      <w:pPr>
        <w:pStyle w:val="ListBullet"/>
      </w:pPr>
      <w:r>
        <w:t>Susta</w:t>
      </w:r>
      <w:r w:rsidR="00FE07E3">
        <w:t>inability workshop for parents</w:t>
      </w:r>
    </w:p>
    <w:p w14:paraId="07600E27" w14:textId="4B7BB882" w:rsidR="00FE07E3" w:rsidRDefault="00FE07E3" w:rsidP="00256DA8">
      <w:pPr>
        <w:pStyle w:val="ListBullet"/>
      </w:pPr>
      <w:r>
        <w:t>Family survey conducted and parent skills</w:t>
      </w:r>
      <w:r w:rsidR="002448B8">
        <w:t xml:space="preserve">, </w:t>
      </w:r>
      <w:proofErr w:type="gramStart"/>
      <w:r>
        <w:t>talents</w:t>
      </w:r>
      <w:proofErr w:type="gramEnd"/>
      <w:r>
        <w:t xml:space="preserve"> </w:t>
      </w:r>
      <w:r w:rsidR="002448B8">
        <w:t xml:space="preserve">and areas they wanted learning and tips in was </w:t>
      </w:r>
      <w:r>
        <w:t>listed.</w:t>
      </w:r>
    </w:p>
    <w:p w14:paraId="6462305C" w14:textId="0590DD01" w:rsidR="002448B8" w:rsidRDefault="00183129" w:rsidP="00256DA8">
      <w:pPr>
        <w:pStyle w:val="ListBullet"/>
      </w:pPr>
      <w:r>
        <w:t>Maths and literacy parent workshops presented</w:t>
      </w:r>
      <w:r w:rsidR="00C104F9">
        <w:t xml:space="preserve"> to families.</w:t>
      </w:r>
    </w:p>
    <w:p w14:paraId="217B1B59" w14:textId="6714A688" w:rsidR="00BA7E0B" w:rsidRDefault="00BA7E0B" w:rsidP="00DA2368">
      <w:pPr>
        <w:pStyle w:val="ListBullet"/>
        <w:numPr>
          <w:ilvl w:val="0"/>
          <w:numId w:val="0"/>
        </w:numPr>
      </w:pPr>
    </w:p>
    <w:p w14:paraId="6B896938" w14:textId="77777777" w:rsidR="00EB70CE" w:rsidRDefault="00EB70CE" w:rsidP="00EB70CE">
      <w:pPr>
        <w:pStyle w:val="BodyText"/>
      </w:pPr>
    </w:p>
    <w:p w14:paraId="11968979" w14:textId="38C78DD8"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4AAD6E4A" w14:textId="77777777" w:rsidR="00EB70CE" w:rsidRPr="008A01DA" w:rsidRDefault="00EB70CE" w:rsidP="00EB70CE">
      <w:pPr>
        <w:pStyle w:val="Heading4"/>
      </w:pPr>
      <w:r>
        <w:t>Perception Data</w:t>
      </w:r>
    </w:p>
    <w:tbl>
      <w:tblPr>
        <w:tblStyle w:val="TableGrid"/>
        <w:tblW w:w="9894" w:type="dxa"/>
        <w:jc w:val="center"/>
        <w:tblCellMar>
          <w:top w:w="57" w:type="dxa"/>
          <w:left w:w="57" w:type="dxa"/>
          <w:bottom w:w="57" w:type="dxa"/>
          <w:right w:w="57" w:type="dxa"/>
        </w:tblCellMar>
        <w:tblLook w:val="04A0" w:firstRow="1" w:lastRow="0" w:firstColumn="1" w:lastColumn="0" w:noHBand="0" w:noVBand="1"/>
      </w:tblPr>
      <w:tblGrid>
        <w:gridCol w:w="5153"/>
        <w:gridCol w:w="790"/>
        <w:gridCol w:w="790"/>
        <w:gridCol w:w="790"/>
        <w:gridCol w:w="790"/>
        <w:gridCol w:w="790"/>
        <w:gridCol w:w="791"/>
      </w:tblGrid>
      <w:tr w:rsidR="00EB70CE" w14:paraId="7F90502E" w14:textId="77777777" w:rsidTr="00DA2368">
        <w:trPr>
          <w:jc w:val="center"/>
        </w:trPr>
        <w:tc>
          <w:tcPr>
            <w:tcW w:w="5153" w:type="dxa"/>
            <w:shd w:val="clear" w:color="auto" w:fill="auto"/>
          </w:tcPr>
          <w:p w14:paraId="7A6CF3AE" w14:textId="77777777" w:rsidR="00EB70CE" w:rsidRPr="006D2F6B" w:rsidRDefault="00EB70CE" w:rsidP="00D62806">
            <w:pPr>
              <w:rPr>
                <w:b/>
              </w:rPr>
            </w:pPr>
            <w:r w:rsidRPr="006D2F6B">
              <w:rPr>
                <w:b/>
              </w:rPr>
              <w:t>Targets or Measures</w:t>
            </w:r>
          </w:p>
        </w:tc>
        <w:tc>
          <w:tcPr>
            <w:tcW w:w="790" w:type="dxa"/>
            <w:shd w:val="clear" w:color="auto" w:fill="auto"/>
          </w:tcPr>
          <w:p w14:paraId="40CD6281" w14:textId="77777777" w:rsidR="00EB70CE" w:rsidRPr="006D2F6B" w:rsidRDefault="00EB70CE" w:rsidP="00D62806">
            <w:pPr>
              <w:jc w:val="center"/>
              <w:rPr>
                <w:b/>
              </w:rPr>
            </w:pPr>
            <w:r w:rsidRPr="006D2F6B">
              <w:rPr>
                <w:b/>
              </w:rPr>
              <w:t>Base</w:t>
            </w:r>
          </w:p>
        </w:tc>
        <w:tc>
          <w:tcPr>
            <w:tcW w:w="790" w:type="dxa"/>
            <w:shd w:val="clear" w:color="auto" w:fill="auto"/>
          </w:tcPr>
          <w:p w14:paraId="0E50DE03" w14:textId="5390DD32" w:rsidR="00D62806" w:rsidRDefault="00D62806" w:rsidP="00D62806">
            <w:pPr>
              <w:jc w:val="center"/>
              <w:rPr>
                <w:b/>
              </w:rPr>
            </w:pPr>
            <w:r>
              <w:rPr>
                <w:b/>
              </w:rPr>
              <w:t>2018</w:t>
            </w:r>
          </w:p>
          <w:p w14:paraId="2248D84A" w14:textId="55328623" w:rsidR="00EB70CE" w:rsidRPr="006D2F6B" w:rsidRDefault="00EB70CE" w:rsidP="00D62806">
            <w:pPr>
              <w:jc w:val="center"/>
              <w:rPr>
                <w:b/>
              </w:rPr>
            </w:pPr>
            <w:r w:rsidRPr="006D2F6B">
              <w:rPr>
                <w:b/>
              </w:rPr>
              <w:t>Year 1</w:t>
            </w:r>
          </w:p>
        </w:tc>
        <w:tc>
          <w:tcPr>
            <w:tcW w:w="790" w:type="dxa"/>
            <w:shd w:val="clear" w:color="auto" w:fill="auto"/>
          </w:tcPr>
          <w:p w14:paraId="7108A1D5" w14:textId="35BAAAAD" w:rsidR="00D62806" w:rsidRDefault="00D62806" w:rsidP="00D62806">
            <w:pPr>
              <w:jc w:val="center"/>
              <w:rPr>
                <w:b/>
              </w:rPr>
            </w:pPr>
            <w:r>
              <w:rPr>
                <w:b/>
              </w:rPr>
              <w:t>2019</w:t>
            </w:r>
          </w:p>
          <w:p w14:paraId="5F9E5829" w14:textId="0BD121C1" w:rsidR="00EB70CE" w:rsidRPr="006D2F6B" w:rsidRDefault="00EB70CE" w:rsidP="00D62806">
            <w:pPr>
              <w:jc w:val="center"/>
              <w:rPr>
                <w:b/>
              </w:rPr>
            </w:pPr>
            <w:r w:rsidRPr="006D2F6B">
              <w:rPr>
                <w:b/>
              </w:rPr>
              <w:t>Year 2</w:t>
            </w:r>
          </w:p>
        </w:tc>
        <w:tc>
          <w:tcPr>
            <w:tcW w:w="790" w:type="dxa"/>
            <w:shd w:val="clear" w:color="auto" w:fill="auto"/>
          </w:tcPr>
          <w:p w14:paraId="09480AD1" w14:textId="33096E16" w:rsidR="00D62806" w:rsidRDefault="00D62806" w:rsidP="00D62806">
            <w:pPr>
              <w:jc w:val="center"/>
              <w:rPr>
                <w:b/>
              </w:rPr>
            </w:pPr>
            <w:r>
              <w:rPr>
                <w:b/>
              </w:rPr>
              <w:t>2020</w:t>
            </w:r>
          </w:p>
          <w:p w14:paraId="58A90F75" w14:textId="0C0DD243" w:rsidR="00EB70CE" w:rsidRPr="006D2F6B" w:rsidRDefault="00EB70CE" w:rsidP="00D62806">
            <w:pPr>
              <w:jc w:val="center"/>
              <w:rPr>
                <w:b/>
              </w:rPr>
            </w:pPr>
            <w:r w:rsidRPr="006D2F6B">
              <w:rPr>
                <w:b/>
              </w:rPr>
              <w:t>Year 3</w:t>
            </w:r>
          </w:p>
        </w:tc>
        <w:tc>
          <w:tcPr>
            <w:tcW w:w="790" w:type="dxa"/>
            <w:shd w:val="clear" w:color="auto" w:fill="auto"/>
          </w:tcPr>
          <w:p w14:paraId="68C2F14A" w14:textId="77777777" w:rsidR="00EB70CE" w:rsidRPr="006D2F6B" w:rsidRDefault="00EB70CE" w:rsidP="00D62806">
            <w:pPr>
              <w:jc w:val="center"/>
              <w:rPr>
                <w:b/>
              </w:rPr>
            </w:pPr>
            <w:r w:rsidRPr="006D2F6B">
              <w:rPr>
                <w:b/>
              </w:rPr>
              <w:t>Year 4</w:t>
            </w:r>
          </w:p>
        </w:tc>
        <w:tc>
          <w:tcPr>
            <w:tcW w:w="791" w:type="dxa"/>
            <w:shd w:val="clear" w:color="auto" w:fill="auto"/>
          </w:tcPr>
          <w:p w14:paraId="19AF9268" w14:textId="77777777" w:rsidR="00EB70CE" w:rsidRPr="006D2F6B" w:rsidRDefault="00EB70CE" w:rsidP="00D62806">
            <w:pPr>
              <w:jc w:val="center"/>
              <w:rPr>
                <w:b/>
              </w:rPr>
            </w:pPr>
            <w:r w:rsidRPr="006D2F6B">
              <w:rPr>
                <w:b/>
              </w:rPr>
              <w:t>Year 5</w:t>
            </w:r>
          </w:p>
        </w:tc>
      </w:tr>
      <w:tr w:rsidR="00EB70CE" w14:paraId="4EC19728" w14:textId="77777777" w:rsidTr="00DA2368">
        <w:trPr>
          <w:jc w:val="center"/>
        </w:trPr>
        <w:tc>
          <w:tcPr>
            <w:tcW w:w="5153" w:type="dxa"/>
            <w:shd w:val="clear" w:color="auto" w:fill="auto"/>
          </w:tcPr>
          <w:p w14:paraId="46A62A9D" w14:textId="77777777" w:rsidR="00C46288" w:rsidRPr="00F24CC5" w:rsidRDefault="00C46288" w:rsidP="00C46288">
            <w:pPr>
              <w:pStyle w:val="BodyText"/>
              <w:numPr>
                <w:ilvl w:val="0"/>
                <w:numId w:val="28"/>
              </w:numPr>
            </w:pPr>
            <w:r>
              <w:rPr>
                <w:rFonts w:ascii="Calibri" w:hAnsi="Calibri" w:cs="Calibri"/>
                <w:color w:val="000000"/>
              </w:rPr>
              <w:t>85% or more of our students agree or strongly agree that teachers encourage academic emphasis at the school.</w:t>
            </w:r>
          </w:p>
          <w:p w14:paraId="5E6101F3" w14:textId="027A5DD8" w:rsidR="00EB70CE" w:rsidRPr="006D2F6B" w:rsidRDefault="00EB70CE" w:rsidP="00256DA8">
            <w:pPr>
              <w:pStyle w:val="ListBullet"/>
              <w:numPr>
                <w:ilvl w:val="0"/>
                <w:numId w:val="0"/>
              </w:numPr>
            </w:pPr>
          </w:p>
        </w:tc>
        <w:tc>
          <w:tcPr>
            <w:tcW w:w="790" w:type="dxa"/>
            <w:shd w:val="clear" w:color="auto" w:fill="auto"/>
          </w:tcPr>
          <w:p w14:paraId="19E445D1" w14:textId="53F268B2" w:rsidR="00EB70CE" w:rsidRDefault="00EB70CE" w:rsidP="00D62806"/>
          <w:p w14:paraId="4A94B040" w14:textId="78FD876D" w:rsidR="00522366" w:rsidRPr="006D2F6B" w:rsidRDefault="00522366" w:rsidP="00D62806">
            <w:r>
              <w:rPr>
                <w:rFonts w:ascii="Calibri" w:hAnsi="Calibri" w:cs="Calibri"/>
                <w:color w:val="000000"/>
              </w:rPr>
              <w:t>79%</w:t>
            </w:r>
          </w:p>
        </w:tc>
        <w:tc>
          <w:tcPr>
            <w:tcW w:w="790" w:type="dxa"/>
            <w:shd w:val="clear" w:color="auto" w:fill="auto"/>
          </w:tcPr>
          <w:p w14:paraId="453A7372" w14:textId="54C60A3D" w:rsidR="00EB70CE" w:rsidRPr="006D2F6B" w:rsidRDefault="00EB70CE" w:rsidP="00D62806"/>
        </w:tc>
        <w:tc>
          <w:tcPr>
            <w:tcW w:w="790" w:type="dxa"/>
            <w:shd w:val="clear" w:color="auto" w:fill="auto"/>
          </w:tcPr>
          <w:p w14:paraId="6E6BC157" w14:textId="1D8E2139" w:rsidR="00EB70CE" w:rsidRPr="006D2F6B" w:rsidRDefault="00EB70CE" w:rsidP="00D62806"/>
        </w:tc>
        <w:tc>
          <w:tcPr>
            <w:tcW w:w="790" w:type="dxa"/>
            <w:shd w:val="clear" w:color="auto" w:fill="auto"/>
          </w:tcPr>
          <w:p w14:paraId="36E51A25" w14:textId="709D49DE" w:rsidR="00EB70CE" w:rsidRPr="006D2F6B" w:rsidRDefault="00EB70CE" w:rsidP="00D62806"/>
        </w:tc>
        <w:tc>
          <w:tcPr>
            <w:tcW w:w="790" w:type="dxa"/>
            <w:shd w:val="clear" w:color="auto" w:fill="auto"/>
          </w:tcPr>
          <w:p w14:paraId="0E28DAE1" w14:textId="77777777" w:rsidR="00EB70CE" w:rsidRPr="006D2F6B" w:rsidRDefault="00EB70CE" w:rsidP="00D62806"/>
        </w:tc>
        <w:tc>
          <w:tcPr>
            <w:tcW w:w="791" w:type="dxa"/>
            <w:shd w:val="clear" w:color="auto" w:fill="auto"/>
          </w:tcPr>
          <w:p w14:paraId="5061B09F" w14:textId="77777777" w:rsidR="00EB70CE" w:rsidRPr="006D2F6B" w:rsidRDefault="00EB70CE" w:rsidP="00D62806"/>
        </w:tc>
      </w:tr>
      <w:tr w:rsidR="00EB70CE" w14:paraId="5C83E2A4" w14:textId="77777777" w:rsidTr="00DA2368">
        <w:trPr>
          <w:jc w:val="center"/>
        </w:trPr>
        <w:tc>
          <w:tcPr>
            <w:tcW w:w="5153" w:type="dxa"/>
            <w:shd w:val="clear" w:color="auto" w:fill="auto"/>
          </w:tcPr>
          <w:p w14:paraId="7533DECB" w14:textId="77777777" w:rsidR="00AD2336" w:rsidRPr="00F24CC5" w:rsidRDefault="00AD2336" w:rsidP="00AD2336">
            <w:pPr>
              <w:pStyle w:val="BodyText"/>
              <w:numPr>
                <w:ilvl w:val="0"/>
                <w:numId w:val="28"/>
              </w:numPr>
            </w:pPr>
            <w:r>
              <w:rPr>
                <w:rFonts w:ascii="Calibri" w:hAnsi="Calibri" w:cs="Calibri"/>
                <w:color w:val="000000"/>
              </w:rPr>
              <w:t>86% or more of our students agree or strongly agree that they receive the support they need from their home environment to allow them to engage fully with their learning at school.</w:t>
            </w:r>
          </w:p>
          <w:p w14:paraId="73D0B9BD" w14:textId="5D27B266" w:rsidR="00EB70CE" w:rsidRPr="006D2F6B" w:rsidRDefault="00EB70CE" w:rsidP="00256DA8">
            <w:pPr>
              <w:pStyle w:val="ListBullet"/>
              <w:numPr>
                <w:ilvl w:val="0"/>
                <w:numId w:val="0"/>
              </w:numPr>
            </w:pPr>
          </w:p>
        </w:tc>
        <w:tc>
          <w:tcPr>
            <w:tcW w:w="790" w:type="dxa"/>
            <w:shd w:val="clear" w:color="auto" w:fill="auto"/>
          </w:tcPr>
          <w:p w14:paraId="29726A31" w14:textId="2893412D" w:rsidR="00EB70CE" w:rsidRPr="006D2F6B" w:rsidRDefault="0014530F" w:rsidP="00D62806">
            <w:r>
              <w:rPr>
                <w:rFonts w:ascii="Calibri" w:hAnsi="Calibri" w:cs="Calibri"/>
                <w:color w:val="000000"/>
              </w:rPr>
              <w:lastRenderedPageBreak/>
              <w:t>82%</w:t>
            </w:r>
          </w:p>
        </w:tc>
        <w:tc>
          <w:tcPr>
            <w:tcW w:w="790" w:type="dxa"/>
            <w:shd w:val="clear" w:color="auto" w:fill="auto"/>
          </w:tcPr>
          <w:p w14:paraId="2560AE3F" w14:textId="5560FB25" w:rsidR="00EB70CE" w:rsidRPr="006D2F6B" w:rsidRDefault="00342C15" w:rsidP="00D62806">
            <w:r>
              <w:t>8</w:t>
            </w:r>
            <w:r w:rsidR="00B93FCA">
              <w:t>3.5</w:t>
            </w:r>
            <w:r>
              <w:t>%</w:t>
            </w:r>
          </w:p>
        </w:tc>
        <w:tc>
          <w:tcPr>
            <w:tcW w:w="790" w:type="dxa"/>
            <w:shd w:val="clear" w:color="auto" w:fill="auto"/>
          </w:tcPr>
          <w:p w14:paraId="09097591" w14:textId="197F20E6" w:rsidR="00EB70CE" w:rsidRPr="006D2F6B" w:rsidRDefault="00342C15" w:rsidP="00D62806">
            <w:r>
              <w:t>100%</w:t>
            </w:r>
          </w:p>
        </w:tc>
        <w:tc>
          <w:tcPr>
            <w:tcW w:w="790" w:type="dxa"/>
            <w:shd w:val="clear" w:color="auto" w:fill="auto"/>
          </w:tcPr>
          <w:p w14:paraId="4AEFE483" w14:textId="520E928C" w:rsidR="00EB70CE" w:rsidRPr="006D2F6B" w:rsidRDefault="00B93FCA" w:rsidP="00D62806">
            <w:r>
              <w:t>97.1%</w:t>
            </w:r>
          </w:p>
        </w:tc>
        <w:tc>
          <w:tcPr>
            <w:tcW w:w="790" w:type="dxa"/>
            <w:shd w:val="clear" w:color="auto" w:fill="auto"/>
          </w:tcPr>
          <w:p w14:paraId="701E4F34" w14:textId="77777777" w:rsidR="00EB70CE" w:rsidRPr="006D2F6B" w:rsidRDefault="00EB70CE" w:rsidP="00D62806"/>
        </w:tc>
        <w:tc>
          <w:tcPr>
            <w:tcW w:w="791" w:type="dxa"/>
            <w:shd w:val="clear" w:color="auto" w:fill="auto"/>
          </w:tcPr>
          <w:p w14:paraId="55D16105" w14:textId="77777777" w:rsidR="00EB70CE" w:rsidRPr="006D2F6B" w:rsidRDefault="00EB70CE" w:rsidP="00D62806"/>
        </w:tc>
      </w:tr>
      <w:tr w:rsidR="00256DA8" w14:paraId="477C773F" w14:textId="77777777" w:rsidTr="00DA2368">
        <w:trPr>
          <w:trHeight w:val="292"/>
          <w:jc w:val="center"/>
        </w:trPr>
        <w:tc>
          <w:tcPr>
            <w:tcW w:w="5153" w:type="dxa"/>
            <w:shd w:val="clear" w:color="auto" w:fill="auto"/>
          </w:tcPr>
          <w:p w14:paraId="082A895D" w14:textId="77777777" w:rsidR="00AD2336" w:rsidRDefault="00AD2336" w:rsidP="00AD2336">
            <w:pPr>
              <w:pStyle w:val="BodyText"/>
              <w:numPr>
                <w:ilvl w:val="0"/>
                <w:numId w:val="28"/>
              </w:numPr>
            </w:pPr>
            <w:r>
              <w:rPr>
                <w:rFonts w:ascii="Calibri" w:hAnsi="Calibri" w:cs="Calibri"/>
                <w:color w:val="000000"/>
              </w:rPr>
              <w:t>75% or more of our students agree or strongly agree that</w:t>
            </w:r>
            <w:r>
              <w:rPr>
                <w:rFonts w:ascii="Calibri" w:hAnsi="Calibri" w:cs="Calibri"/>
                <w:color w:val="000000"/>
                <w:sz w:val="20"/>
                <w:szCs w:val="20"/>
              </w:rPr>
              <w:t xml:space="preserve"> </w:t>
            </w:r>
            <w:r>
              <w:rPr>
                <w:rFonts w:ascii="Calibri" w:hAnsi="Calibri" w:cs="Calibri"/>
                <w:color w:val="000000"/>
                <w:shd w:val="clear" w:color="auto" w:fill="FFFFFF"/>
              </w:rPr>
              <w:t>students care about and are friendly to each other.</w:t>
            </w:r>
          </w:p>
          <w:p w14:paraId="3F39F002" w14:textId="67D3CCD8" w:rsidR="00256DA8" w:rsidRPr="00256DA8" w:rsidRDefault="00256DA8" w:rsidP="00256DA8">
            <w:pPr>
              <w:pStyle w:val="ListBullet"/>
              <w:numPr>
                <w:ilvl w:val="0"/>
                <w:numId w:val="0"/>
              </w:numPr>
            </w:pPr>
          </w:p>
        </w:tc>
        <w:tc>
          <w:tcPr>
            <w:tcW w:w="790" w:type="dxa"/>
            <w:shd w:val="clear" w:color="auto" w:fill="auto"/>
          </w:tcPr>
          <w:p w14:paraId="2CB94C4D" w14:textId="75B509A6" w:rsidR="00256DA8" w:rsidRPr="006D2F6B" w:rsidRDefault="00B00542" w:rsidP="00D62806">
            <w:r>
              <w:rPr>
                <w:rFonts w:ascii="Calibri" w:hAnsi="Calibri" w:cs="Calibri"/>
                <w:color w:val="000000"/>
              </w:rPr>
              <w:t>48%</w:t>
            </w:r>
          </w:p>
        </w:tc>
        <w:tc>
          <w:tcPr>
            <w:tcW w:w="790" w:type="dxa"/>
            <w:shd w:val="clear" w:color="auto" w:fill="auto"/>
          </w:tcPr>
          <w:p w14:paraId="5BB0FC10" w14:textId="5FEEC95A" w:rsidR="00256DA8" w:rsidRPr="006D2F6B" w:rsidRDefault="00256DA8" w:rsidP="00D62806"/>
        </w:tc>
        <w:tc>
          <w:tcPr>
            <w:tcW w:w="790" w:type="dxa"/>
            <w:shd w:val="clear" w:color="auto" w:fill="auto"/>
          </w:tcPr>
          <w:p w14:paraId="2FC2E6B4" w14:textId="4E0C8390" w:rsidR="00256DA8" w:rsidRPr="006D2F6B" w:rsidRDefault="00256DA8" w:rsidP="00D62806"/>
        </w:tc>
        <w:tc>
          <w:tcPr>
            <w:tcW w:w="790" w:type="dxa"/>
            <w:shd w:val="clear" w:color="auto" w:fill="auto"/>
          </w:tcPr>
          <w:p w14:paraId="631948A7" w14:textId="511FFDF5" w:rsidR="00256DA8" w:rsidRPr="006D2F6B" w:rsidRDefault="00256DA8" w:rsidP="00D62806"/>
        </w:tc>
        <w:tc>
          <w:tcPr>
            <w:tcW w:w="790" w:type="dxa"/>
            <w:shd w:val="clear" w:color="auto" w:fill="auto"/>
          </w:tcPr>
          <w:p w14:paraId="5C051086" w14:textId="77777777" w:rsidR="00256DA8" w:rsidRPr="006D2F6B" w:rsidRDefault="00256DA8" w:rsidP="00D62806"/>
        </w:tc>
        <w:tc>
          <w:tcPr>
            <w:tcW w:w="791" w:type="dxa"/>
            <w:shd w:val="clear" w:color="auto" w:fill="auto"/>
          </w:tcPr>
          <w:p w14:paraId="4957C70F" w14:textId="77777777" w:rsidR="00256DA8" w:rsidRPr="006D2F6B" w:rsidRDefault="00256DA8" w:rsidP="00D62806"/>
        </w:tc>
      </w:tr>
    </w:tbl>
    <w:p w14:paraId="6AA8C18D" w14:textId="77777777" w:rsidR="00EB70CE" w:rsidRDefault="00EB70CE" w:rsidP="00EB70CE">
      <w:pPr>
        <w:pStyle w:val="BodyText"/>
      </w:pPr>
    </w:p>
    <w:p w14:paraId="67162B3E" w14:textId="77777777"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D62806">
        <w:trPr>
          <w:trHeight w:val="401"/>
          <w:jc w:val="center"/>
        </w:trPr>
        <w:tc>
          <w:tcPr>
            <w:tcW w:w="9016" w:type="dxa"/>
            <w:shd w:val="clear" w:color="auto" w:fill="auto"/>
          </w:tcPr>
          <w:p w14:paraId="5885CE60" w14:textId="7E23B619" w:rsidR="00EB70CE" w:rsidRPr="00DA2368" w:rsidRDefault="00EB70CE" w:rsidP="00E74F14">
            <w:pPr>
              <w:pStyle w:val="PlainText"/>
              <w:numPr>
                <w:ilvl w:val="0"/>
                <w:numId w:val="1"/>
              </w:numPr>
              <w:ind w:left="426" w:hanging="425"/>
              <w:rPr>
                <w:sz w:val="24"/>
                <w:szCs w:val="24"/>
              </w:rPr>
            </w:pPr>
            <w:r w:rsidRPr="00DA2368">
              <w:rPr>
                <w:sz w:val="24"/>
                <w:szCs w:val="24"/>
              </w:rPr>
              <w:t>What does this evidence indicate about your school’s progress towards your five-year targets?</w:t>
            </w:r>
          </w:p>
          <w:p w14:paraId="3B0DE1C8" w14:textId="77777777" w:rsidR="00812E02" w:rsidRPr="00DA2368" w:rsidRDefault="00812E02" w:rsidP="00812E02">
            <w:pPr>
              <w:pStyle w:val="PlainText"/>
              <w:ind w:left="426"/>
              <w:rPr>
                <w:sz w:val="24"/>
                <w:szCs w:val="24"/>
              </w:rPr>
            </w:pPr>
          </w:p>
          <w:p w14:paraId="5015B912" w14:textId="6C77ADFD" w:rsidR="00812E02" w:rsidRPr="00DA2368" w:rsidRDefault="00812E02" w:rsidP="00812E02">
            <w:pPr>
              <w:pStyle w:val="PlainText"/>
              <w:ind w:left="1"/>
              <w:rPr>
                <w:sz w:val="24"/>
                <w:szCs w:val="24"/>
              </w:rPr>
            </w:pPr>
            <w:r w:rsidRPr="00DA2368">
              <w:rPr>
                <w:sz w:val="24"/>
                <w:szCs w:val="24"/>
              </w:rPr>
              <w:t xml:space="preserve">This evidence indicates that there has been a significant shift upwards in staff perception about student safety at the school. It suggests efforts to </w:t>
            </w:r>
            <w:r w:rsidR="001E158A" w:rsidRPr="00DA2368">
              <w:rPr>
                <w:sz w:val="24"/>
                <w:szCs w:val="24"/>
              </w:rPr>
              <w:t xml:space="preserve">work with students and their families is having impact, along with our values and </w:t>
            </w:r>
            <w:r w:rsidR="00CD70A2" w:rsidRPr="00DA2368">
              <w:rPr>
                <w:sz w:val="24"/>
                <w:szCs w:val="24"/>
              </w:rPr>
              <w:t>PBL</w:t>
            </w:r>
            <w:r w:rsidR="001E158A" w:rsidRPr="00DA2368">
              <w:rPr>
                <w:sz w:val="24"/>
                <w:szCs w:val="24"/>
              </w:rPr>
              <w:t xml:space="preserve"> programs. The evidence indicates that student perception data has still not reached the five-year target of 8</w:t>
            </w:r>
            <w:r w:rsidR="00CD70A2" w:rsidRPr="00DA2368">
              <w:rPr>
                <w:sz w:val="24"/>
                <w:szCs w:val="24"/>
              </w:rPr>
              <w:t>5</w:t>
            </w:r>
            <w:r w:rsidR="001E158A" w:rsidRPr="00DA2368">
              <w:rPr>
                <w:sz w:val="24"/>
                <w:szCs w:val="24"/>
              </w:rPr>
              <w:t xml:space="preserve">% of students are satisfied that they feel safe at school. </w:t>
            </w:r>
          </w:p>
          <w:p w14:paraId="4F10E180" w14:textId="77777777" w:rsidR="00812E02" w:rsidRPr="00DA2368" w:rsidRDefault="00812E02" w:rsidP="00812E02">
            <w:pPr>
              <w:pStyle w:val="PlainText"/>
              <w:ind w:left="1"/>
              <w:rPr>
                <w:sz w:val="24"/>
                <w:szCs w:val="24"/>
              </w:rPr>
            </w:pPr>
          </w:p>
          <w:p w14:paraId="204B2573" w14:textId="157A055F" w:rsidR="00EB70CE" w:rsidRPr="00DA2368" w:rsidRDefault="00EB70CE" w:rsidP="00E74F14">
            <w:pPr>
              <w:pStyle w:val="PlainText"/>
              <w:numPr>
                <w:ilvl w:val="0"/>
                <w:numId w:val="1"/>
              </w:numPr>
              <w:ind w:left="426" w:hanging="425"/>
              <w:rPr>
                <w:sz w:val="24"/>
                <w:szCs w:val="24"/>
              </w:rPr>
            </w:pPr>
            <w:r w:rsidRPr="00DA2368">
              <w:rPr>
                <w:sz w:val="24"/>
                <w:szCs w:val="24"/>
              </w:rPr>
              <w:t>Have any of your data sources changed over time? If so, why?</w:t>
            </w:r>
          </w:p>
          <w:p w14:paraId="052CD9CB" w14:textId="24ABF0C7" w:rsidR="001E158A" w:rsidRPr="00DA2368" w:rsidRDefault="001E158A" w:rsidP="001E158A">
            <w:pPr>
              <w:pStyle w:val="PlainText"/>
              <w:ind w:left="1"/>
              <w:rPr>
                <w:sz w:val="24"/>
                <w:szCs w:val="24"/>
              </w:rPr>
            </w:pPr>
          </w:p>
          <w:p w14:paraId="7340C653" w14:textId="4D5BD13B" w:rsidR="001E158A" w:rsidRPr="00DA2368" w:rsidRDefault="001E158A" w:rsidP="001E158A">
            <w:pPr>
              <w:pStyle w:val="PlainText"/>
              <w:ind w:left="1"/>
              <w:rPr>
                <w:sz w:val="24"/>
                <w:szCs w:val="24"/>
              </w:rPr>
            </w:pPr>
            <w:r w:rsidRPr="00DA2368">
              <w:rPr>
                <w:sz w:val="24"/>
                <w:szCs w:val="24"/>
              </w:rPr>
              <w:t>The school’s data sources have not changed over the past twelve months.</w:t>
            </w:r>
          </w:p>
          <w:p w14:paraId="56769F19" w14:textId="77777777" w:rsidR="001E158A" w:rsidRPr="00DA2368" w:rsidRDefault="001E158A" w:rsidP="001E158A">
            <w:pPr>
              <w:pStyle w:val="PlainText"/>
              <w:ind w:left="1"/>
              <w:rPr>
                <w:sz w:val="24"/>
                <w:szCs w:val="24"/>
              </w:rPr>
            </w:pPr>
          </w:p>
          <w:p w14:paraId="7D110CA1" w14:textId="465AB9E5" w:rsidR="00EB70CE" w:rsidRPr="00DA2368" w:rsidRDefault="00EB70CE" w:rsidP="00E74F14">
            <w:pPr>
              <w:pStyle w:val="PlainText"/>
              <w:numPr>
                <w:ilvl w:val="0"/>
                <w:numId w:val="1"/>
              </w:numPr>
              <w:ind w:left="426" w:hanging="425"/>
              <w:rPr>
                <w:sz w:val="24"/>
                <w:szCs w:val="24"/>
              </w:rPr>
            </w:pPr>
            <w:r w:rsidRPr="00DA2368">
              <w:rPr>
                <w:sz w:val="24"/>
                <w:szCs w:val="24"/>
              </w:rPr>
              <w:t xml:space="preserve">What implications does this evidence have for your next </w:t>
            </w:r>
            <w:r w:rsidR="00D62806" w:rsidRPr="00DA2368">
              <w:rPr>
                <w:sz w:val="24"/>
                <w:szCs w:val="24"/>
              </w:rPr>
              <w:t>Action Plan</w:t>
            </w:r>
            <w:r w:rsidRPr="00DA2368">
              <w:rPr>
                <w:sz w:val="24"/>
                <w:szCs w:val="24"/>
              </w:rPr>
              <w:t>?</w:t>
            </w:r>
          </w:p>
          <w:p w14:paraId="3582F0FB" w14:textId="77777777" w:rsidR="001E158A" w:rsidRPr="00DA2368" w:rsidRDefault="001E158A" w:rsidP="001E158A">
            <w:pPr>
              <w:pStyle w:val="PlainText"/>
              <w:rPr>
                <w:sz w:val="24"/>
                <w:szCs w:val="24"/>
              </w:rPr>
            </w:pPr>
          </w:p>
          <w:p w14:paraId="7DE867D1" w14:textId="30FF2C88" w:rsidR="001E158A" w:rsidRDefault="001E158A" w:rsidP="001E158A">
            <w:pPr>
              <w:pStyle w:val="PlainText"/>
            </w:pPr>
            <w:r w:rsidRPr="00DA2368">
              <w:rPr>
                <w:sz w:val="24"/>
                <w:szCs w:val="24"/>
              </w:rPr>
              <w:t>The next Action Plan will need to address community partnerships in a more explicit manner.</w:t>
            </w:r>
          </w:p>
        </w:tc>
      </w:tr>
    </w:tbl>
    <w:p w14:paraId="579EE3F1" w14:textId="77777777" w:rsidR="005C7432" w:rsidRDefault="005C7432" w:rsidP="005C7432">
      <w:pPr>
        <w:pStyle w:val="BodyText"/>
      </w:pPr>
    </w:p>
    <w:p w14:paraId="49A66F64" w14:textId="572BE907" w:rsidR="005611F4" w:rsidRPr="005611F4" w:rsidRDefault="00DA09ED" w:rsidP="00C10A7A">
      <w:pPr>
        <w:pStyle w:val="Heading3"/>
      </w:pPr>
      <w:r w:rsidRPr="00FA6A61">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0F24A946" w14:textId="583FBD5C" w:rsidR="00DE042E" w:rsidRPr="00DA2368" w:rsidRDefault="005D3BF4">
            <w:pPr>
              <w:pStyle w:val="ListBullet2"/>
              <w:rPr>
                <w:rFonts w:ascii="Calibri" w:hAnsi="Calibri" w:cs="Calibri"/>
                <w:b/>
                <w:bCs/>
                <w:color w:val="000000"/>
                <w:sz w:val="24"/>
                <w:szCs w:val="24"/>
              </w:rPr>
            </w:pPr>
            <w:r w:rsidRPr="00DA2368">
              <w:rPr>
                <w:rFonts w:ascii="Calibri" w:hAnsi="Calibri" w:cs="Calibri"/>
                <w:b/>
                <w:bCs/>
                <w:color w:val="000000"/>
                <w:sz w:val="24"/>
                <w:szCs w:val="24"/>
              </w:rPr>
              <w:t>Strategy 5</w:t>
            </w:r>
            <w:r w:rsidRPr="00DA2368">
              <w:rPr>
                <w:rFonts w:ascii="Calibri" w:hAnsi="Calibri" w:cs="Calibri"/>
                <w:b/>
                <w:bCs/>
                <w:color w:val="000000"/>
                <w:sz w:val="24"/>
                <w:szCs w:val="24"/>
                <w:shd w:val="clear" w:color="auto" w:fill="FFFFFF"/>
              </w:rPr>
              <w:t xml:space="preserve">: </w:t>
            </w:r>
            <w:r w:rsidRPr="00DA2368">
              <w:rPr>
                <w:rFonts w:ascii="Calibri" w:hAnsi="Calibri" w:cs="Calibri"/>
                <w:color w:val="000000"/>
                <w:sz w:val="24"/>
                <w:szCs w:val="24"/>
              </w:rPr>
              <w:t>Enact a common understanding and approach for promoting positive learning at CDS.</w:t>
            </w:r>
          </w:p>
          <w:p w14:paraId="721B367D" w14:textId="6739E2D1" w:rsidR="00DE042E" w:rsidRPr="00DA2368" w:rsidRDefault="00DE042E" w:rsidP="00DE042E">
            <w:pPr>
              <w:pStyle w:val="ListBullet2"/>
              <w:numPr>
                <w:ilvl w:val="0"/>
                <w:numId w:val="28"/>
              </w:numPr>
              <w:rPr>
                <w:sz w:val="24"/>
                <w:szCs w:val="24"/>
              </w:rPr>
            </w:pPr>
            <w:r w:rsidRPr="00DA2368">
              <w:rPr>
                <w:sz w:val="24"/>
                <w:szCs w:val="24"/>
              </w:rPr>
              <w:t>Inquiry PL throughout the year in staff meeting and through book club professional readings.</w:t>
            </w:r>
          </w:p>
          <w:p w14:paraId="32BF5D7B" w14:textId="4455CA77" w:rsidR="00431623" w:rsidRPr="00DA2368" w:rsidRDefault="00431623" w:rsidP="00DE042E">
            <w:pPr>
              <w:pStyle w:val="ListBullet2"/>
              <w:numPr>
                <w:ilvl w:val="0"/>
                <w:numId w:val="28"/>
              </w:numPr>
              <w:rPr>
                <w:sz w:val="24"/>
                <w:szCs w:val="24"/>
              </w:rPr>
            </w:pPr>
            <w:r w:rsidRPr="00DA2368">
              <w:rPr>
                <w:sz w:val="24"/>
                <w:szCs w:val="24"/>
              </w:rPr>
              <w:t xml:space="preserve">Friendly Schools plus </w:t>
            </w:r>
            <w:r w:rsidR="003E66EC" w:rsidRPr="00DA2368">
              <w:rPr>
                <w:sz w:val="24"/>
                <w:szCs w:val="24"/>
              </w:rPr>
              <w:t xml:space="preserve">scope and sequence trilled in years K, 1/ </w:t>
            </w:r>
            <w:proofErr w:type="gramStart"/>
            <w:r w:rsidR="003E66EC" w:rsidRPr="00DA2368">
              <w:rPr>
                <w:sz w:val="24"/>
                <w:szCs w:val="24"/>
              </w:rPr>
              <w:t>2</w:t>
            </w:r>
            <w:proofErr w:type="gramEnd"/>
            <w:r w:rsidR="003E66EC" w:rsidRPr="00DA2368">
              <w:rPr>
                <w:sz w:val="24"/>
                <w:szCs w:val="24"/>
              </w:rPr>
              <w:t xml:space="preserve"> and years 3/ 4.</w:t>
            </w:r>
          </w:p>
          <w:p w14:paraId="2A451378" w14:textId="6FC68F7D" w:rsidR="00246EED" w:rsidRPr="00DA2368" w:rsidRDefault="00246EED" w:rsidP="00DE042E">
            <w:pPr>
              <w:pStyle w:val="ListBullet2"/>
              <w:numPr>
                <w:ilvl w:val="0"/>
                <w:numId w:val="28"/>
              </w:numPr>
              <w:rPr>
                <w:sz w:val="24"/>
                <w:szCs w:val="24"/>
              </w:rPr>
            </w:pPr>
            <w:r w:rsidRPr="00DA2368">
              <w:rPr>
                <w:sz w:val="24"/>
                <w:szCs w:val="24"/>
              </w:rPr>
              <w:t>Parent literacy and numeracy workshops.</w:t>
            </w:r>
          </w:p>
          <w:p w14:paraId="2F7BA9D2" w14:textId="2B8A3D76" w:rsidR="003B62B1" w:rsidRPr="00DA2368" w:rsidRDefault="003B62B1" w:rsidP="00DE042E">
            <w:pPr>
              <w:pStyle w:val="ListBullet2"/>
              <w:numPr>
                <w:ilvl w:val="0"/>
                <w:numId w:val="28"/>
              </w:numPr>
              <w:rPr>
                <w:sz w:val="24"/>
                <w:szCs w:val="24"/>
              </w:rPr>
            </w:pPr>
            <w:r w:rsidRPr="00DA2368">
              <w:rPr>
                <w:sz w:val="24"/>
                <w:szCs w:val="24"/>
              </w:rPr>
              <w:t>PBL review of processes and PL for staff.</w:t>
            </w:r>
          </w:p>
          <w:p w14:paraId="71649CF3" w14:textId="75DFED93" w:rsidR="003B62B1" w:rsidRPr="00DA2368" w:rsidRDefault="007D764B" w:rsidP="00DA2368">
            <w:pPr>
              <w:pStyle w:val="ListBullet2"/>
              <w:numPr>
                <w:ilvl w:val="0"/>
                <w:numId w:val="28"/>
              </w:numPr>
              <w:rPr>
                <w:sz w:val="24"/>
                <w:szCs w:val="24"/>
              </w:rPr>
            </w:pPr>
            <w:r>
              <w:rPr>
                <w:sz w:val="24"/>
                <w:szCs w:val="24"/>
              </w:rPr>
              <w:t xml:space="preserve">External agencies involved: Companion House, </w:t>
            </w:r>
            <w:r w:rsidR="00B70004">
              <w:rPr>
                <w:sz w:val="24"/>
                <w:szCs w:val="24"/>
              </w:rPr>
              <w:t>CCC (Capital Region Community Service).</w:t>
            </w:r>
          </w:p>
          <w:p w14:paraId="5EC3133F" w14:textId="54978B84" w:rsidR="00B93FCA" w:rsidRPr="00DA2368" w:rsidRDefault="00B93FCA" w:rsidP="00DA2368">
            <w:pPr>
              <w:pStyle w:val="ListBullet2"/>
              <w:rPr>
                <w:sz w:val="24"/>
                <w:szCs w:val="24"/>
              </w:rPr>
            </w:pPr>
          </w:p>
          <w:p w14:paraId="5F090938" w14:textId="77777777" w:rsidR="00B93FCA" w:rsidRPr="00DA2368" w:rsidRDefault="00B93FCA" w:rsidP="00B93FCA">
            <w:pPr>
              <w:pStyle w:val="ListBullet2"/>
              <w:ind w:left="1080"/>
              <w:rPr>
                <w:b/>
                <w:bCs/>
                <w:sz w:val="24"/>
                <w:szCs w:val="24"/>
              </w:rPr>
            </w:pPr>
          </w:p>
          <w:p w14:paraId="4A753D08" w14:textId="575349E8" w:rsidR="00246EED" w:rsidRPr="00DA2368" w:rsidRDefault="0016677D" w:rsidP="00B93FCA">
            <w:pPr>
              <w:pStyle w:val="ListBullet2"/>
              <w:rPr>
                <w:rFonts w:ascii="Calibri" w:hAnsi="Calibri" w:cs="Calibri"/>
                <w:color w:val="000000"/>
                <w:sz w:val="24"/>
                <w:szCs w:val="24"/>
              </w:rPr>
            </w:pPr>
            <w:r w:rsidRPr="00DA2368">
              <w:rPr>
                <w:rFonts w:ascii="Calibri" w:hAnsi="Calibri" w:cs="Calibri"/>
                <w:b/>
                <w:bCs/>
                <w:color w:val="000000"/>
                <w:sz w:val="24"/>
                <w:szCs w:val="24"/>
              </w:rPr>
              <w:t>Strategy 6</w:t>
            </w:r>
            <w:r w:rsidRPr="00DA2368">
              <w:rPr>
                <w:rFonts w:ascii="Calibri" w:hAnsi="Calibri" w:cs="Calibri"/>
                <w:b/>
                <w:bCs/>
                <w:color w:val="000000"/>
                <w:sz w:val="24"/>
                <w:szCs w:val="24"/>
                <w:shd w:val="clear" w:color="auto" w:fill="FFFFFF"/>
              </w:rPr>
              <w:t xml:space="preserve">: </w:t>
            </w:r>
            <w:r w:rsidRPr="00DA2368">
              <w:rPr>
                <w:rFonts w:ascii="Calibri" w:hAnsi="Calibri" w:cs="Calibri"/>
                <w:color w:val="000000"/>
                <w:sz w:val="24"/>
                <w:szCs w:val="24"/>
              </w:rPr>
              <w:t>Offer creative opportunities to the community to engage in their child's learning, developing strong partnerships with the school.</w:t>
            </w:r>
          </w:p>
          <w:p w14:paraId="0A86A48E" w14:textId="20013125" w:rsidR="00246EED" w:rsidRPr="00DA2368" w:rsidRDefault="00246EED" w:rsidP="00246EED">
            <w:pPr>
              <w:pStyle w:val="ListBullet2"/>
              <w:numPr>
                <w:ilvl w:val="0"/>
                <w:numId w:val="36"/>
              </w:numPr>
              <w:rPr>
                <w:rFonts w:ascii="Calibri" w:hAnsi="Calibri" w:cs="Calibri"/>
                <w:color w:val="000000"/>
                <w:sz w:val="24"/>
                <w:szCs w:val="24"/>
              </w:rPr>
            </w:pPr>
            <w:r w:rsidRPr="00DA2368">
              <w:rPr>
                <w:rFonts w:ascii="Calibri" w:hAnsi="Calibri" w:cs="Calibri"/>
                <w:color w:val="000000"/>
                <w:sz w:val="24"/>
                <w:szCs w:val="24"/>
              </w:rPr>
              <w:t xml:space="preserve">Parent workshops </w:t>
            </w:r>
            <w:r w:rsidR="0001108F" w:rsidRPr="00DA2368">
              <w:rPr>
                <w:rFonts w:ascii="Calibri" w:hAnsi="Calibri" w:cs="Calibri"/>
                <w:color w:val="000000"/>
                <w:sz w:val="24"/>
                <w:szCs w:val="24"/>
              </w:rPr>
              <w:t>in helping your child with literacy and numeracy development.</w:t>
            </w:r>
          </w:p>
          <w:p w14:paraId="422CE53A" w14:textId="1F79D561" w:rsidR="00431623" w:rsidRDefault="003B62B1" w:rsidP="00B93FCA">
            <w:pPr>
              <w:pStyle w:val="ListBullet2"/>
              <w:numPr>
                <w:ilvl w:val="0"/>
                <w:numId w:val="36"/>
              </w:numPr>
              <w:rPr>
                <w:rFonts w:ascii="Calibri" w:hAnsi="Calibri" w:cs="Calibri"/>
                <w:color w:val="000000"/>
                <w:sz w:val="24"/>
                <w:szCs w:val="24"/>
              </w:rPr>
            </w:pPr>
            <w:r w:rsidRPr="00DA2368">
              <w:rPr>
                <w:rFonts w:ascii="Calibri" w:hAnsi="Calibri" w:cs="Calibri"/>
                <w:color w:val="000000"/>
                <w:sz w:val="24"/>
                <w:szCs w:val="24"/>
              </w:rPr>
              <w:t>Yarning circle opening and community gathering</w:t>
            </w:r>
          </w:p>
          <w:p w14:paraId="1FFBB026" w14:textId="2CB4A410" w:rsidR="00826FD9" w:rsidRPr="00DA2368" w:rsidRDefault="00826FD9" w:rsidP="00DA2368">
            <w:pPr>
              <w:pStyle w:val="ListBullet2"/>
              <w:numPr>
                <w:ilvl w:val="0"/>
                <w:numId w:val="36"/>
              </w:numPr>
              <w:rPr>
                <w:rFonts w:ascii="Calibri" w:hAnsi="Calibri" w:cs="Calibri"/>
                <w:color w:val="000000"/>
                <w:sz w:val="24"/>
                <w:szCs w:val="24"/>
              </w:rPr>
            </w:pPr>
            <w:r>
              <w:rPr>
                <w:rFonts w:ascii="Calibri" w:hAnsi="Calibri" w:cs="Calibri"/>
                <w:color w:val="000000"/>
                <w:sz w:val="24"/>
                <w:szCs w:val="24"/>
              </w:rPr>
              <w:t>Families and volunteers invited into Community Reading CAFÉ when allowed.</w:t>
            </w:r>
          </w:p>
          <w:p w14:paraId="17AD83E4" w14:textId="77777777" w:rsidR="00431623" w:rsidRDefault="00431623" w:rsidP="00B93FCA">
            <w:pPr>
              <w:pStyle w:val="ListBullet2"/>
              <w:rPr>
                <w:b/>
                <w:bCs/>
              </w:rPr>
            </w:pPr>
          </w:p>
          <w:p w14:paraId="36206CED" w14:textId="6EC1A590" w:rsidR="00B93FCA" w:rsidRDefault="00B93FCA" w:rsidP="00DA2368">
            <w:pPr>
              <w:pStyle w:val="ListBullet2"/>
            </w:pPr>
          </w:p>
        </w:tc>
      </w:tr>
    </w:tbl>
    <w:p w14:paraId="294EE590" w14:textId="77777777" w:rsidR="0059350F" w:rsidRDefault="0059350F" w:rsidP="009B454E">
      <w:pPr>
        <w:pStyle w:val="BodyText"/>
      </w:pPr>
    </w:p>
    <w:p w14:paraId="54D8C6E2" w14:textId="4BCB9546" w:rsidR="005611F4" w:rsidRPr="005611F4" w:rsidRDefault="00DA09ED" w:rsidP="004A4435">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w:t>
      </w:r>
      <w:r w:rsidR="0016677D">
        <w:t xml:space="preserve"> 2022</w:t>
      </w:r>
      <w:r w:rsidR="00EA1B8A">
        <w:t xml:space="preserve">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D56F59">
        <w:trPr>
          <w:trHeight w:val="116"/>
          <w:jc w:val="center"/>
        </w:trPr>
        <w:tc>
          <w:tcPr>
            <w:tcW w:w="9016" w:type="dxa"/>
            <w:shd w:val="clear" w:color="auto" w:fill="auto"/>
          </w:tcPr>
          <w:p w14:paraId="4EF2E6E2" w14:textId="75A6B669" w:rsidR="00CE1F21" w:rsidRPr="00DA2368" w:rsidRDefault="00BA7E0B" w:rsidP="00DA2368">
            <w:pPr>
              <w:pStyle w:val="BodyText"/>
            </w:pPr>
            <w:r w:rsidRPr="00DA2368">
              <w:rPr>
                <w:bCs/>
              </w:rPr>
              <w:t>Due to COVID situation</w:t>
            </w:r>
            <w:r w:rsidR="003156C0">
              <w:t xml:space="preserve"> we will </w:t>
            </w:r>
            <w:r w:rsidR="005833F4">
              <w:t>plan the whole school planting day involving the family community in term 1 or 2 2022.</w:t>
            </w:r>
          </w:p>
          <w:p w14:paraId="1BBA8F0A" w14:textId="5C21B835" w:rsidR="0044047A" w:rsidRPr="00E74F14" w:rsidRDefault="00CE1F21" w:rsidP="00DA2368">
            <w:pPr>
              <w:pStyle w:val="BodyText"/>
              <w:numPr>
                <w:ilvl w:val="0"/>
                <w:numId w:val="26"/>
              </w:numPr>
              <w:rPr>
                <w:bCs/>
              </w:rPr>
            </w:pPr>
            <w:r>
              <w:t>We will invite families into more learning activities across the school once families are allowed back onsite.</w:t>
            </w:r>
          </w:p>
        </w:tc>
      </w:tr>
    </w:tbl>
    <w:p w14:paraId="41877BEA" w14:textId="77777777" w:rsidR="00557F65" w:rsidRDefault="00557F65" w:rsidP="009B454E">
      <w:pPr>
        <w:pStyle w:val="BodyText"/>
      </w:pPr>
    </w:p>
    <w:p w14:paraId="05A9A145" w14:textId="77777777" w:rsidR="00271528" w:rsidRPr="00557F65" w:rsidRDefault="00271528" w:rsidP="00E061B8">
      <w:pPr>
        <w:pStyle w:val="Heading2"/>
      </w:pPr>
      <w:r>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330CC8EA" w14:textId="77777777" w:rsidTr="00D56F59">
        <w:trPr>
          <w:trHeight w:val="76"/>
          <w:jc w:val="center"/>
        </w:trPr>
        <w:tc>
          <w:tcPr>
            <w:tcW w:w="9016" w:type="dxa"/>
            <w:shd w:val="clear" w:color="auto" w:fill="auto"/>
          </w:tcPr>
          <w:p w14:paraId="446D7340" w14:textId="0AC61D23" w:rsidR="007671A5" w:rsidRPr="00BB0014" w:rsidRDefault="007671A5" w:rsidP="007671A5">
            <w:pPr>
              <w:jc w:val="both"/>
              <w:rPr>
                <w:rFonts w:cstheme="minorHAnsi"/>
              </w:rPr>
            </w:pPr>
            <w:r>
              <w:rPr>
                <w:rFonts w:cstheme="minorHAnsi"/>
              </w:rPr>
              <w:t>In 20</w:t>
            </w:r>
            <w:r w:rsidR="00E74F14">
              <w:rPr>
                <w:rFonts w:cstheme="minorHAnsi"/>
              </w:rPr>
              <w:t>2</w:t>
            </w:r>
            <w:r w:rsidR="007658A1">
              <w:rPr>
                <w:rFonts w:cstheme="minorHAnsi"/>
              </w:rPr>
              <w:t>1</w:t>
            </w:r>
            <w:r>
              <w:rPr>
                <w:rFonts w:cstheme="minorHAnsi"/>
              </w:rPr>
              <w:t xml:space="preserve">, the school </w:t>
            </w:r>
            <w:r w:rsidR="00101F91">
              <w:rPr>
                <w:rFonts w:cstheme="minorHAnsi"/>
              </w:rPr>
              <w:t>focused</w:t>
            </w:r>
            <w:r w:rsidRPr="00BB0014">
              <w:rPr>
                <w:rFonts w:cstheme="minorHAnsi"/>
              </w:rPr>
              <w:t xml:space="preserve"> on the preschool </w:t>
            </w:r>
            <w:r w:rsidR="00101F91">
              <w:rPr>
                <w:rFonts w:cstheme="minorHAnsi"/>
              </w:rPr>
              <w:t xml:space="preserve">literacy </w:t>
            </w:r>
            <w:r w:rsidRPr="00BB0014">
              <w:rPr>
                <w:rFonts w:cstheme="minorHAnsi"/>
              </w:rPr>
              <w:t xml:space="preserve">pedagogy, </w:t>
            </w:r>
            <w:proofErr w:type="gramStart"/>
            <w:r w:rsidRPr="00BB0014">
              <w:rPr>
                <w:rFonts w:cstheme="minorHAnsi"/>
              </w:rPr>
              <w:t>practice</w:t>
            </w:r>
            <w:proofErr w:type="gramEnd"/>
            <w:r w:rsidRPr="00BB0014">
              <w:rPr>
                <w:rFonts w:cstheme="minorHAnsi"/>
              </w:rPr>
              <w:t xml:space="preserve"> and performance through regular reviews of our Quality Improvement Plan (QIP)</w:t>
            </w:r>
            <w:r w:rsidR="00101F91">
              <w:rPr>
                <w:rFonts w:cstheme="minorHAnsi"/>
              </w:rPr>
              <w:t xml:space="preserve"> and using the 10 ELPs</w:t>
            </w:r>
            <w:r w:rsidRPr="00BB0014">
              <w:rPr>
                <w:rFonts w:cstheme="minorHAnsi"/>
              </w:rPr>
              <w:t xml:space="preserve">, with the latest review taking place in term </w:t>
            </w:r>
            <w:r>
              <w:rPr>
                <w:rFonts w:cstheme="minorHAnsi"/>
              </w:rPr>
              <w:t>four</w:t>
            </w:r>
            <w:r w:rsidRPr="00BB0014">
              <w:rPr>
                <w:rFonts w:cstheme="minorHAnsi"/>
              </w:rPr>
              <w:t>, 20</w:t>
            </w:r>
            <w:r w:rsidR="00E74F14">
              <w:rPr>
                <w:rFonts w:cstheme="minorHAnsi"/>
              </w:rPr>
              <w:t>2</w:t>
            </w:r>
            <w:r w:rsidR="007658A1">
              <w:rPr>
                <w:rFonts w:cstheme="minorHAnsi"/>
              </w:rPr>
              <w:t>1</w:t>
            </w:r>
            <w:r w:rsidRPr="00BB0014">
              <w:rPr>
                <w:rFonts w:cstheme="minorHAnsi"/>
              </w:rPr>
              <w:t>.</w:t>
            </w:r>
          </w:p>
          <w:p w14:paraId="35EB473A" w14:textId="77777777" w:rsidR="007671A5" w:rsidRPr="00DA2368" w:rsidRDefault="007671A5" w:rsidP="007671A5">
            <w:pPr>
              <w:jc w:val="both"/>
              <w:rPr>
                <w:rFonts w:cstheme="minorHAnsi"/>
                <w:sz w:val="16"/>
                <w:szCs w:val="16"/>
              </w:rPr>
            </w:pPr>
          </w:p>
          <w:p w14:paraId="1E1841E8" w14:textId="77777777" w:rsidR="007671A5" w:rsidRDefault="007671A5" w:rsidP="007671A5">
            <w:pPr>
              <w:jc w:val="both"/>
              <w:rPr>
                <w:rFonts w:cstheme="minorHAnsi"/>
              </w:rPr>
            </w:pPr>
            <w:r w:rsidRPr="00BB0014">
              <w:rPr>
                <w:rFonts w:cstheme="minorHAnsi"/>
              </w:rPr>
              <w:t xml:space="preserve">Our QIP identifies are areas of strengths, and areas for further improvement </w:t>
            </w:r>
            <w:r>
              <w:rPr>
                <w:rFonts w:cstheme="minorHAnsi"/>
              </w:rPr>
              <w:t>and</w:t>
            </w:r>
            <w:r w:rsidRPr="00BB0014">
              <w:rPr>
                <w:rFonts w:cstheme="minorHAnsi"/>
              </w:rPr>
              <w:t xml:space="preserve"> development in line with the National Quality Standards, including compliance with the standards and embedding the Early Years Learning Framework.</w:t>
            </w:r>
          </w:p>
          <w:p w14:paraId="23A51FD9" w14:textId="77777777" w:rsidR="007671A5" w:rsidRPr="00BB0014" w:rsidRDefault="007671A5" w:rsidP="007671A5">
            <w:pPr>
              <w:jc w:val="both"/>
              <w:rPr>
                <w:rFonts w:cstheme="minorHAnsi"/>
              </w:rPr>
            </w:pPr>
          </w:p>
          <w:p w14:paraId="10C39503" w14:textId="6D587A84" w:rsidR="007671A5" w:rsidRDefault="007671A5" w:rsidP="007671A5">
            <w:pPr>
              <w:jc w:val="both"/>
              <w:rPr>
                <w:rFonts w:cstheme="minorHAnsi"/>
              </w:rPr>
            </w:pPr>
            <w:r w:rsidRPr="00BB0014">
              <w:rPr>
                <w:rFonts w:cstheme="minorHAnsi"/>
              </w:rPr>
              <w:t>Some of our biggest achievements in 20</w:t>
            </w:r>
            <w:r w:rsidR="00E74F14">
              <w:rPr>
                <w:rFonts w:cstheme="minorHAnsi"/>
              </w:rPr>
              <w:t>2</w:t>
            </w:r>
            <w:r w:rsidR="007658A1">
              <w:rPr>
                <w:rFonts w:cstheme="minorHAnsi"/>
              </w:rPr>
              <w:t>1</w:t>
            </w:r>
            <w:r w:rsidRPr="00BB0014">
              <w:rPr>
                <w:rFonts w:cstheme="minorHAnsi"/>
              </w:rPr>
              <w:t xml:space="preserve"> include:</w:t>
            </w:r>
            <w:r w:rsidR="00A72C83">
              <w:rPr>
                <w:rFonts w:cstheme="minorHAnsi"/>
              </w:rPr>
              <w:t xml:space="preserve"> (from QIP- Annie)</w:t>
            </w:r>
          </w:p>
          <w:p w14:paraId="0DB34D22" w14:textId="6706FF1A" w:rsidR="002D60D3" w:rsidRDefault="00EC416E" w:rsidP="002D60D3">
            <w:pPr>
              <w:pStyle w:val="ListParagraph"/>
              <w:numPr>
                <w:ilvl w:val="0"/>
                <w:numId w:val="28"/>
              </w:numPr>
              <w:jc w:val="both"/>
              <w:rPr>
                <w:rFonts w:cstheme="minorHAnsi"/>
              </w:rPr>
            </w:pPr>
            <w:r>
              <w:rPr>
                <w:rFonts w:cstheme="minorHAnsi"/>
              </w:rPr>
              <w:t>Reviewed and updated Literacy and UOI planning documents</w:t>
            </w:r>
          </w:p>
          <w:p w14:paraId="1275674F" w14:textId="34CA6AAA" w:rsidR="005D4E48" w:rsidRPr="00DA2368" w:rsidRDefault="008108BE" w:rsidP="00DA2368">
            <w:pPr>
              <w:pStyle w:val="ListParagraph"/>
              <w:numPr>
                <w:ilvl w:val="0"/>
                <w:numId w:val="28"/>
              </w:numPr>
              <w:jc w:val="both"/>
              <w:rPr>
                <w:rFonts w:cstheme="minorHAnsi"/>
              </w:rPr>
            </w:pPr>
            <w:r>
              <w:rPr>
                <w:rFonts w:cstheme="minorHAnsi"/>
              </w:rPr>
              <w:t>E</w:t>
            </w:r>
            <w:r w:rsidR="001A7878">
              <w:rPr>
                <w:rFonts w:cstheme="minorHAnsi"/>
              </w:rPr>
              <w:t xml:space="preserve">ssential </w:t>
            </w:r>
            <w:r>
              <w:rPr>
                <w:rFonts w:cstheme="minorHAnsi"/>
              </w:rPr>
              <w:t>L</w:t>
            </w:r>
            <w:r w:rsidR="001A7878">
              <w:rPr>
                <w:rFonts w:cstheme="minorHAnsi"/>
              </w:rPr>
              <w:t xml:space="preserve">iteracy </w:t>
            </w:r>
            <w:r>
              <w:rPr>
                <w:rFonts w:cstheme="minorHAnsi"/>
              </w:rPr>
              <w:t>P</w:t>
            </w:r>
            <w:r w:rsidR="001A7878">
              <w:rPr>
                <w:rFonts w:cstheme="minorHAnsi"/>
              </w:rPr>
              <w:t>ractice</w:t>
            </w:r>
            <w:r>
              <w:rPr>
                <w:rFonts w:cstheme="minorHAnsi"/>
              </w:rPr>
              <w:t xml:space="preserve">s audit, </w:t>
            </w:r>
            <w:proofErr w:type="gramStart"/>
            <w:r>
              <w:rPr>
                <w:rFonts w:cstheme="minorHAnsi"/>
              </w:rPr>
              <w:t>review</w:t>
            </w:r>
            <w:proofErr w:type="gramEnd"/>
            <w:r>
              <w:rPr>
                <w:rFonts w:cstheme="minorHAnsi"/>
              </w:rPr>
              <w:t xml:space="preserve"> and goals</w:t>
            </w:r>
          </w:p>
          <w:p w14:paraId="3A384B03" w14:textId="77777777" w:rsidR="007671A5" w:rsidRPr="00BB0014" w:rsidRDefault="007671A5" w:rsidP="007671A5">
            <w:pPr>
              <w:jc w:val="both"/>
              <w:rPr>
                <w:rFonts w:cstheme="minorHAnsi"/>
              </w:rPr>
            </w:pPr>
          </w:p>
          <w:p w14:paraId="1CA29167" w14:textId="7660F9A2" w:rsidR="007671A5" w:rsidRPr="003508A2" w:rsidRDefault="007671A5" w:rsidP="00E74F14">
            <w:pPr>
              <w:pStyle w:val="PlainText"/>
              <w:numPr>
                <w:ilvl w:val="0"/>
                <w:numId w:val="1"/>
              </w:numPr>
              <w:ind w:left="426" w:hanging="425"/>
              <w:jc w:val="both"/>
            </w:pPr>
            <w:r>
              <w:t>Links</w:t>
            </w:r>
            <w:r w:rsidRPr="003508A2">
              <w:t xml:space="preserve"> between the primary school and preschool </w:t>
            </w:r>
            <w:r>
              <w:t>continued to be strengthen</w:t>
            </w:r>
            <w:r w:rsidRPr="003508A2">
              <w:t>, with the preschool children attending library</w:t>
            </w:r>
            <w:r w:rsidR="00A72C83">
              <w:t xml:space="preserve"> </w:t>
            </w:r>
            <w:r w:rsidRPr="003508A2">
              <w:t>and assemblies on a regular basis.</w:t>
            </w:r>
          </w:p>
          <w:p w14:paraId="516952C2" w14:textId="57CD0D67" w:rsidR="007671A5" w:rsidRPr="00DA2368" w:rsidRDefault="00E74F14" w:rsidP="00E74F14">
            <w:pPr>
              <w:pStyle w:val="PlainText"/>
              <w:numPr>
                <w:ilvl w:val="0"/>
                <w:numId w:val="1"/>
              </w:numPr>
              <w:ind w:left="426" w:hanging="425"/>
              <w:jc w:val="both"/>
              <w:rPr>
                <w:rFonts w:asciiTheme="minorHAnsi" w:hAnsiTheme="minorHAnsi" w:cstheme="minorHAnsi"/>
              </w:rPr>
            </w:pPr>
            <w:r>
              <w:t xml:space="preserve">The success of teaching </w:t>
            </w:r>
            <w:r w:rsidR="00A72C83">
              <w:t xml:space="preserve">and communicating </w:t>
            </w:r>
            <w:r>
              <w:t>remotely during the COVID period</w:t>
            </w:r>
            <w:r w:rsidR="00A72C83">
              <w:t xml:space="preserve"> using Seesaw as a communication tool</w:t>
            </w:r>
          </w:p>
          <w:p w14:paraId="17709A23" w14:textId="32E86402" w:rsidR="00A72C83" w:rsidRDefault="00A72C83" w:rsidP="00A72C83">
            <w:pPr>
              <w:pStyle w:val="PlainText"/>
              <w:jc w:val="both"/>
            </w:pPr>
            <w:r>
              <w:t>Challenges we will address in our next action plan:</w:t>
            </w:r>
          </w:p>
          <w:p w14:paraId="718FC65D" w14:textId="332C110E" w:rsidR="00A72C83" w:rsidRPr="00E74F14" w:rsidRDefault="00A72C83" w:rsidP="00A72C83">
            <w:pPr>
              <w:pStyle w:val="PlainText"/>
              <w:numPr>
                <w:ilvl w:val="0"/>
                <w:numId w:val="1"/>
              </w:numPr>
              <w:ind w:left="426" w:hanging="425"/>
              <w:jc w:val="both"/>
              <w:rPr>
                <w:rFonts w:asciiTheme="minorHAnsi" w:hAnsiTheme="minorHAnsi" w:cstheme="minorHAnsi"/>
              </w:rPr>
            </w:pPr>
            <w:r w:rsidRPr="003508A2">
              <w:t xml:space="preserve">Significant investment in the updating of </w:t>
            </w:r>
            <w:r>
              <w:t>outdoor</w:t>
            </w:r>
            <w:r w:rsidRPr="003508A2">
              <w:t xml:space="preserve"> learning environment to further facilitate best practic</w:t>
            </w:r>
            <w:r>
              <w:t xml:space="preserve">e, particularly sustainability and outdoor learning </w:t>
            </w:r>
            <w:r w:rsidR="002D60D3">
              <w:t>spaces</w:t>
            </w:r>
            <w:r>
              <w:t>.</w:t>
            </w:r>
          </w:p>
          <w:p w14:paraId="29B5806E" w14:textId="72F537E0" w:rsidR="00271528" w:rsidRDefault="00271528" w:rsidP="00E74F14">
            <w:pPr>
              <w:pStyle w:val="PlainText"/>
              <w:jc w:val="both"/>
            </w:pPr>
          </w:p>
        </w:tc>
      </w:tr>
    </w:tbl>
    <w:p w14:paraId="22C0C37D" w14:textId="33C7A381" w:rsidR="00725100" w:rsidRDefault="00610A38" w:rsidP="009B454E">
      <w:pPr>
        <w:pStyle w:val="BodyText"/>
        <w:rPr>
          <w:i/>
        </w:rPr>
      </w:pPr>
      <w:r w:rsidRPr="0024781C">
        <w:rPr>
          <w:i/>
        </w:rPr>
        <w:t>*A copy of the QIP is available for viewing at the school</w:t>
      </w:r>
      <w:r w:rsidR="00A72C83">
        <w:rPr>
          <w:i/>
        </w:rPr>
        <w:t xml:space="preserve"> and on the website</w:t>
      </w:r>
      <w:r w:rsidRPr="0024781C">
        <w:rPr>
          <w:i/>
        </w:rPr>
        <w:t>.</w:t>
      </w:r>
    </w:p>
    <w:sectPr w:rsidR="00725100"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9D0B" w14:textId="77777777" w:rsidR="001E4550" w:rsidRDefault="001E4550" w:rsidP="00CA0BAD">
      <w:pPr>
        <w:spacing w:after="0" w:line="240" w:lineRule="auto"/>
      </w:pPr>
      <w:r>
        <w:separator/>
      </w:r>
    </w:p>
  </w:endnote>
  <w:endnote w:type="continuationSeparator" w:id="0">
    <w:p w14:paraId="3E67992E" w14:textId="77777777" w:rsidR="001E4550" w:rsidRDefault="001E4550"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F40BC1B" w:rsidR="00D62806" w:rsidRPr="00BF488D" w:rsidRDefault="00D62806" w:rsidP="00726851">
            <w:pPr>
              <w:pStyle w:val="Footer"/>
              <w:tabs>
                <w:tab w:val="clear" w:pos="4513"/>
                <w:tab w:val="clear" w:pos="9026"/>
                <w:tab w:val="center" w:pos="5387"/>
                <w:tab w:val="right" w:pos="9781"/>
              </w:tabs>
              <w:spacing w:after="120"/>
              <w:jc w:val="center"/>
              <w:rPr>
                <w:rFonts w:ascii="Arial" w:hAnsi="Arial" w:cs="Arial"/>
                <w:noProof/>
                <w:color w:val="808080" w:themeColor="background1" w:themeShade="80"/>
                <w:sz w:val="20"/>
                <w:szCs w:val="20"/>
              </w:rPr>
            </w:pPr>
            <w:r>
              <w:rPr>
                <w:rFonts w:ascii="Arial" w:hAnsi="Arial" w:cs="Arial"/>
                <w:color w:val="808080" w:themeColor="background1" w:themeShade="80"/>
                <w:sz w:val="20"/>
                <w:szCs w:val="20"/>
              </w:rPr>
              <w:t xml:space="preserve">Last </w:t>
            </w:r>
            <w:proofErr w:type="spellStart"/>
            <w:r>
              <w:rPr>
                <w:rFonts w:ascii="Arial" w:hAnsi="Arial" w:cs="Arial"/>
                <w:color w:val="808080" w:themeColor="background1" w:themeShade="80"/>
                <w:sz w:val="20"/>
                <w:szCs w:val="20"/>
              </w:rPr>
              <w:t>saved:</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DA50BC">
              <w:rPr>
                <w:rFonts w:ascii="Arial" w:hAnsi="Arial" w:cs="Arial"/>
                <w:noProof/>
                <w:color w:val="808080" w:themeColor="background1" w:themeShade="80"/>
                <w:sz w:val="20"/>
                <w:szCs w:val="20"/>
              </w:rPr>
              <w:t>Thursday</w:t>
            </w:r>
            <w:proofErr w:type="spellEnd"/>
            <w:r w:rsidR="00DA50BC">
              <w:rPr>
                <w:rFonts w:ascii="Arial" w:hAnsi="Arial" w:cs="Arial"/>
                <w:noProof/>
                <w:color w:val="808080" w:themeColor="background1" w:themeShade="80"/>
                <w:sz w:val="20"/>
                <w:szCs w:val="20"/>
              </w:rPr>
              <w:t xml:space="preserve">, </w:t>
            </w:r>
            <w:r w:rsidR="00DA50BC" w:rsidRPr="00DA50BC">
              <w:rPr>
                <w:rFonts w:ascii="Arial" w:hAnsi="Arial" w:cs="Arial"/>
                <w:noProof/>
                <w:color w:val="808080" w:themeColor="background1" w:themeShade="80"/>
                <w:sz w:val="20"/>
                <w:szCs w:val="20"/>
                <w:vertAlign w:val="superscript"/>
              </w:rPr>
              <w:t>3</w:t>
            </w:r>
            <w:r w:rsidR="00DA50BC">
              <w:rPr>
                <w:rFonts w:ascii="Arial" w:hAnsi="Arial" w:cs="Arial"/>
                <w:noProof/>
                <w:color w:val="808080" w:themeColor="background1" w:themeShade="80"/>
                <w:sz w:val="20"/>
                <w:szCs w:val="20"/>
              </w:rPr>
              <w:t xml:space="preserve"> February 2022</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D62806" w:rsidRPr="008679D5" w:rsidRDefault="00D62806"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1"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1"/>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F38A" w14:textId="77777777" w:rsidR="001E4550" w:rsidRDefault="001E4550" w:rsidP="00CA0BAD">
      <w:pPr>
        <w:spacing w:after="0" w:line="240" w:lineRule="auto"/>
      </w:pPr>
      <w:r>
        <w:separator/>
      </w:r>
    </w:p>
  </w:footnote>
  <w:footnote w:type="continuationSeparator" w:id="0">
    <w:p w14:paraId="4AE7D909" w14:textId="77777777" w:rsidR="001E4550" w:rsidRDefault="001E4550"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128F" w14:textId="77777777" w:rsidR="00D62806" w:rsidRDefault="00D62806"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334A" w14:textId="77777777" w:rsidR="00D62806" w:rsidRDefault="00D62806"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B0AE1"/>
    <w:multiLevelType w:val="hybridMultilevel"/>
    <w:tmpl w:val="829CF8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1C4215"/>
    <w:multiLevelType w:val="hybridMultilevel"/>
    <w:tmpl w:val="D41CAD0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3" w15:restartNumberingAfterBreak="0">
    <w:nsid w:val="09FA77B9"/>
    <w:multiLevelType w:val="hybridMultilevel"/>
    <w:tmpl w:val="86F29C78"/>
    <w:lvl w:ilvl="0" w:tplc="B6764FBC">
      <w:start w:val="1"/>
      <w:numFmt w:val="bullet"/>
      <w:lvlText w:val=""/>
      <w:lvlJc w:val="left"/>
      <w:pPr>
        <w:ind w:left="715" w:hanging="360"/>
      </w:pPr>
      <w:rPr>
        <w:rFonts w:ascii="Wingdings" w:hAnsi="Wingdings" w:hint="default"/>
        <w:color w:val="000000" w:themeColor="text1"/>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4" w15:restartNumberingAfterBreak="0">
    <w:nsid w:val="0B1B35FB"/>
    <w:multiLevelType w:val="hybridMultilevel"/>
    <w:tmpl w:val="133A1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A26D9"/>
    <w:multiLevelType w:val="hybridMultilevel"/>
    <w:tmpl w:val="04CC5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D4A16"/>
    <w:multiLevelType w:val="hybridMultilevel"/>
    <w:tmpl w:val="DDA8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C0CB7"/>
    <w:multiLevelType w:val="hybridMultilevel"/>
    <w:tmpl w:val="E86E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C08B4"/>
    <w:multiLevelType w:val="hybridMultilevel"/>
    <w:tmpl w:val="C2B6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C243C1"/>
    <w:multiLevelType w:val="hybridMultilevel"/>
    <w:tmpl w:val="FE62B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25A4B"/>
    <w:multiLevelType w:val="hybridMultilevel"/>
    <w:tmpl w:val="1740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00140"/>
    <w:multiLevelType w:val="hybridMultilevel"/>
    <w:tmpl w:val="4C086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4F7857"/>
    <w:multiLevelType w:val="hybridMultilevel"/>
    <w:tmpl w:val="B2FACD26"/>
    <w:lvl w:ilvl="0" w:tplc="259E9500">
      <w:start w:val="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A02C8"/>
    <w:multiLevelType w:val="hybridMultilevel"/>
    <w:tmpl w:val="CF6AB4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B3F5A90"/>
    <w:multiLevelType w:val="hybridMultilevel"/>
    <w:tmpl w:val="11706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30A15"/>
    <w:multiLevelType w:val="hybridMultilevel"/>
    <w:tmpl w:val="8F60CE8A"/>
    <w:lvl w:ilvl="0" w:tplc="D5EC5E90">
      <w:start w:val="1"/>
      <w:numFmt w:val="bullet"/>
      <w:pStyle w:val="List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5">
      <w:start w:val="1"/>
      <w:numFmt w:val="bullet"/>
      <w:lvlText w:val=""/>
      <w:lvlJc w:val="left"/>
      <w:pPr>
        <w:ind w:left="3240" w:hanging="360"/>
      </w:pPr>
      <w:rPr>
        <w:rFonts w:ascii="Wingdings" w:hAnsi="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8B2481"/>
    <w:multiLevelType w:val="hybridMultilevel"/>
    <w:tmpl w:val="2DBE2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830C9"/>
    <w:multiLevelType w:val="hybridMultilevel"/>
    <w:tmpl w:val="C474082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9425F4"/>
    <w:multiLevelType w:val="hybridMultilevel"/>
    <w:tmpl w:val="9BAA3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14E4A"/>
    <w:multiLevelType w:val="multilevel"/>
    <w:tmpl w:val="7ED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F57F9"/>
    <w:multiLevelType w:val="hybridMultilevel"/>
    <w:tmpl w:val="8CB6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53AD5"/>
    <w:multiLevelType w:val="hybridMultilevel"/>
    <w:tmpl w:val="2B40AE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31142"/>
    <w:multiLevelType w:val="hybridMultilevel"/>
    <w:tmpl w:val="8788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A023B9"/>
    <w:multiLevelType w:val="hybridMultilevel"/>
    <w:tmpl w:val="4FA4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903A9"/>
    <w:multiLevelType w:val="hybridMultilevel"/>
    <w:tmpl w:val="2178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84351"/>
    <w:multiLevelType w:val="hybridMultilevel"/>
    <w:tmpl w:val="6A6E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B01225"/>
    <w:multiLevelType w:val="hybridMultilevel"/>
    <w:tmpl w:val="6E4C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60585"/>
    <w:multiLevelType w:val="hybridMultilevel"/>
    <w:tmpl w:val="EA6EF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EE1CB5"/>
    <w:multiLevelType w:val="hybridMultilevel"/>
    <w:tmpl w:val="FD4C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E4B13"/>
    <w:multiLevelType w:val="hybridMultilevel"/>
    <w:tmpl w:val="A6C2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620A76"/>
    <w:multiLevelType w:val="hybridMultilevel"/>
    <w:tmpl w:val="0D94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E60E4"/>
    <w:multiLevelType w:val="hybridMultilevel"/>
    <w:tmpl w:val="ADD2E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4571D5"/>
    <w:multiLevelType w:val="hybridMultilevel"/>
    <w:tmpl w:val="320C4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C57684"/>
    <w:multiLevelType w:val="hybridMultilevel"/>
    <w:tmpl w:val="DC8C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C92A31"/>
    <w:multiLevelType w:val="hybridMultilevel"/>
    <w:tmpl w:val="C762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9C1E0C"/>
    <w:multiLevelType w:val="hybridMultilevel"/>
    <w:tmpl w:val="CD96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3"/>
  </w:num>
  <w:num w:numId="5">
    <w:abstractNumId w:val="21"/>
  </w:num>
  <w:num w:numId="6">
    <w:abstractNumId w:val="8"/>
  </w:num>
  <w:num w:numId="7">
    <w:abstractNumId w:val="35"/>
  </w:num>
  <w:num w:numId="8">
    <w:abstractNumId w:val="27"/>
  </w:num>
  <w:num w:numId="9">
    <w:abstractNumId w:val="25"/>
  </w:num>
  <w:num w:numId="10">
    <w:abstractNumId w:val="28"/>
  </w:num>
  <w:num w:numId="11">
    <w:abstractNumId w:val="18"/>
  </w:num>
  <w:num w:numId="12">
    <w:abstractNumId w:val="22"/>
  </w:num>
  <w:num w:numId="13">
    <w:abstractNumId w:val="9"/>
  </w:num>
  <w:num w:numId="14">
    <w:abstractNumId w:val="20"/>
  </w:num>
  <w:num w:numId="15">
    <w:abstractNumId w:val="29"/>
  </w:num>
  <w:num w:numId="16">
    <w:abstractNumId w:val="23"/>
  </w:num>
  <w:num w:numId="17">
    <w:abstractNumId w:val="13"/>
  </w:num>
  <w:num w:numId="18">
    <w:abstractNumId w:val="24"/>
  </w:num>
  <w:num w:numId="19">
    <w:abstractNumId w:val="14"/>
  </w:num>
  <w:num w:numId="20">
    <w:abstractNumId w:val="7"/>
  </w:num>
  <w:num w:numId="21">
    <w:abstractNumId w:val="10"/>
  </w:num>
  <w:num w:numId="22">
    <w:abstractNumId w:val="15"/>
  </w:num>
  <w:num w:numId="23">
    <w:abstractNumId w:val="31"/>
  </w:num>
  <w:num w:numId="24">
    <w:abstractNumId w:val="15"/>
  </w:num>
  <w:num w:numId="25">
    <w:abstractNumId w:val="1"/>
  </w:num>
  <w:num w:numId="26">
    <w:abstractNumId w:val="12"/>
  </w:num>
  <w:num w:numId="27">
    <w:abstractNumId w:val="19"/>
  </w:num>
  <w:num w:numId="28">
    <w:abstractNumId w:val="32"/>
  </w:num>
  <w:num w:numId="29">
    <w:abstractNumId w:val="2"/>
  </w:num>
  <w:num w:numId="30">
    <w:abstractNumId w:val="5"/>
  </w:num>
  <w:num w:numId="31">
    <w:abstractNumId w:val="33"/>
  </w:num>
  <w:num w:numId="32">
    <w:abstractNumId w:val="26"/>
  </w:num>
  <w:num w:numId="33">
    <w:abstractNumId w:val="6"/>
  </w:num>
  <w:num w:numId="34">
    <w:abstractNumId w:val="4"/>
  </w:num>
  <w:num w:numId="35">
    <w:abstractNumId w:val="11"/>
  </w:num>
  <w:num w:numId="36">
    <w:abstractNumId w:val="30"/>
  </w:num>
  <w:num w:numId="37">
    <w:abstractNumId w:val="16"/>
  </w:num>
  <w:num w:numId="3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108F"/>
    <w:rsid w:val="000117CB"/>
    <w:rsid w:val="000174EE"/>
    <w:rsid w:val="00040564"/>
    <w:rsid w:val="00057DAD"/>
    <w:rsid w:val="000637C2"/>
    <w:rsid w:val="00080917"/>
    <w:rsid w:val="000B7F52"/>
    <w:rsid w:val="000D3908"/>
    <w:rsid w:val="000F7E7C"/>
    <w:rsid w:val="00101CF8"/>
    <w:rsid w:val="00101F91"/>
    <w:rsid w:val="00107AE2"/>
    <w:rsid w:val="00115AA9"/>
    <w:rsid w:val="00122D2D"/>
    <w:rsid w:val="00132917"/>
    <w:rsid w:val="001329AB"/>
    <w:rsid w:val="00133B0D"/>
    <w:rsid w:val="00136ED7"/>
    <w:rsid w:val="00142A93"/>
    <w:rsid w:val="0014530F"/>
    <w:rsid w:val="0015196D"/>
    <w:rsid w:val="00161E50"/>
    <w:rsid w:val="00163579"/>
    <w:rsid w:val="0016677D"/>
    <w:rsid w:val="00183129"/>
    <w:rsid w:val="00183DE5"/>
    <w:rsid w:val="00186B33"/>
    <w:rsid w:val="001A63F1"/>
    <w:rsid w:val="001A7878"/>
    <w:rsid w:val="001B26EA"/>
    <w:rsid w:val="001B2E33"/>
    <w:rsid w:val="001B5D77"/>
    <w:rsid w:val="001C450B"/>
    <w:rsid w:val="001D3258"/>
    <w:rsid w:val="001E158A"/>
    <w:rsid w:val="001E4550"/>
    <w:rsid w:val="002050AF"/>
    <w:rsid w:val="002145F7"/>
    <w:rsid w:val="00227E63"/>
    <w:rsid w:val="002448B8"/>
    <w:rsid w:val="00246EED"/>
    <w:rsid w:val="0024781C"/>
    <w:rsid w:val="00250AE6"/>
    <w:rsid w:val="0025512F"/>
    <w:rsid w:val="00255B34"/>
    <w:rsid w:val="00256DA8"/>
    <w:rsid w:val="00266E77"/>
    <w:rsid w:val="00270846"/>
    <w:rsid w:val="00271474"/>
    <w:rsid w:val="00271528"/>
    <w:rsid w:val="002730A3"/>
    <w:rsid w:val="0027658E"/>
    <w:rsid w:val="002A244A"/>
    <w:rsid w:val="002D60D3"/>
    <w:rsid w:val="002E7F13"/>
    <w:rsid w:val="002F2C6F"/>
    <w:rsid w:val="002F4184"/>
    <w:rsid w:val="00300F72"/>
    <w:rsid w:val="00303DEA"/>
    <w:rsid w:val="003156C0"/>
    <w:rsid w:val="0032661D"/>
    <w:rsid w:val="00334BBF"/>
    <w:rsid w:val="003356A2"/>
    <w:rsid w:val="00342B3F"/>
    <w:rsid w:val="00342C15"/>
    <w:rsid w:val="00357340"/>
    <w:rsid w:val="00365890"/>
    <w:rsid w:val="00365A1C"/>
    <w:rsid w:val="00372BF5"/>
    <w:rsid w:val="00373DC0"/>
    <w:rsid w:val="00377F0F"/>
    <w:rsid w:val="003827D6"/>
    <w:rsid w:val="003842AB"/>
    <w:rsid w:val="003946A3"/>
    <w:rsid w:val="00395426"/>
    <w:rsid w:val="003A1A2A"/>
    <w:rsid w:val="003A48E6"/>
    <w:rsid w:val="003A49C1"/>
    <w:rsid w:val="003B123B"/>
    <w:rsid w:val="003B5E3D"/>
    <w:rsid w:val="003B62B1"/>
    <w:rsid w:val="003C2864"/>
    <w:rsid w:val="003C69DC"/>
    <w:rsid w:val="003C7C2F"/>
    <w:rsid w:val="003D33E5"/>
    <w:rsid w:val="003E1EFB"/>
    <w:rsid w:val="003E2547"/>
    <w:rsid w:val="003E66EC"/>
    <w:rsid w:val="003F052F"/>
    <w:rsid w:val="00407115"/>
    <w:rsid w:val="00431623"/>
    <w:rsid w:val="00435AB7"/>
    <w:rsid w:val="00435C6B"/>
    <w:rsid w:val="00436626"/>
    <w:rsid w:val="0044047A"/>
    <w:rsid w:val="00440B6E"/>
    <w:rsid w:val="00454A50"/>
    <w:rsid w:val="00461D07"/>
    <w:rsid w:val="00472E8C"/>
    <w:rsid w:val="00481BD2"/>
    <w:rsid w:val="004846D0"/>
    <w:rsid w:val="00492440"/>
    <w:rsid w:val="0049596C"/>
    <w:rsid w:val="004A098E"/>
    <w:rsid w:val="004A4435"/>
    <w:rsid w:val="004B3A46"/>
    <w:rsid w:val="004C32E2"/>
    <w:rsid w:val="004D00F4"/>
    <w:rsid w:val="004D5E45"/>
    <w:rsid w:val="004E17B7"/>
    <w:rsid w:val="00513AD6"/>
    <w:rsid w:val="00520A86"/>
    <w:rsid w:val="00521211"/>
    <w:rsid w:val="00522366"/>
    <w:rsid w:val="005238C8"/>
    <w:rsid w:val="00557F65"/>
    <w:rsid w:val="005611F4"/>
    <w:rsid w:val="00564820"/>
    <w:rsid w:val="00565082"/>
    <w:rsid w:val="0057672E"/>
    <w:rsid w:val="0057680F"/>
    <w:rsid w:val="0057799A"/>
    <w:rsid w:val="005819BF"/>
    <w:rsid w:val="0058339C"/>
    <w:rsid w:val="005833F4"/>
    <w:rsid w:val="00585BEB"/>
    <w:rsid w:val="00587D69"/>
    <w:rsid w:val="0059350F"/>
    <w:rsid w:val="005A4749"/>
    <w:rsid w:val="005A4792"/>
    <w:rsid w:val="005C7432"/>
    <w:rsid w:val="005D3BF4"/>
    <w:rsid w:val="005D4E48"/>
    <w:rsid w:val="005E28DE"/>
    <w:rsid w:val="005E76E4"/>
    <w:rsid w:val="005F3B55"/>
    <w:rsid w:val="00601150"/>
    <w:rsid w:val="00604803"/>
    <w:rsid w:val="00610A38"/>
    <w:rsid w:val="00631663"/>
    <w:rsid w:val="00632328"/>
    <w:rsid w:val="006330BF"/>
    <w:rsid w:val="0066643F"/>
    <w:rsid w:val="00674E1D"/>
    <w:rsid w:val="006830C3"/>
    <w:rsid w:val="006A31D6"/>
    <w:rsid w:val="006A5062"/>
    <w:rsid w:val="006B42FD"/>
    <w:rsid w:val="006B6D54"/>
    <w:rsid w:val="006C05FF"/>
    <w:rsid w:val="006C3878"/>
    <w:rsid w:val="006D0012"/>
    <w:rsid w:val="006D2F6B"/>
    <w:rsid w:val="006F27E8"/>
    <w:rsid w:val="006F2C4D"/>
    <w:rsid w:val="00705A37"/>
    <w:rsid w:val="00725100"/>
    <w:rsid w:val="00726851"/>
    <w:rsid w:val="007309B5"/>
    <w:rsid w:val="00733922"/>
    <w:rsid w:val="007347A7"/>
    <w:rsid w:val="007375B4"/>
    <w:rsid w:val="007378E1"/>
    <w:rsid w:val="0074071E"/>
    <w:rsid w:val="00752390"/>
    <w:rsid w:val="007658A1"/>
    <w:rsid w:val="007671A5"/>
    <w:rsid w:val="00796D29"/>
    <w:rsid w:val="007A5ED2"/>
    <w:rsid w:val="007A7E13"/>
    <w:rsid w:val="007B0189"/>
    <w:rsid w:val="007B0B43"/>
    <w:rsid w:val="007C7B5A"/>
    <w:rsid w:val="007D407C"/>
    <w:rsid w:val="007D764B"/>
    <w:rsid w:val="007E4162"/>
    <w:rsid w:val="007F364C"/>
    <w:rsid w:val="007F3927"/>
    <w:rsid w:val="007F3BEE"/>
    <w:rsid w:val="007F4543"/>
    <w:rsid w:val="008108BE"/>
    <w:rsid w:val="00812706"/>
    <w:rsid w:val="00812E02"/>
    <w:rsid w:val="00821548"/>
    <w:rsid w:val="00825383"/>
    <w:rsid w:val="00826FD9"/>
    <w:rsid w:val="008300DD"/>
    <w:rsid w:val="00830A8B"/>
    <w:rsid w:val="00833CE1"/>
    <w:rsid w:val="00837137"/>
    <w:rsid w:val="00846E51"/>
    <w:rsid w:val="0085066D"/>
    <w:rsid w:val="008515BE"/>
    <w:rsid w:val="008679D5"/>
    <w:rsid w:val="008711C2"/>
    <w:rsid w:val="00872ED9"/>
    <w:rsid w:val="00877745"/>
    <w:rsid w:val="00881075"/>
    <w:rsid w:val="00883A28"/>
    <w:rsid w:val="00883C49"/>
    <w:rsid w:val="00894BEE"/>
    <w:rsid w:val="00895FDD"/>
    <w:rsid w:val="00896B58"/>
    <w:rsid w:val="008A01DA"/>
    <w:rsid w:val="008B569B"/>
    <w:rsid w:val="008C7AB1"/>
    <w:rsid w:val="008E4852"/>
    <w:rsid w:val="008E6162"/>
    <w:rsid w:val="00915ADE"/>
    <w:rsid w:val="0093040B"/>
    <w:rsid w:val="00932E67"/>
    <w:rsid w:val="00937D6F"/>
    <w:rsid w:val="009442E9"/>
    <w:rsid w:val="009614A3"/>
    <w:rsid w:val="009646B2"/>
    <w:rsid w:val="00965FFE"/>
    <w:rsid w:val="00972A4D"/>
    <w:rsid w:val="00973340"/>
    <w:rsid w:val="0098356D"/>
    <w:rsid w:val="00997CD0"/>
    <w:rsid w:val="009A46BB"/>
    <w:rsid w:val="009B454E"/>
    <w:rsid w:val="009B7107"/>
    <w:rsid w:val="009C4249"/>
    <w:rsid w:val="009E2D26"/>
    <w:rsid w:val="009E2DF7"/>
    <w:rsid w:val="009F3CDF"/>
    <w:rsid w:val="00A06111"/>
    <w:rsid w:val="00A112C4"/>
    <w:rsid w:val="00A1525D"/>
    <w:rsid w:val="00A1783A"/>
    <w:rsid w:val="00A227F2"/>
    <w:rsid w:val="00A322ED"/>
    <w:rsid w:val="00A33C93"/>
    <w:rsid w:val="00A35352"/>
    <w:rsid w:val="00A36B7E"/>
    <w:rsid w:val="00A57F16"/>
    <w:rsid w:val="00A60571"/>
    <w:rsid w:val="00A72C83"/>
    <w:rsid w:val="00A87D8C"/>
    <w:rsid w:val="00A9235D"/>
    <w:rsid w:val="00A967A3"/>
    <w:rsid w:val="00AB0B1E"/>
    <w:rsid w:val="00AB3505"/>
    <w:rsid w:val="00AB4C2F"/>
    <w:rsid w:val="00AC31BF"/>
    <w:rsid w:val="00AC6CE0"/>
    <w:rsid w:val="00AD2336"/>
    <w:rsid w:val="00AD529B"/>
    <w:rsid w:val="00AD7D38"/>
    <w:rsid w:val="00AE1CAD"/>
    <w:rsid w:val="00AE2FBD"/>
    <w:rsid w:val="00AE3C70"/>
    <w:rsid w:val="00AF10E2"/>
    <w:rsid w:val="00B0021A"/>
    <w:rsid w:val="00B00542"/>
    <w:rsid w:val="00B06296"/>
    <w:rsid w:val="00B07A22"/>
    <w:rsid w:val="00B10319"/>
    <w:rsid w:val="00B11BF1"/>
    <w:rsid w:val="00B25831"/>
    <w:rsid w:val="00B36AF4"/>
    <w:rsid w:val="00B41802"/>
    <w:rsid w:val="00B53812"/>
    <w:rsid w:val="00B53B59"/>
    <w:rsid w:val="00B70004"/>
    <w:rsid w:val="00B734D8"/>
    <w:rsid w:val="00B93FCA"/>
    <w:rsid w:val="00BA7E0B"/>
    <w:rsid w:val="00BB3166"/>
    <w:rsid w:val="00BE20A4"/>
    <w:rsid w:val="00BE37B2"/>
    <w:rsid w:val="00BF6625"/>
    <w:rsid w:val="00C0648C"/>
    <w:rsid w:val="00C06492"/>
    <w:rsid w:val="00C104F9"/>
    <w:rsid w:val="00C10A7A"/>
    <w:rsid w:val="00C36B48"/>
    <w:rsid w:val="00C46288"/>
    <w:rsid w:val="00C467C4"/>
    <w:rsid w:val="00C54421"/>
    <w:rsid w:val="00C63CC4"/>
    <w:rsid w:val="00C64B33"/>
    <w:rsid w:val="00C77B0A"/>
    <w:rsid w:val="00C862A8"/>
    <w:rsid w:val="00C9105F"/>
    <w:rsid w:val="00C91C8E"/>
    <w:rsid w:val="00C927E0"/>
    <w:rsid w:val="00C96C34"/>
    <w:rsid w:val="00CA0B47"/>
    <w:rsid w:val="00CA0BAD"/>
    <w:rsid w:val="00CA26FB"/>
    <w:rsid w:val="00CA30DB"/>
    <w:rsid w:val="00CC1C88"/>
    <w:rsid w:val="00CD342E"/>
    <w:rsid w:val="00CD51E9"/>
    <w:rsid w:val="00CD70A2"/>
    <w:rsid w:val="00CE1F21"/>
    <w:rsid w:val="00CE3C71"/>
    <w:rsid w:val="00CF3F40"/>
    <w:rsid w:val="00D03B0C"/>
    <w:rsid w:val="00D21886"/>
    <w:rsid w:val="00D21DF7"/>
    <w:rsid w:val="00D27587"/>
    <w:rsid w:val="00D43651"/>
    <w:rsid w:val="00D4468E"/>
    <w:rsid w:val="00D5070F"/>
    <w:rsid w:val="00D5625D"/>
    <w:rsid w:val="00D56F59"/>
    <w:rsid w:val="00D62806"/>
    <w:rsid w:val="00D642ED"/>
    <w:rsid w:val="00D66148"/>
    <w:rsid w:val="00D66EEB"/>
    <w:rsid w:val="00D6774D"/>
    <w:rsid w:val="00D731BD"/>
    <w:rsid w:val="00D95EE4"/>
    <w:rsid w:val="00DA09ED"/>
    <w:rsid w:val="00DA2368"/>
    <w:rsid w:val="00DA4480"/>
    <w:rsid w:val="00DA50BC"/>
    <w:rsid w:val="00DB037A"/>
    <w:rsid w:val="00DC32DD"/>
    <w:rsid w:val="00DC3DA7"/>
    <w:rsid w:val="00DD2430"/>
    <w:rsid w:val="00DD3100"/>
    <w:rsid w:val="00DD528E"/>
    <w:rsid w:val="00DE012C"/>
    <w:rsid w:val="00DE042E"/>
    <w:rsid w:val="00DE1388"/>
    <w:rsid w:val="00DE43E6"/>
    <w:rsid w:val="00DE5484"/>
    <w:rsid w:val="00DE75EB"/>
    <w:rsid w:val="00DF0245"/>
    <w:rsid w:val="00DF695B"/>
    <w:rsid w:val="00E00F77"/>
    <w:rsid w:val="00E061B8"/>
    <w:rsid w:val="00E122E5"/>
    <w:rsid w:val="00E14A54"/>
    <w:rsid w:val="00E1631F"/>
    <w:rsid w:val="00E207A5"/>
    <w:rsid w:val="00E235A5"/>
    <w:rsid w:val="00E3757D"/>
    <w:rsid w:val="00E434FA"/>
    <w:rsid w:val="00E5249C"/>
    <w:rsid w:val="00E6190C"/>
    <w:rsid w:val="00E74F14"/>
    <w:rsid w:val="00E904EC"/>
    <w:rsid w:val="00E968A0"/>
    <w:rsid w:val="00EA1B8A"/>
    <w:rsid w:val="00EA43D7"/>
    <w:rsid w:val="00EB36DB"/>
    <w:rsid w:val="00EB70CE"/>
    <w:rsid w:val="00EC0A84"/>
    <w:rsid w:val="00EC416E"/>
    <w:rsid w:val="00EC626B"/>
    <w:rsid w:val="00EE24F7"/>
    <w:rsid w:val="00EE69C5"/>
    <w:rsid w:val="00EE6BD8"/>
    <w:rsid w:val="00EF2574"/>
    <w:rsid w:val="00F05C79"/>
    <w:rsid w:val="00F06A77"/>
    <w:rsid w:val="00F275BC"/>
    <w:rsid w:val="00F35604"/>
    <w:rsid w:val="00F536D7"/>
    <w:rsid w:val="00F60837"/>
    <w:rsid w:val="00F87A19"/>
    <w:rsid w:val="00F9110F"/>
    <w:rsid w:val="00F915B6"/>
    <w:rsid w:val="00FA6811"/>
    <w:rsid w:val="00FA6A61"/>
    <w:rsid w:val="00FB31F0"/>
    <w:rsid w:val="00FB3EDE"/>
    <w:rsid w:val="00FB5086"/>
    <w:rsid w:val="00FB514E"/>
    <w:rsid w:val="00FE07E3"/>
    <w:rsid w:val="00FE1945"/>
    <w:rsid w:val="00FE1A2C"/>
    <w:rsid w:val="00FE21FA"/>
    <w:rsid w:val="00FE25EE"/>
    <w:rsid w:val="00FE36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2"/>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numId w:val="0"/>
      </w:numPr>
      <w:spacing w:after="0" w:line="240" w:lineRule="auto"/>
    </w:pPr>
  </w:style>
  <w:style w:type="character" w:customStyle="1" w:styleId="apple-tab-span">
    <w:name w:val="apple-tab-span"/>
    <w:basedOn w:val="DefaultParagraphFont"/>
    <w:rsid w:val="001329AB"/>
  </w:style>
  <w:style w:type="paragraph" w:styleId="NormalWeb">
    <w:name w:val="Normal (Web)"/>
    <w:basedOn w:val="Normal"/>
    <w:uiPriority w:val="99"/>
    <w:semiHidden/>
    <w:unhideWhenUsed/>
    <w:rsid w:val="000174E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13487279">
      <w:bodyDiv w:val="1"/>
      <w:marLeft w:val="0"/>
      <w:marRight w:val="0"/>
      <w:marTop w:val="0"/>
      <w:marBottom w:val="0"/>
      <w:divBdr>
        <w:top w:val="none" w:sz="0" w:space="0" w:color="auto"/>
        <w:left w:val="none" w:sz="0" w:space="0" w:color="auto"/>
        <w:bottom w:val="none" w:sz="0" w:space="0" w:color="auto"/>
        <w:right w:val="none" w:sz="0" w:space="0" w:color="auto"/>
      </w:divBdr>
    </w:div>
    <w:div w:id="7205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2F7DB7"/>
    <w:rsid w:val="003D1F1C"/>
    <w:rsid w:val="004E07A1"/>
    <w:rsid w:val="006B00E5"/>
    <w:rsid w:val="006D5904"/>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Ghirardello, Trish</cp:lastModifiedBy>
  <cp:revision>2</cp:revision>
  <cp:lastPrinted>2021-02-05T01:54:00Z</cp:lastPrinted>
  <dcterms:created xsi:type="dcterms:W3CDTF">2022-09-06T01:10:00Z</dcterms:created>
  <dcterms:modified xsi:type="dcterms:W3CDTF">2022-09-06T01:10:00Z</dcterms:modified>
</cp:coreProperties>
</file>