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4B46C2C9" w:rsidR="00FE1945" w:rsidRPr="00563A3D" w:rsidRDefault="00881335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Maribyrnong Primary School</w:t>
          </w:r>
        </w:p>
      </w:sdtContent>
    </w:sdt>
    <w:p w14:paraId="63330FCF" w14:textId="70CF6EAD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881335">
            <w:t>Belconnen</w:t>
          </w:r>
        </w:sdtContent>
      </w:sdt>
    </w:p>
    <w:p w14:paraId="38F253B0" w14:textId="7BC07EC0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8F0A49">
        <w:t>20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5B8483B7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2E5819">
        <w:t>20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</w:t>
      </w:r>
      <w:proofErr w:type="gramStart"/>
      <w:r w:rsidR="00DA4480" w:rsidRPr="00132917">
        <w:t>changes</w:t>
      </w:r>
      <w:proofErr w:type="gramEnd"/>
      <w:r w:rsidR="00DA4480" w:rsidRPr="00132917">
        <w:t xml:space="preserve"> or risks to delivery of improvement for student learning.</w:t>
      </w:r>
    </w:p>
    <w:p w14:paraId="5D467499" w14:textId="77777777" w:rsidR="002E5819" w:rsidRPr="002E5819" w:rsidRDefault="00AE2FBD" w:rsidP="002E5819">
      <w:pPr>
        <w:pStyle w:val="PlainText"/>
        <w:rPr>
          <w:i/>
          <w:iCs/>
          <w:noProof/>
          <w:color w:val="538135" w:themeColor="accent6" w:themeShade="BF"/>
        </w:rPr>
      </w:pPr>
      <w:r w:rsidRPr="00AE2FBD">
        <w:rPr>
          <w:noProof/>
        </w:rPr>
        <w:t xml:space="preserve"> </w:t>
      </w:r>
      <w:r w:rsidR="002E5819" w:rsidRPr="002E5819">
        <w:rPr>
          <w:i/>
          <w:iCs/>
          <w:noProof/>
          <w:color w:val="538135" w:themeColor="accent6" w:themeShade="BF"/>
        </w:rPr>
        <w:t>Please note, due to the events of 2020 the data collection cycles of some measures were interrupted. Where this has occurred an N/A or 0 (zero) entry has been used.</w:t>
      </w:r>
    </w:p>
    <w:p w14:paraId="4C974366" w14:textId="72F3FB74" w:rsidR="00132917" w:rsidRPr="0058339C" w:rsidRDefault="00132917" w:rsidP="0058339C">
      <w:pPr>
        <w:pStyle w:val="BodyText"/>
      </w:pP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1D7760C0" w14:textId="579A810E" w:rsidR="00300F72" w:rsidRDefault="00300F72" w:rsidP="00300F72">
      <w:pPr>
        <w:pStyle w:val="BodyText"/>
      </w:pPr>
    </w:p>
    <w:p w14:paraId="05831A13" w14:textId="11B4DA2E" w:rsidR="00300F72" w:rsidRPr="00300F72" w:rsidRDefault="00300F72" w:rsidP="00881335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</w:t>
      </w:r>
      <w:r w:rsidR="00881335" w:rsidRPr="00881335">
        <w:t xml:space="preserve">Priority 3: Improve student wellbeing, </w:t>
      </w:r>
      <w:proofErr w:type="gramStart"/>
      <w:r w:rsidR="00881335" w:rsidRPr="00881335">
        <w:t>engagement</w:t>
      </w:r>
      <w:proofErr w:type="gramEnd"/>
      <w:r w:rsidR="00881335" w:rsidRPr="00881335">
        <w:t xml:space="preserve"> and connection to school to support their learning.</w:t>
      </w:r>
      <w:r w:rsidRPr="00132917">
        <w:t>):</w:t>
      </w:r>
    </w:p>
    <w:p w14:paraId="4237A615" w14:textId="77777777" w:rsidR="00300F72" w:rsidRPr="00300F72" w:rsidRDefault="00300F72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5A54A98A" w14:textId="4C3B0B5D" w:rsidR="00300F72" w:rsidRPr="00300F72" w:rsidRDefault="00300F72" w:rsidP="00300F72">
      <w:pPr>
        <w:pStyle w:val="BodyText"/>
      </w:pPr>
    </w:p>
    <w:p w14:paraId="7EEA434B" w14:textId="5EBE0336" w:rsidR="007D13D5" w:rsidRPr="00132917" w:rsidRDefault="007D13D5" w:rsidP="007D13D5">
      <w:pPr>
        <w:pStyle w:val="BodyText"/>
      </w:pPr>
      <w:r w:rsidRPr="00132917">
        <w:t>In 20</w:t>
      </w:r>
      <w:r w:rsidR="00263810">
        <w:t>20</w:t>
      </w:r>
      <w:r w:rsidRPr="00132917">
        <w:t xml:space="preserve"> our school supported this </w:t>
      </w:r>
      <w:r>
        <w:t>S</w:t>
      </w:r>
      <w:r w:rsidRPr="00132917">
        <w:t xml:space="preserve">trategic </w:t>
      </w:r>
      <w:r>
        <w:t>I</w:t>
      </w:r>
      <w:r w:rsidRPr="00132917">
        <w:t xml:space="preserve">ndicator through Priority </w:t>
      </w:r>
      <w:r>
        <w:t>1 and 2</w:t>
      </w:r>
      <w:r w:rsidRPr="00132917">
        <w:t>:</w:t>
      </w:r>
    </w:p>
    <w:p w14:paraId="7C2487EF" w14:textId="77777777" w:rsidR="007D13D5" w:rsidRDefault="007D13D5" w:rsidP="007D13D5">
      <w:pPr>
        <w:pStyle w:val="ListBullet"/>
      </w:pPr>
      <w:r w:rsidRPr="00881335">
        <w:t xml:space="preserve">To increase the proportion of learners at or above expected growth in writing and reading  </w:t>
      </w:r>
    </w:p>
    <w:p w14:paraId="207FC70D" w14:textId="77777777" w:rsidR="007D13D5" w:rsidRDefault="007D13D5" w:rsidP="007D13D5">
      <w:pPr>
        <w:pStyle w:val="ListBullet"/>
      </w:pPr>
      <w:r w:rsidRPr="00881335">
        <w:t xml:space="preserve">To increase the proportion of learners at or above expected growth in mathematics.  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00CB48B2" w14:textId="102FC10F" w:rsidR="00300F72" w:rsidRDefault="00300F72" w:rsidP="00300F72">
      <w:pPr>
        <w:pStyle w:val="BodyText"/>
      </w:pPr>
    </w:p>
    <w:p w14:paraId="6B398A53" w14:textId="76CBEAB7" w:rsidR="00300F72" w:rsidRPr="00132917" w:rsidRDefault="00300F72" w:rsidP="00132917">
      <w:pPr>
        <w:pStyle w:val="BodyText"/>
      </w:pPr>
      <w:r w:rsidRPr="00132917">
        <w:t>In 20</w:t>
      </w:r>
      <w:r w:rsidR="00263810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Priority </w:t>
      </w:r>
      <w:r w:rsidR="007D13D5">
        <w:t>3</w:t>
      </w:r>
      <w:r w:rsidRPr="00132917">
        <w:t>:</w:t>
      </w:r>
    </w:p>
    <w:p w14:paraId="3BDA2A90" w14:textId="09A00873" w:rsidR="00881335" w:rsidRDefault="007D13D5" w:rsidP="001B26EA">
      <w:pPr>
        <w:pStyle w:val="ListBullet"/>
      </w:pPr>
      <w:r w:rsidRPr="007D13D5">
        <w:t xml:space="preserve">Improve student wellbeing, </w:t>
      </w:r>
      <w:proofErr w:type="gramStart"/>
      <w:r w:rsidRPr="007D13D5">
        <w:t>engagement</w:t>
      </w:r>
      <w:proofErr w:type="gramEnd"/>
      <w:r w:rsidRPr="007D13D5">
        <w:t xml:space="preserve"> and connection to school to support their learning</w:t>
      </w:r>
      <w:r w:rsidR="00881335" w:rsidRPr="007D13D5">
        <w:t xml:space="preserve">.  </w:t>
      </w:r>
    </w:p>
    <w:p w14:paraId="5E7C2E09" w14:textId="77777777" w:rsidR="00263810" w:rsidRDefault="00263810" w:rsidP="00263810">
      <w:pPr>
        <w:pStyle w:val="ListBullet"/>
        <w:numPr>
          <w:ilvl w:val="0"/>
          <w:numId w:val="0"/>
        </w:numPr>
        <w:ind w:left="720" w:hanging="360"/>
      </w:pPr>
    </w:p>
    <w:p w14:paraId="59777CE8" w14:textId="29A29D60" w:rsidR="00300F72" w:rsidRPr="001B26EA" w:rsidRDefault="00300F72" w:rsidP="00263810">
      <w:pPr>
        <w:pStyle w:val="ListBullet"/>
        <w:numPr>
          <w:ilvl w:val="0"/>
          <w:numId w:val="0"/>
        </w:numPr>
        <w:ind w:left="720" w:hanging="360"/>
      </w:pPr>
      <w:r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A7DC0CC" w14:textId="111BF7C7" w:rsidR="00837137" w:rsidRPr="000F0410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881335" w:rsidRPr="00B41039">
        <w:rPr>
          <w:color w:val="2F5496" w:themeColor="accent5" w:themeShade="BF"/>
          <w:szCs w:val="24"/>
        </w:rPr>
        <w:t>To increase the proportion of learners at or above expected growth in writing and reading</w:t>
      </w:r>
      <w:r w:rsidR="00881335" w:rsidRPr="00B41039">
        <w:rPr>
          <w:color w:val="2F5496" w:themeColor="accent5" w:themeShade="BF"/>
        </w:rPr>
        <w:t xml:space="preserve">  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1319DBFF" w14:textId="3427B69D" w:rsidR="004D5E45" w:rsidRPr="00373DC0" w:rsidRDefault="004D5E45" w:rsidP="00837137">
      <w:pPr>
        <w:pStyle w:val="BodyText"/>
      </w:pPr>
      <w:r w:rsidRPr="00373DC0">
        <w:t>In 20</w:t>
      </w:r>
      <w:r w:rsidR="002E5819">
        <w:t>20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1AECBF28" w14:textId="3363FE31" w:rsidR="005116B3" w:rsidRDefault="005116B3" w:rsidP="00837137">
      <w:pPr>
        <w:pStyle w:val="ListBullet"/>
      </w:pPr>
      <w:r>
        <w:t>In 2020 we adjusted the priorities within our School Improvement Plan for a sharper focus.</w:t>
      </w:r>
    </w:p>
    <w:p w14:paraId="3ACCA448" w14:textId="08E38187" w:rsidR="00B3658D" w:rsidRPr="00B3658D" w:rsidRDefault="00B3658D" w:rsidP="00837137">
      <w:pPr>
        <w:pStyle w:val="ListBullet"/>
      </w:pPr>
      <w:r w:rsidRPr="00B3658D">
        <w:t>Staff engagement through workshops on a common understanding and language for what differentiation means and looks like in the classroom.</w:t>
      </w:r>
    </w:p>
    <w:p w14:paraId="62197C55" w14:textId="15604433" w:rsidR="00997CD0" w:rsidRPr="00B3658D" w:rsidRDefault="00B3658D" w:rsidP="00837137">
      <w:pPr>
        <w:pStyle w:val="ListBullet"/>
      </w:pPr>
      <w:r w:rsidRPr="00B3658D">
        <w:t xml:space="preserve"> Staff engagement and workshops on a clear and common approach to the delivery of curriculum from kindergarten to year 6.</w:t>
      </w:r>
    </w:p>
    <w:p w14:paraId="7DFF073D" w14:textId="47827BE8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11CF262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bookmarkStart w:id="0" w:name="_Hlk47096572"/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18BFB5A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2366ADC" w14:textId="3578162B" w:rsidR="006D2F6B" w:rsidRPr="00D03B0C" w:rsidRDefault="00881335" w:rsidP="00D56F5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3CAE587B" w14:textId="01795AC9" w:rsidR="006D2F6B" w:rsidRPr="00D03B0C" w:rsidRDefault="00881335" w:rsidP="00D56F5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0785495E" w14:textId="45636913" w:rsidR="006D2F6B" w:rsidRPr="00D03B0C" w:rsidRDefault="00881335" w:rsidP="00D56F5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1F5C5718" w14:textId="1963BEFE" w:rsidR="006D2F6B" w:rsidRPr="00D03B0C" w:rsidRDefault="00881335" w:rsidP="00D56F5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1" w:type="dxa"/>
            <w:shd w:val="clear" w:color="auto" w:fill="auto"/>
          </w:tcPr>
          <w:p w14:paraId="3485F32F" w14:textId="283C54A7" w:rsidR="006D2F6B" w:rsidRPr="00D03B0C" w:rsidRDefault="00881335" w:rsidP="00D56F5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881335" w14:paraId="3B6F6B79" w14:textId="77777777" w:rsidTr="00216DA7">
        <w:trPr>
          <w:jc w:val="center"/>
        </w:trPr>
        <w:tc>
          <w:tcPr>
            <w:tcW w:w="4297" w:type="dxa"/>
            <w:shd w:val="clear" w:color="auto" w:fill="auto"/>
          </w:tcPr>
          <w:p w14:paraId="52F72BA3" w14:textId="656BFD53" w:rsidR="00881335" w:rsidRPr="00D03B0C" w:rsidRDefault="00881335" w:rsidP="00881335">
            <w:pPr>
              <w:pStyle w:val="PlainText"/>
            </w:pPr>
            <w:r w:rsidRPr="00881335">
              <w:t>80% of each kindergarten cohort making at or above expected progress in Reading (PIPS</w:t>
            </w:r>
            <w:r w:rsidR="002E5819">
              <w:t>/BASE</w:t>
            </w:r>
            <w:r w:rsidRPr="00881335">
              <w:t>)</w:t>
            </w:r>
          </w:p>
        </w:tc>
        <w:tc>
          <w:tcPr>
            <w:tcW w:w="790" w:type="dxa"/>
          </w:tcPr>
          <w:p w14:paraId="6F51F004" w14:textId="6E8FACE5" w:rsidR="00881335" w:rsidRPr="00D03B0C" w:rsidRDefault="00881335" w:rsidP="00881335">
            <w:pPr>
              <w:jc w:val="center"/>
            </w:pPr>
            <w:r w:rsidRPr="0005793E">
              <w:rPr>
                <w:bCs/>
              </w:rPr>
              <w:t>61.9</w:t>
            </w:r>
          </w:p>
        </w:tc>
        <w:tc>
          <w:tcPr>
            <w:tcW w:w="790" w:type="dxa"/>
          </w:tcPr>
          <w:p w14:paraId="3571C78F" w14:textId="18E8C382" w:rsidR="00881335" w:rsidRPr="00D03B0C" w:rsidRDefault="00881335" w:rsidP="00881335">
            <w:pPr>
              <w:jc w:val="center"/>
            </w:pPr>
            <w:r>
              <w:rPr>
                <w:b/>
              </w:rPr>
              <w:t>65.4</w:t>
            </w:r>
          </w:p>
        </w:tc>
        <w:tc>
          <w:tcPr>
            <w:tcW w:w="790" w:type="dxa"/>
          </w:tcPr>
          <w:p w14:paraId="69018766" w14:textId="34A0FE83" w:rsidR="00881335" w:rsidRPr="00D03B0C" w:rsidRDefault="00881335" w:rsidP="00881335">
            <w:pPr>
              <w:jc w:val="center"/>
            </w:pPr>
            <w:r>
              <w:rPr>
                <w:b/>
              </w:rPr>
              <w:t>78.8</w:t>
            </w:r>
          </w:p>
        </w:tc>
        <w:tc>
          <w:tcPr>
            <w:tcW w:w="790" w:type="dxa"/>
            <w:shd w:val="clear" w:color="auto" w:fill="auto"/>
          </w:tcPr>
          <w:p w14:paraId="7AB434B5" w14:textId="3BF5E937" w:rsidR="00881335" w:rsidRPr="00D03B0C" w:rsidRDefault="00AB04C8" w:rsidP="00881335">
            <w:pPr>
              <w:jc w:val="center"/>
            </w:pPr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6E571018" w14:textId="77777777" w:rsidR="00881335" w:rsidRPr="00D03B0C" w:rsidRDefault="00881335" w:rsidP="00881335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1D114ACD" w14:textId="77777777" w:rsidR="00881335" w:rsidRPr="00D03B0C" w:rsidRDefault="00881335" w:rsidP="00881335">
            <w:pPr>
              <w:jc w:val="center"/>
            </w:pPr>
          </w:p>
        </w:tc>
      </w:tr>
      <w:tr w:rsidR="00E52851" w14:paraId="5813AEE9" w14:textId="77777777" w:rsidTr="00216DA7">
        <w:trPr>
          <w:jc w:val="center"/>
        </w:trPr>
        <w:tc>
          <w:tcPr>
            <w:tcW w:w="4297" w:type="dxa"/>
            <w:shd w:val="clear" w:color="auto" w:fill="auto"/>
          </w:tcPr>
          <w:p w14:paraId="32EE34F3" w14:textId="0A513472" w:rsidR="00E52851" w:rsidRPr="00881335" w:rsidRDefault="00E52851" w:rsidP="00E52851">
            <w:pPr>
              <w:pStyle w:val="PlainText"/>
            </w:pPr>
            <w:r>
              <w:t xml:space="preserve">% of </w:t>
            </w:r>
            <w:r w:rsidRPr="00E52851">
              <w:t>year 5 students making at or above expected progress in Reading</w:t>
            </w:r>
            <w:r>
              <w:t>.</w:t>
            </w:r>
          </w:p>
        </w:tc>
        <w:tc>
          <w:tcPr>
            <w:tcW w:w="790" w:type="dxa"/>
          </w:tcPr>
          <w:p w14:paraId="77720ECA" w14:textId="0C35F05E" w:rsidR="00E52851" w:rsidRPr="0005793E" w:rsidRDefault="00E52851" w:rsidP="00E52851">
            <w:pPr>
              <w:jc w:val="center"/>
              <w:rPr>
                <w:bCs/>
              </w:rPr>
            </w:pPr>
            <w:r>
              <w:rPr>
                <w:b/>
              </w:rPr>
              <w:t>58</w:t>
            </w:r>
          </w:p>
        </w:tc>
        <w:tc>
          <w:tcPr>
            <w:tcW w:w="790" w:type="dxa"/>
          </w:tcPr>
          <w:p w14:paraId="6DAE4448" w14:textId="0C530CA9" w:rsidR="00E52851" w:rsidRDefault="00E52851" w:rsidP="00E5285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90" w:type="dxa"/>
          </w:tcPr>
          <w:p w14:paraId="517E6362" w14:textId="69195FF2" w:rsidR="00E52851" w:rsidRDefault="00E52851" w:rsidP="00E5285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90" w:type="dxa"/>
            <w:shd w:val="clear" w:color="auto" w:fill="auto"/>
          </w:tcPr>
          <w:p w14:paraId="78B78FB9" w14:textId="6A6F9246" w:rsidR="00E52851" w:rsidRPr="00D03B0C" w:rsidRDefault="008F0A49" w:rsidP="00E52851">
            <w:pPr>
              <w:jc w:val="center"/>
            </w:pPr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3511A657" w14:textId="77777777" w:rsidR="00E52851" w:rsidRPr="00D03B0C" w:rsidRDefault="00E52851" w:rsidP="00E52851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01273472" w14:textId="77777777" w:rsidR="00E52851" w:rsidRPr="00D03B0C" w:rsidRDefault="00E52851" w:rsidP="00E52851">
            <w:pPr>
              <w:jc w:val="center"/>
            </w:pPr>
          </w:p>
        </w:tc>
      </w:tr>
      <w:tr w:rsidR="00E52851" w14:paraId="3C87B53D" w14:textId="77777777" w:rsidTr="00216DA7">
        <w:trPr>
          <w:jc w:val="center"/>
        </w:trPr>
        <w:tc>
          <w:tcPr>
            <w:tcW w:w="4297" w:type="dxa"/>
            <w:shd w:val="clear" w:color="auto" w:fill="auto"/>
          </w:tcPr>
          <w:p w14:paraId="3654AE15" w14:textId="4F9B03E4" w:rsidR="00E52851" w:rsidRPr="00881335" w:rsidRDefault="00E52851" w:rsidP="00E52851">
            <w:pPr>
              <w:pStyle w:val="PlainText"/>
            </w:pPr>
            <w:r w:rsidRPr="00E52851">
              <w:t xml:space="preserve">% of year 5 students making at or above expected progress in </w:t>
            </w:r>
            <w:r>
              <w:t xml:space="preserve">writing </w:t>
            </w:r>
          </w:p>
        </w:tc>
        <w:tc>
          <w:tcPr>
            <w:tcW w:w="790" w:type="dxa"/>
          </w:tcPr>
          <w:p w14:paraId="69A731A5" w14:textId="0D82BBBB" w:rsidR="00E52851" w:rsidRPr="0005793E" w:rsidRDefault="00E52851" w:rsidP="00E52851">
            <w:pPr>
              <w:jc w:val="center"/>
              <w:rPr>
                <w:bCs/>
              </w:rPr>
            </w:pPr>
            <w:r>
              <w:rPr>
                <w:b/>
              </w:rPr>
              <w:t>47</w:t>
            </w:r>
          </w:p>
        </w:tc>
        <w:tc>
          <w:tcPr>
            <w:tcW w:w="790" w:type="dxa"/>
          </w:tcPr>
          <w:p w14:paraId="4E2874DC" w14:textId="6B68AF3A" w:rsidR="00E52851" w:rsidRDefault="00E52851" w:rsidP="00E5285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90" w:type="dxa"/>
          </w:tcPr>
          <w:p w14:paraId="011807AC" w14:textId="2A172A0D" w:rsidR="00E52851" w:rsidRDefault="00E52851" w:rsidP="00E5285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90" w:type="dxa"/>
            <w:shd w:val="clear" w:color="auto" w:fill="auto"/>
          </w:tcPr>
          <w:p w14:paraId="11EB0C9B" w14:textId="554B7DD1" w:rsidR="00E52851" w:rsidRPr="00D03B0C" w:rsidRDefault="008F0A49" w:rsidP="00E52851">
            <w:pPr>
              <w:jc w:val="center"/>
            </w:pPr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014F55DA" w14:textId="77777777" w:rsidR="00E52851" w:rsidRPr="00D03B0C" w:rsidRDefault="00E52851" w:rsidP="00E52851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5B9D4C5F" w14:textId="77777777" w:rsidR="00E52851" w:rsidRPr="00D03B0C" w:rsidRDefault="00E52851" w:rsidP="00E52851">
            <w:pPr>
              <w:jc w:val="center"/>
            </w:pPr>
          </w:p>
        </w:tc>
      </w:tr>
      <w:bookmarkEnd w:id="0"/>
    </w:tbl>
    <w:p w14:paraId="0AE53BFF" w14:textId="088FCA6E" w:rsidR="00E52851" w:rsidRDefault="00E52851" w:rsidP="00C0648C">
      <w:pPr>
        <w:pStyle w:val="Heading4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E52851" w:rsidRPr="00E52851" w14:paraId="7412C263" w14:textId="77777777" w:rsidTr="002E4723">
        <w:tc>
          <w:tcPr>
            <w:tcW w:w="1288" w:type="dxa"/>
          </w:tcPr>
          <w:p w14:paraId="02EC2494" w14:textId="6A3A54D8" w:rsidR="00E52851" w:rsidRPr="00E52851" w:rsidRDefault="001046D8" w:rsidP="00E5285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% </w:t>
            </w:r>
            <w:r w:rsidR="00E52851" w:rsidRPr="00E52851">
              <w:rPr>
                <w:b/>
              </w:rPr>
              <w:t>Year 3</w:t>
            </w:r>
            <w:r>
              <w:rPr>
                <w:b/>
              </w:rPr>
              <w:t xml:space="preserve"> </w:t>
            </w:r>
            <w:r w:rsidR="00E52851" w:rsidRPr="00E52851">
              <w:rPr>
                <w:b/>
              </w:rPr>
              <w:t>in top two bands</w:t>
            </w:r>
          </w:p>
        </w:tc>
        <w:tc>
          <w:tcPr>
            <w:tcW w:w="1288" w:type="dxa"/>
          </w:tcPr>
          <w:p w14:paraId="3844043A" w14:textId="29BCB192" w:rsidR="00E52851" w:rsidRPr="00E52851" w:rsidRDefault="001046D8" w:rsidP="001046D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288" w:type="dxa"/>
          </w:tcPr>
          <w:p w14:paraId="24630356" w14:textId="77777777" w:rsidR="00E52851" w:rsidRPr="00E52851" w:rsidRDefault="00E52851" w:rsidP="001046D8">
            <w:pPr>
              <w:spacing w:after="160" w:line="259" w:lineRule="auto"/>
              <w:jc w:val="center"/>
              <w:rPr>
                <w:b/>
              </w:rPr>
            </w:pPr>
            <w:r w:rsidRPr="00E52851">
              <w:rPr>
                <w:b/>
              </w:rPr>
              <w:t>2018</w:t>
            </w:r>
          </w:p>
        </w:tc>
        <w:tc>
          <w:tcPr>
            <w:tcW w:w="1288" w:type="dxa"/>
          </w:tcPr>
          <w:p w14:paraId="0583B1B1" w14:textId="77777777" w:rsidR="00E52851" w:rsidRPr="00E52851" w:rsidRDefault="00E52851" w:rsidP="001046D8">
            <w:pPr>
              <w:spacing w:after="160" w:line="259" w:lineRule="auto"/>
              <w:jc w:val="center"/>
              <w:rPr>
                <w:b/>
              </w:rPr>
            </w:pPr>
            <w:r w:rsidRPr="00E52851">
              <w:rPr>
                <w:b/>
              </w:rPr>
              <w:t>2019</w:t>
            </w:r>
          </w:p>
        </w:tc>
        <w:tc>
          <w:tcPr>
            <w:tcW w:w="1288" w:type="dxa"/>
          </w:tcPr>
          <w:p w14:paraId="284496AA" w14:textId="77777777" w:rsidR="00E52851" w:rsidRPr="00E52851" w:rsidRDefault="00E52851" w:rsidP="001046D8">
            <w:pPr>
              <w:spacing w:after="160" w:line="259" w:lineRule="auto"/>
              <w:jc w:val="center"/>
              <w:rPr>
                <w:b/>
              </w:rPr>
            </w:pPr>
            <w:r w:rsidRPr="00E52851">
              <w:rPr>
                <w:b/>
              </w:rPr>
              <w:t>2020</w:t>
            </w:r>
          </w:p>
        </w:tc>
        <w:tc>
          <w:tcPr>
            <w:tcW w:w="1288" w:type="dxa"/>
          </w:tcPr>
          <w:p w14:paraId="6A54B68C" w14:textId="77777777" w:rsidR="00E52851" w:rsidRPr="00E52851" w:rsidRDefault="00E52851" w:rsidP="001046D8">
            <w:pPr>
              <w:spacing w:after="160" w:line="259" w:lineRule="auto"/>
              <w:jc w:val="center"/>
              <w:rPr>
                <w:b/>
              </w:rPr>
            </w:pPr>
            <w:r w:rsidRPr="00E52851">
              <w:rPr>
                <w:b/>
              </w:rPr>
              <w:t>2021</w:t>
            </w:r>
          </w:p>
        </w:tc>
        <w:tc>
          <w:tcPr>
            <w:tcW w:w="1288" w:type="dxa"/>
          </w:tcPr>
          <w:p w14:paraId="4EEBFAF1" w14:textId="77777777" w:rsidR="00E52851" w:rsidRPr="00E52851" w:rsidRDefault="00E52851" w:rsidP="001046D8">
            <w:pPr>
              <w:spacing w:after="160" w:line="259" w:lineRule="auto"/>
              <w:jc w:val="center"/>
              <w:rPr>
                <w:b/>
              </w:rPr>
            </w:pPr>
            <w:r w:rsidRPr="00E52851">
              <w:rPr>
                <w:b/>
              </w:rPr>
              <w:t>2022</w:t>
            </w:r>
          </w:p>
          <w:p w14:paraId="4E06C079" w14:textId="599C4DD6" w:rsidR="00E52851" w:rsidRPr="00E52851" w:rsidRDefault="00E52851" w:rsidP="001046D8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E52851" w:rsidRPr="00E52851" w14:paraId="104E5E1D" w14:textId="77777777" w:rsidTr="002E4723">
        <w:tc>
          <w:tcPr>
            <w:tcW w:w="1288" w:type="dxa"/>
          </w:tcPr>
          <w:p w14:paraId="0EB84767" w14:textId="77777777" w:rsidR="00E52851" w:rsidRPr="00E52851" w:rsidRDefault="00E52851" w:rsidP="00E52851">
            <w:pPr>
              <w:spacing w:after="160" w:line="259" w:lineRule="auto"/>
              <w:rPr>
                <w:b/>
              </w:rPr>
            </w:pPr>
            <w:r w:rsidRPr="00E52851">
              <w:rPr>
                <w:b/>
              </w:rPr>
              <w:t>Writing</w:t>
            </w:r>
          </w:p>
        </w:tc>
        <w:tc>
          <w:tcPr>
            <w:tcW w:w="1288" w:type="dxa"/>
          </w:tcPr>
          <w:p w14:paraId="4E980293" w14:textId="77777777" w:rsidR="00E52851" w:rsidRPr="00E52851" w:rsidRDefault="00E52851" w:rsidP="001046D8">
            <w:pPr>
              <w:spacing w:after="160" w:line="259" w:lineRule="auto"/>
              <w:jc w:val="center"/>
              <w:rPr>
                <w:b/>
              </w:rPr>
            </w:pPr>
            <w:r w:rsidRPr="00E52851">
              <w:rPr>
                <w:b/>
              </w:rPr>
              <w:t>36.2</w:t>
            </w:r>
          </w:p>
        </w:tc>
        <w:tc>
          <w:tcPr>
            <w:tcW w:w="1288" w:type="dxa"/>
          </w:tcPr>
          <w:p w14:paraId="38A7982C" w14:textId="77777777" w:rsidR="00E52851" w:rsidRPr="00E52851" w:rsidRDefault="00E52851" w:rsidP="001046D8">
            <w:pPr>
              <w:spacing w:after="160" w:line="259" w:lineRule="auto"/>
              <w:jc w:val="center"/>
              <w:rPr>
                <w:b/>
              </w:rPr>
            </w:pPr>
            <w:r w:rsidRPr="00E52851">
              <w:rPr>
                <w:b/>
              </w:rPr>
              <w:t>39.1</w:t>
            </w:r>
          </w:p>
        </w:tc>
        <w:tc>
          <w:tcPr>
            <w:tcW w:w="1288" w:type="dxa"/>
          </w:tcPr>
          <w:p w14:paraId="10859080" w14:textId="77777777" w:rsidR="00E52851" w:rsidRPr="00E52851" w:rsidRDefault="00E52851" w:rsidP="001046D8">
            <w:pPr>
              <w:spacing w:after="160" w:line="259" w:lineRule="auto"/>
              <w:jc w:val="center"/>
              <w:rPr>
                <w:b/>
              </w:rPr>
            </w:pPr>
            <w:r w:rsidRPr="00E52851">
              <w:rPr>
                <w:b/>
              </w:rPr>
              <w:t>54.5</w:t>
            </w:r>
          </w:p>
        </w:tc>
        <w:tc>
          <w:tcPr>
            <w:tcW w:w="1288" w:type="dxa"/>
          </w:tcPr>
          <w:p w14:paraId="6F054109" w14:textId="7F1A7564" w:rsidR="00E52851" w:rsidRPr="00E52851" w:rsidRDefault="008F0A49" w:rsidP="001046D8">
            <w:pPr>
              <w:spacing w:after="160" w:line="259" w:lineRule="auto"/>
              <w:jc w:val="center"/>
              <w:rPr>
                <w:b/>
              </w:rPr>
            </w:pPr>
            <w:r>
              <w:t>N/A</w:t>
            </w:r>
          </w:p>
        </w:tc>
        <w:tc>
          <w:tcPr>
            <w:tcW w:w="1288" w:type="dxa"/>
          </w:tcPr>
          <w:p w14:paraId="379CDB80" w14:textId="77777777" w:rsidR="00E52851" w:rsidRPr="00E52851" w:rsidRDefault="00E52851" w:rsidP="001046D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14:paraId="179D8044" w14:textId="77777777" w:rsidR="00E52851" w:rsidRPr="00E52851" w:rsidRDefault="00E52851" w:rsidP="001046D8">
            <w:pPr>
              <w:spacing w:after="160" w:line="259" w:lineRule="auto"/>
              <w:jc w:val="center"/>
              <w:rPr>
                <w:b/>
              </w:rPr>
            </w:pPr>
            <w:r w:rsidRPr="00E52851">
              <w:rPr>
                <w:b/>
              </w:rPr>
              <w:t>68</w:t>
            </w:r>
          </w:p>
        </w:tc>
      </w:tr>
      <w:tr w:rsidR="00E52851" w:rsidRPr="00E52851" w14:paraId="0477DFBC" w14:textId="77777777" w:rsidTr="002E4723">
        <w:tc>
          <w:tcPr>
            <w:tcW w:w="1288" w:type="dxa"/>
          </w:tcPr>
          <w:p w14:paraId="297D34DC" w14:textId="77777777" w:rsidR="00E52851" w:rsidRPr="00E52851" w:rsidRDefault="00E52851" w:rsidP="00E52851">
            <w:pPr>
              <w:spacing w:after="160" w:line="259" w:lineRule="auto"/>
              <w:rPr>
                <w:b/>
              </w:rPr>
            </w:pPr>
            <w:r w:rsidRPr="00E52851">
              <w:rPr>
                <w:b/>
              </w:rPr>
              <w:t>Reading</w:t>
            </w:r>
          </w:p>
        </w:tc>
        <w:tc>
          <w:tcPr>
            <w:tcW w:w="1288" w:type="dxa"/>
          </w:tcPr>
          <w:p w14:paraId="4361A9D9" w14:textId="77777777" w:rsidR="00E52851" w:rsidRPr="00E52851" w:rsidRDefault="00E52851" w:rsidP="001046D8">
            <w:pPr>
              <w:spacing w:after="160" w:line="259" w:lineRule="auto"/>
              <w:jc w:val="center"/>
              <w:rPr>
                <w:b/>
              </w:rPr>
            </w:pPr>
            <w:r w:rsidRPr="00E52851">
              <w:rPr>
                <w:b/>
              </w:rPr>
              <w:t>58.5</w:t>
            </w:r>
          </w:p>
        </w:tc>
        <w:tc>
          <w:tcPr>
            <w:tcW w:w="1288" w:type="dxa"/>
          </w:tcPr>
          <w:p w14:paraId="14BDC014" w14:textId="77777777" w:rsidR="00E52851" w:rsidRPr="00E52851" w:rsidRDefault="00E52851" w:rsidP="001046D8">
            <w:pPr>
              <w:spacing w:after="160" w:line="259" w:lineRule="auto"/>
              <w:jc w:val="center"/>
              <w:rPr>
                <w:b/>
              </w:rPr>
            </w:pPr>
            <w:r w:rsidRPr="00E52851">
              <w:rPr>
                <w:b/>
              </w:rPr>
              <w:t>62.5</w:t>
            </w:r>
          </w:p>
        </w:tc>
        <w:tc>
          <w:tcPr>
            <w:tcW w:w="1288" w:type="dxa"/>
          </w:tcPr>
          <w:p w14:paraId="4E7E755D" w14:textId="77777777" w:rsidR="00E52851" w:rsidRPr="00E52851" w:rsidRDefault="00E52851" w:rsidP="001046D8">
            <w:pPr>
              <w:spacing w:after="160" w:line="259" w:lineRule="auto"/>
              <w:jc w:val="center"/>
              <w:rPr>
                <w:b/>
              </w:rPr>
            </w:pPr>
            <w:r w:rsidRPr="00E52851">
              <w:rPr>
                <w:b/>
              </w:rPr>
              <w:t>46.8</w:t>
            </w:r>
          </w:p>
        </w:tc>
        <w:tc>
          <w:tcPr>
            <w:tcW w:w="1288" w:type="dxa"/>
          </w:tcPr>
          <w:p w14:paraId="6469502B" w14:textId="05441EFA" w:rsidR="00E52851" w:rsidRPr="00E52851" w:rsidRDefault="008F0A49" w:rsidP="001046D8">
            <w:pPr>
              <w:spacing w:after="160" w:line="259" w:lineRule="auto"/>
              <w:jc w:val="center"/>
              <w:rPr>
                <w:b/>
              </w:rPr>
            </w:pPr>
            <w:r>
              <w:t>N/A</w:t>
            </w:r>
          </w:p>
        </w:tc>
        <w:tc>
          <w:tcPr>
            <w:tcW w:w="1288" w:type="dxa"/>
          </w:tcPr>
          <w:p w14:paraId="3735643A" w14:textId="77777777" w:rsidR="00E52851" w:rsidRPr="00E52851" w:rsidRDefault="00E52851" w:rsidP="001046D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14:paraId="1652E069" w14:textId="77777777" w:rsidR="00E52851" w:rsidRPr="00E52851" w:rsidRDefault="00E52851" w:rsidP="001046D8">
            <w:pPr>
              <w:spacing w:after="160" w:line="259" w:lineRule="auto"/>
              <w:jc w:val="center"/>
              <w:rPr>
                <w:b/>
              </w:rPr>
            </w:pPr>
            <w:r w:rsidRPr="00E52851">
              <w:rPr>
                <w:b/>
              </w:rPr>
              <w:t>66.4</w:t>
            </w:r>
          </w:p>
        </w:tc>
      </w:tr>
    </w:tbl>
    <w:p w14:paraId="59F3696C" w14:textId="706BD99F" w:rsidR="00E52851" w:rsidRDefault="00E52851" w:rsidP="00C0648C">
      <w:pPr>
        <w:pStyle w:val="Heading4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E52851" w:rsidRPr="00E52851" w14:paraId="62C24E1A" w14:textId="77777777" w:rsidTr="00E52851">
        <w:trPr>
          <w:trHeight w:val="894"/>
        </w:trPr>
        <w:tc>
          <w:tcPr>
            <w:tcW w:w="1288" w:type="dxa"/>
          </w:tcPr>
          <w:p w14:paraId="359485E2" w14:textId="311BFCD7" w:rsidR="00E52851" w:rsidRPr="00E52851" w:rsidRDefault="001046D8" w:rsidP="00E52851">
            <w:pPr>
              <w:spacing w:after="240" w:line="276" w:lineRule="auto"/>
              <w:rPr>
                <w:rFonts w:ascii="Calibri" w:hAnsi="Calibri" w:cs="Times New Roman"/>
                <w:b/>
              </w:rPr>
            </w:pPr>
            <w:bookmarkStart w:id="1" w:name="_Hlk46744741"/>
            <w:proofErr w:type="gramStart"/>
            <w:r>
              <w:rPr>
                <w:rFonts w:ascii="Calibri" w:hAnsi="Calibri" w:cs="Times New Roman"/>
                <w:b/>
              </w:rPr>
              <w:t>%  of</w:t>
            </w:r>
            <w:proofErr w:type="gramEnd"/>
            <w:r>
              <w:rPr>
                <w:rFonts w:ascii="Calibri" w:hAnsi="Calibri" w:cs="Times New Roman"/>
                <w:b/>
              </w:rPr>
              <w:t xml:space="preserve"> </w:t>
            </w:r>
            <w:r w:rsidR="00E52851" w:rsidRPr="00E52851">
              <w:rPr>
                <w:rFonts w:ascii="Calibri" w:hAnsi="Calibri" w:cs="Times New Roman"/>
                <w:b/>
              </w:rPr>
              <w:t>Year 5</w:t>
            </w:r>
            <w:r>
              <w:rPr>
                <w:rFonts w:ascii="Calibri" w:hAnsi="Calibri" w:cs="Times New Roman"/>
                <w:b/>
              </w:rPr>
              <w:t xml:space="preserve"> i</w:t>
            </w:r>
            <w:r w:rsidR="00E52851" w:rsidRPr="00E52851">
              <w:rPr>
                <w:rFonts w:ascii="Calibri" w:hAnsi="Calibri" w:cs="Times New Roman"/>
                <w:b/>
              </w:rPr>
              <w:t>n top two bands</w:t>
            </w:r>
          </w:p>
        </w:tc>
        <w:tc>
          <w:tcPr>
            <w:tcW w:w="1288" w:type="dxa"/>
          </w:tcPr>
          <w:p w14:paraId="1DE0F4CA" w14:textId="09F2353D" w:rsidR="00E52851" w:rsidRPr="00E52851" w:rsidRDefault="001046D8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Base</w:t>
            </w:r>
          </w:p>
        </w:tc>
        <w:tc>
          <w:tcPr>
            <w:tcW w:w="1288" w:type="dxa"/>
          </w:tcPr>
          <w:p w14:paraId="5A1B9A03" w14:textId="77777777" w:rsidR="00E52851" w:rsidRPr="00E52851" w:rsidRDefault="00E52851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  <w:r w:rsidRPr="00E52851">
              <w:rPr>
                <w:rFonts w:ascii="Calibri" w:hAnsi="Calibri" w:cs="Times New Roman"/>
                <w:b/>
              </w:rPr>
              <w:t>2018</w:t>
            </w:r>
          </w:p>
        </w:tc>
        <w:tc>
          <w:tcPr>
            <w:tcW w:w="1288" w:type="dxa"/>
          </w:tcPr>
          <w:p w14:paraId="6FF03A81" w14:textId="77777777" w:rsidR="00E52851" w:rsidRPr="00E52851" w:rsidRDefault="00E52851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  <w:r w:rsidRPr="00E52851">
              <w:rPr>
                <w:rFonts w:ascii="Calibri" w:hAnsi="Calibri" w:cs="Times New Roman"/>
                <w:b/>
              </w:rPr>
              <w:t>2019</w:t>
            </w:r>
          </w:p>
        </w:tc>
        <w:tc>
          <w:tcPr>
            <w:tcW w:w="1288" w:type="dxa"/>
          </w:tcPr>
          <w:p w14:paraId="6E0169C3" w14:textId="77777777" w:rsidR="00E52851" w:rsidRPr="00E52851" w:rsidRDefault="00E52851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  <w:r w:rsidRPr="00E52851">
              <w:rPr>
                <w:rFonts w:ascii="Calibri" w:hAnsi="Calibri" w:cs="Times New Roman"/>
                <w:b/>
              </w:rPr>
              <w:t>2020</w:t>
            </w:r>
          </w:p>
        </w:tc>
        <w:tc>
          <w:tcPr>
            <w:tcW w:w="1288" w:type="dxa"/>
          </w:tcPr>
          <w:p w14:paraId="47434444" w14:textId="77777777" w:rsidR="00E52851" w:rsidRPr="00E52851" w:rsidRDefault="00E52851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  <w:r w:rsidRPr="00E52851">
              <w:rPr>
                <w:rFonts w:ascii="Calibri" w:hAnsi="Calibri" w:cs="Times New Roman"/>
                <w:b/>
              </w:rPr>
              <w:t>2021</w:t>
            </w:r>
          </w:p>
        </w:tc>
        <w:tc>
          <w:tcPr>
            <w:tcW w:w="1288" w:type="dxa"/>
          </w:tcPr>
          <w:p w14:paraId="38C117FE" w14:textId="19BF934F" w:rsidR="00E52851" w:rsidRPr="00E52851" w:rsidRDefault="00E52851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  <w:r w:rsidRPr="00E52851">
              <w:rPr>
                <w:rFonts w:ascii="Calibri" w:hAnsi="Calibri" w:cs="Times New Roman"/>
                <w:b/>
              </w:rPr>
              <w:t>2022</w:t>
            </w:r>
          </w:p>
        </w:tc>
      </w:tr>
      <w:bookmarkEnd w:id="1"/>
      <w:tr w:rsidR="00E52851" w:rsidRPr="00E52851" w14:paraId="46B63F2F" w14:textId="77777777" w:rsidTr="002E4723">
        <w:tc>
          <w:tcPr>
            <w:tcW w:w="1288" w:type="dxa"/>
          </w:tcPr>
          <w:p w14:paraId="533B2BB0" w14:textId="77777777" w:rsidR="00E52851" w:rsidRPr="00E52851" w:rsidRDefault="00E52851" w:rsidP="00E52851">
            <w:pPr>
              <w:spacing w:after="240" w:line="276" w:lineRule="auto"/>
              <w:rPr>
                <w:rFonts w:ascii="Calibri" w:hAnsi="Calibri" w:cs="Times New Roman"/>
                <w:b/>
              </w:rPr>
            </w:pPr>
            <w:r w:rsidRPr="00E52851">
              <w:rPr>
                <w:rFonts w:ascii="Calibri" w:hAnsi="Calibri" w:cs="Times New Roman"/>
                <w:b/>
              </w:rPr>
              <w:t>Writing</w:t>
            </w:r>
          </w:p>
        </w:tc>
        <w:tc>
          <w:tcPr>
            <w:tcW w:w="1288" w:type="dxa"/>
          </w:tcPr>
          <w:p w14:paraId="2007DC86" w14:textId="77777777" w:rsidR="00E52851" w:rsidRPr="00E52851" w:rsidRDefault="00E52851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  <w:r w:rsidRPr="00E52851">
              <w:rPr>
                <w:rFonts w:ascii="Calibri" w:hAnsi="Calibri" w:cs="Times New Roman"/>
                <w:b/>
              </w:rPr>
              <w:t>15.1</w:t>
            </w:r>
          </w:p>
        </w:tc>
        <w:tc>
          <w:tcPr>
            <w:tcW w:w="1288" w:type="dxa"/>
          </w:tcPr>
          <w:p w14:paraId="68A3D57F" w14:textId="77777777" w:rsidR="00E52851" w:rsidRPr="00E52851" w:rsidRDefault="00E52851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  <w:r w:rsidRPr="00E52851">
              <w:rPr>
                <w:rFonts w:ascii="Calibri" w:hAnsi="Calibri" w:cs="Times New Roman"/>
                <w:b/>
              </w:rPr>
              <w:t>10.3</w:t>
            </w:r>
          </w:p>
        </w:tc>
        <w:tc>
          <w:tcPr>
            <w:tcW w:w="1288" w:type="dxa"/>
          </w:tcPr>
          <w:p w14:paraId="70425AA7" w14:textId="77777777" w:rsidR="00E52851" w:rsidRPr="00E52851" w:rsidRDefault="00E52851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  <w:r w:rsidRPr="00E52851">
              <w:rPr>
                <w:rFonts w:ascii="Calibri" w:hAnsi="Calibri" w:cs="Times New Roman"/>
                <w:b/>
              </w:rPr>
              <w:t>14.1</w:t>
            </w:r>
          </w:p>
        </w:tc>
        <w:tc>
          <w:tcPr>
            <w:tcW w:w="1288" w:type="dxa"/>
          </w:tcPr>
          <w:p w14:paraId="3C9C99A0" w14:textId="21FB4036" w:rsidR="00E52851" w:rsidRPr="00E52851" w:rsidRDefault="008F0A49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t>N/A</w:t>
            </w:r>
          </w:p>
        </w:tc>
        <w:tc>
          <w:tcPr>
            <w:tcW w:w="1288" w:type="dxa"/>
          </w:tcPr>
          <w:p w14:paraId="5EBE6AC3" w14:textId="77777777" w:rsidR="00E52851" w:rsidRPr="00E52851" w:rsidRDefault="00E52851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88" w:type="dxa"/>
          </w:tcPr>
          <w:p w14:paraId="4A129A4C" w14:textId="6582F0F3" w:rsidR="00E52851" w:rsidRPr="00E52851" w:rsidRDefault="00E52851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E52851" w:rsidRPr="00E52851" w14:paraId="141BB3E7" w14:textId="77777777" w:rsidTr="002E4723">
        <w:tc>
          <w:tcPr>
            <w:tcW w:w="1288" w:type="dxa"/>
          </w:tcPr>
          <w:p w14:paraId="58A2C54A" w14:textId="77777777" w:rsidR="00E52851" w:rsidRPr="00E52851" w:rsidRDefault="00E52851" w:rsidP="00E52851">
            <w:pPr>
              <w:spacing w:after="240" w:line="276" w:lineRule="auto"/>
              <w:rPr>
                <w:rFonts w:ascii="Calibri" w:hAnsi="Calibri" w:cs="Times New Roman"/>
                <w:b/>
              </w:rPr>
            </w:pPr>
            <w:r w:rsidRPr="00E52851">
              <w:rPr>
                <w:rFonts w:ascii="Calibri" w:hAnsi="Calibri" w:cs="Times New Roman"/>
                <w:b/>
              </w:rPr>
              <w:t>Reading</w:t>
            </w:r>
          </w:p>
        </w:tc>
        <w:tc>
          <w:tcPr>
            <w:tcW w:w="1288" w:type="dxa"/>
          </w:tcPr>
          <w:p w14:paraId="77779234" w14:textId="77777777" w:rsidR="00E52851" w:rsidRPr="00E52851" w:rsidRDefault="00E52851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  <w:r w:rsidRPr="00E52851">
              <w:rPr>
                <w:rFonts w:ascii="Calibri" w:hAnsi="Calibri" w:cs="Times New Roman"/>
                <w:b/>
              </w:rPr>
              <w:t>43.9</w:t>
            </w:r>
          </w:p>
        </w:tc>
        <w:tc>
          <w:tcPr>
            <w:tcW w:w="1288" w:type="dxa"/>
          </w:tcPr>
          <w:p w14:paraId="4130CB6D" w14:textId="77777777" w:rsidR="00E52851" w:rsidRPr="00E52851" w:rsidRDefault="00E52851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  <w:r w:rsidRPr="00E52851">
              <w:rPr>
                <w:rFonts w:ascii="Calibri" w:hAnsi="Calibri" w:cs="Times New Roman"/>
                <w:b/>
              </w:rPr>
              <w:t>48.3</w:t>
            </w:r>
          </w:p>
        </w:tc>
        <w:tc>
          <w:tcPr>
            <w:tcW w:w="1288" w:type="dxa"/>
          </w:tcPr>
          <w:p w14:paraId="07F8FC3A" w14:textId="77777777" w:rsidR="00E52851" w:rsidRPr="00E52851" w:rsidRDefault="00E52851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  <w:r w:rsidRPr="00E52851">
              <w:rPr>
                <w:rFonts w:ascii="Calibri" w:hAnsi="Calibri" w:cs="Times New Roman"/>
                <w:b/>
              </w:rPr>
              <w:t>40.0</w:t>
            </w:r>
          </w:p>
        </w:tc>
        <w:tc>
          <w:tcPr>
            <w:tcW w:w="1288" w:type="dxa"/>
          </w:tcPr>
          <w:p w14:paraId="75F0F88F" w14:textId="0AFED17F" w:rsidR="00E52851" w:rsidRPr="00E52851" w:rsidRDefault="008F0A49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t>N/A</w:t>
            </w:r>
          </w:p>
        </w:tc>
        <w:tc>
          <w:tcPr>
            <w:tcW w:w="1288" w:type="dxa"/>
          </w:tcPr>
          <w:p w14:paraId="387C8EB2" w14:textId="77777777" w:rsidR="00E52851" w:rsidRPr="00E52851" w:rsidRDefault="00E52851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88" w:type="dxa"/>
          </w:tcPr>
          <w:p w14:paraId="1D7B092D" w14:textId="6B627D68" w:rsidR="00E52851" w:rsidRPr="00E52851" w:rsidRDefault="00E52851" w:rsidP="001046D8">
            <w:pPr>
              <w:spacing w:after="240" w:line="276" w:lineRule="auto"/>
              <w:jc w:val="center"/>
              <w:rPr>
                <w:rFonts w:ascii="Calibri" w:hAnsi="Calibri" w:cs="Times New Roman"/>
                <w:b/>
              </w:rPr>
            </w:pPr>
          </w:p>
        </w:tc>
      </w:tr>
    </w:tbl>
    <w:p w14:paraId="25461343" w14:textId="14B66E38" w:rsidR="006564E4" w:rsidRDefault="006564E4" w:rsidP="006564E4">
      <w:pPr>
        <w:pStyle w:val="Heading4"/>
      </w:pPr>
    </w:p>
    <w:p w14:paraId="00A08B21" w14:textId="77777777" w:rsidR="006564E4" w:rsidRDefault="006564E4" w:rsidP="006564E4">
      <w:pPr>
        <w:pStyle w:val="BodyText"/>
      </w:pPr>
      <w:r>
        <w:t>PAT Reading baseline data collected in 2020</w:t>
      </w:r>
    </w:p>
    <w:p w14:paraId="35AF14F0" w14:textId="18C316AD" w:rsidR="006564E4" w:rsidRDefault="006564E4" w:rsidP="00656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979"/>
        <w:gridCol w:w="979"/>
        <w:gridCol w:w="979"/>
        <w:gridCol w:w="979"/>
        <w:gridCol w:w="979"/>
        <w:gridCol w:w="979"/>
      </w:tblGrid>
      <w:tr w:rsidR="000C36A3" w:rsidRPr="006564E4" w14:paraId="1E8488B1" w14:textId="77777777" w:rsidTr="00EB1EE7">
        <w:trPr>
          <w:trHeight w:val="915"/>
        </w:trPr>
        <w:tc>
          <w:tcPr>
            <w:tcW w:w="666" w:type="dxa"/>
            <w:noWrap/>
          </w:tcPr>
          <w:p w14:paraId="565CDFA8" w14:textId="77777777" w:rsidR="000C36A3" w:rsidRPr="006564E4" w:rsidRDefault="000C36A3"/>
        </w:tc>
        <w:tc>
          <w:tcPr>
            <w:tcW w:w="1958" w:type="dxa"/>
            <w:gridSpan w:val="2"/>
          </w:tcPr>
          <w:p w14:paraId="5E61F6D2" w14:textId="6D627946" w:rsidR="000C36A3" w:rsidRPr="000C36A3" w:rsidRDefault="000C36A3" w:rsidP="000C36A3">
            <w:pPr>
              <w:jc w:val="center"/>
              <w:rPr>
                <w:b/>
                <w:bCs/>
                <w:sz w:val="20"/>
                <w:szCs w:val="20"/>
              </w:rPr>
            </w:pPr>
            <w:r w:rsidRPr="000C36A3">
              <w:rPr>
                <w:b/>
                <w:bCs/>
                <w:sz w:val="20"/>
                <w:szCs w:val="20"/>
              </w:rPr>
              <w:t>2020 Baseline Data</w:t>
            </w:r>
          </w:p>
        </w:tc>
        <w:tc>
          <w:tcPr>
            <w:tcW w:w="1958" w:type="dxa"/>
            <w:gridSpan w:val="2"/>
          </w:tcPr>
          <w:p w14:paraId="05ABF5FE" w14:textId="50F4CAC2" w:rsidR="000C36A3" w:rsidRPr="006564E4" w:rsidRDefault="000C36A3" w:rsidP="000C36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70" w:type="dxa"/>
            <w:gridSpan w:val="2"/>
          </w:tcPr>
          <w:p w14:paraId="37FDD098" w14:textId="4D030F41" w:rsidR="000C36A3" w:rsidRPr="006564E4" w:rsidRDefault="000C36A3" w:rsidP="000C36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0C36A3" w:rsidRPr="006564E4" w14:paraId="0F224153" w14:textId="52DF1347" w:rsidTr="000C36A3">
        <w:trPr>
          <w:trHeight w:val="915"/>
        </w:trPr>
        <w:tc>
          <w:tcPr>
            <w:tcW w:w="666" w:type="dxa"/>
            <w:noWrap/>
            <w:hideMark/>
          </w:tcPr>
          <w:p w14:paraId="58DDB792" w14:textId="77777777" w:rsidR="000C36A3" w:rsidRPr="006564E4" w:rsidRDefault="000C36A3">
            <w:bookmarkStart w:id="2" w:name="_Hlk58867088"/>
          </w:p>
        </w:tc>
        <w:tc>
          <w:tcPr>
            <w:tcW w:w="979" w:type="dxa"/>
            <w:hideMark/>
          </w:tcPr>
          <w:p w14:paraId="7BA4C32B" w14:textId="77777777" w:rsidR="000C36A3" w:rsidRPr="000C36A3" w:rsidRDefault="000C36A3" w:rsidP="006564E4">
            <w:pPr>
              <w:rPr>
                <w:b/>
                <w:bCs/>
                <w:sz w:val="20"/>
                <w:szCs w:val="20"/>
              </w:rPr>
            </w:pPr>
            <w:r w:rsidRPr="000C36A3">
              <w:rPr>
                <w:b/>
                <w:bCs/>
                <w:sz w:val="20"/>
                <w:szCs w:val="20"/>
              </w:rPr>
              <w:t>MPS (Median)</w:t>
            </w:r>
          </w:p>
        </w:tc>
        <w:tc>
          <w:tcPr>
            <w:tcW w:w="979" w:type="dxa"/>
            <w:hideMark/>
          </w:tcPr>
          <w:p w14:paraId="7AE05482" w14:textId="77777777" w:rsidR="000C36A3" w:rsidRPr="000C36A3" w:rsidRDefault="000C36A3" w:rsidP="006564E4">
            <w:pPr>
              <w:rPr>
                <w:b/>
                <w:bCs/>
                <w:sz w:val="20"/>
                <w:szCs w:val="20"/>
              </w:rPr>
            </w:pPr>
            <w:r w:rsidRPr="000C36A3">
              <w:rPr>
                <w:b/>
                <w:bCs/>
                <w:sz w:val="20"/>
                <w:szCs w:val="20"/>
              </w:rPr>
              <w:t>Nation (Median)</w:t>
            </w:r>
          </w:p>
        </w:tc>
        <w:tc>
          <w:tcPr>
            <w:tcW w:w="979" w:type="dxa"/>
            <w:hideMark/>
          </w:tcPr>
          <w:p w14:paraId="0B17043A" w14:textId="7E12D094" w:rsidR="000C36A3" w:rsidRPr="006564E4" w:rsidRDefault="000C36A3" w:rsidP="006564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MPS (Median)</w:t>
            </w:r>
          </w:p>
        </w:tc>
        <w:tc>
          <w:tcPr>
            <w:tcW w:w="979" w:type="dxa"/>
            <w:hideMark/>
          </w:tcPr>
          <w:p w14:paraId="0D09E86F" w14:textId="666A4C62" w:rsidR="000C36A3" w:rsidRPr="006564E4" w:rsidRDefault="000C36A3" w:rsidP="006564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 (Median)</w:t>
            </w:r>
          </w:p>
        </w:tc>
        <w:tc>
          <w:tcPr>
            <w:tcW w:w="835" w:type="dxa"/>
            <w:hideMark/>
          </w:tcPr>
          <w:p w14:paraId="305F8EC5" w14:textId="77777777" w:rsidR="000C36A3" w:rsidRDefault="000C36A3" w:rsidP="006564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MPS</w:t>
            </w:r>
          </w:p>
          <w:p w14:paraId="5026A91D" w14:textId="1FAF6B27" w:rsidR="000C36A3" w:rsidRPr="006564E4" w:rsidRDefault="000C36A3" w:rsidP="006564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(Median)</w:t>
            </w:r>
          </w:p>
        </w:tc>
        <w:tc>
          <w:tcPr>
            <w:tcW w:w="835" w:type="dxa"/>
            <w:hideMark/>
          </w:tcPr>
          <w:p w14:paraId="76329F9D" w14:textId="315B575A" w:rsidR="000C36A3" w:rsidRPr="006564E4" w:rsidRDefault="000C36A3" w:rsidP="006564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 (Median)</w:t>
            </w:r>
          </w:p>
        </w:tc>
      </w:tr>
      <w:bookmarkEnd w:id="2"/>
      <w:tr w:rsidR="000C36A3" w:rsidRPr="006564E4" w14:paraId="118558EA" w14:textId="5FB5DD85" w:rsidTr="000C36A3">
        <w:trPr>
          <w:trHeight w:val="300"/>
        </w:trPr>
        <w:tc>
          <w:tcPr>
            <w:tcW w:w="666" w:type="dxa"/>
            <w:noWrap/>
            <w:hideMark/>
          </w:tcPr>
          <w:p w14:paraId="3030C739" w14:textId="77777777" w:rsidR="000C36A3" w:rsidRPr="006564E4" w:rsidRDefault="000C36A3">
            <w:pPr>
              <w:rPr>
                <w:b/>
                <w:bCs/>
              </w:rPr>
            </w:pPr>
            <w:r w:rsidRPr="006564E4">
              <w:rPr>
                <w:b/>
                <w:bCs/>
              </w:rPr>
              <w:t>Year 1</w:t>
            </w:r>
          </w:p>
        </w:tc>
        <w:tc>
          <w:tcPr>
            <w:tcW w:w="979" w:type="dxa"/>
            <w:noWrap/>
            <w:hideMark/>
          </w:tcPr>
          <w:p w14:paraId="798985D2" w14:textId="77777777" w:rsidR="000C36A3" w:rsidRPr="000C36A3" w:rsidRDefault="000C36A3" w:rsidP="006564E4">
            <w:r w:rsidRPr="000C36A3">
              <w:t>79.8</w:t>
            </w:r>
          </w:p>
        </w:tc>
        <w:tc>
          <w:tcPr>
            <w:tcW w:w="979" w:type="dxa"/>
            <w:noWrap/>
            <w:hideMark/>
          </w:tcPr>
          <w:p w14:paraId="2BDFB590" w14:textId="77777777" w:rsidR="000C36A3" w:rsidRPr="000C36A3" w:rsidRDefault="000C36A3" w:rsidP="006564E4">
            <w:r w:rsidRPr="000C36A3">
              <w:t>87.1</w:t>
            </w:r>
          </w:p>
        </w:tc>
        <w:tc>
          <w:tcPr>
            <w:tcW w:w="979" w:type="dxa"/>
            <w:noWrap/>
            <w:hideMark/>
          </w:tcPr>
          <w:p w14:paraId="40451AEC" w14:textId="383F754F" w:rsidR="000C36A3" w:rsidRPr="006564E4" w:rsidRDefault="000C36A3" w:rsidP="006564E4"/>
        </w:tc>
        <w:tc>
          <w:tcPr>
            <w:tcW w:w="979" w:type="dxa"/>
            <w:noWrap/>
            <w:hideMark/>
          </w:tcPr>
          <w:p w14:paraId="36269FC2" w14:textId="1EC3C99A" w:rsidR="000C36A3" w:rsidRPr="006564E4" w:rsidRDefault="000C36A3" w:rsidP="006564E4"/>
        </w:tc>
        <w:tc>
          <w:tcPr>
            <w:tcW w:w="835" w:type="dxa"/>
            <w:noWrap/>
            <w:hideMark/>
          </w:tcPr>
          <w:p w14:paraId="02CBAF05" w14:textId="38116DFC" w:rsidR="000C36A3" w:rsidRPr="006564E4" w:rsidRDefault="000C36A3" w:rsidP="006564E4"/>
        </w:tc>
        <w:tc>
          <w:tcPr>
            <w:tcW w:w="835" w:type="dxa"/>
            <w:noWrap/>
            <w:hideMark/>
          </w:tcPr>
          <w:p w14:paraId="5B06089D" w14:textId="03B44E3A" w:rsidR="000C36A3" w:rsidRPr="006564E4" w:rsidRDefault="000C36A3" w:rsidP="006564E4"/>
        </w:tc>
      </w:tr>
      <w:tr w:rsidR="000C36A3" w:rsidRPr="006564E4" w14:paraId="4B0F6FF4" w14:textId="23A71A4A" w:rsidTr="000C36A3">
        <w:trPr>
          <w:trHeight w:val="300"/>
        </w:trPr>
        <w:tc>
          <w:tcPr>
            <w:tcW w:w="666" w:type="dxa"/>
            <w:noWrap/>
            <w:hideMark/>
          </w:tcPr>
          <w:p w14:paraId="43B0C660" w14:textId="77777777" w:rsidR="000C36A3" w:rsidRPr="006564E4" w:rsidRDefault="000C36A3">
            <w:pPr>
              <w:rPr>
                <w:b/>
                <w:bCs/>
              </w:rPr>
            </w:pPr>
            <w:r w:rsidRPr="006564E4">
              <w:rPr>
                <w:b/>
                <w:bCs/>
              </w:rPr>
              <w:t>Year 2</w:t>
            </w:r>
          </w:p>
        </w:tc>
        <w:tc>
          <w:tcPr>
            <w:tcW w:w="979" w:type="dxa"/>
            <w:noWrap/>
            <w:hideMark/>
          </w:tcPr>
          <w:p w14:paraId="2DAE6D58" w14:textId="77777777" w:rsidR="000C36A3" w:rsidRPr="000C36A3" w:rsidRDefault="000C36A3" w:rsidP="006564E4">
            <w:r w:rsidRPr="000C36A3">
              <w:t>109.9</w:t>
            </w:r>
          </w:p>
        </w:tc>
        <w:tc>
          <w:tcPr>
            <w:tcW w:w="979" w:type="dxa"/>
            <w:noWrap/>
            <w:hideMark/>
          </w:tcPr>
          <w:p w14:paraId="17A594F3" w14:textId="77777777" w:rsidR="000C36A3" w:rsidRPr="000C36A3" w:rsidRDefault="000C36A3" w:rsidP="006564E4">
            <w:r w:rsidRPr="000C36A3">
              <w:t>100.5</w:t>
            </w:r>
          </w:p>
        </w:tc>
        <w:tc>
          <w:tcPr>
            <w:tcW w:w="979" w:type="dxa"/>
            <w:noWrap/>
            <w:hideMark/>
          </w:tcPr>
          <w:p w14:paraId="464FE8CC" w14:textId="03FBA7C6" w:rsidR="000C36A3" w:rsidRPr="006564E4" w:rsidRDefault="000C36A3" w:rsidP="006564E4"/>
        </w:tc>
        <w:tc>
          <w:tcPr>
            <w:tcW w:w="979" w:type="dxa"/>
            <w:noWrap/>
            <w:hideMark/>
          </w:tcPr>
          <w:p w14:paraId="02A2AEA2" w14:textId="644FF436" w:rsidR="000C36A3" w:rsidRPr="006564E4" w:rsidRDefault="000C36A3" w:rsidP="006564E4"/>
        </w:tc>
        <w:tc>
          <w:tcPr>
            <w:tcW w:w="835" w:type="dxa"/>
            <w:noWrap/>
            <w:hideMark/>
          </w:tcPr>
          <w:p w14:paraId="36122C22" w14:textId="5E564661" w:rsidR="000C36A3" w:rsidRPr="006564E4" w:rsidRDefault="000C36A3" w:rsidP="006564E4"/>
        </w:tc>
        <w:tc>
          <w:tcPr>
            <w:tcW w:w="835" w:type="dxa"/>
            <w:noWrap/>
            <w:hideMark/>
          </w:tcPr>
          <w:p w14:paraId="7233DF6E" w14:textId="1C255B77" w:rsidR="000C36A3" w:rsidRPr="006564E4" w:rsidRDefault="000C36A3" w:rsidP="006564E4"/>
        </w:tc>
      </w:tr>
      <w:tr w:rsidR="000C36A3" w:rsidRPr="006564E4" w14:paraId="22C48D1D" w14:textId="3D096821" w:rsidTr="000C36A3">
        <w:trPr>
          <w:trHeight w:val="300"/>
        </w:trPr>
        <w:tc>
          <w:tcPr>
            <w:tcW w:w="666" w:type="dxa"/>
            <w:noWrap/>
            <w:hideMark/>
          </w:tcPr>
          <w:p w14:paraId="2A46BA2F" w14:textId="77777777" w:rsidR="000C36A3" w:rsidRPr="006564E4" w:rsidRDefault="000C36A3">
            <w:pPr>
              <w:rPr>
                <w:b/>
                <w:bCs/>
              </w:rPr>
            </w:pPr>
            <w:r w:rsidRPr="006564E4">
              <w:rPr>
                <w:b/>
                <w:bCs/>
              </w:rPr>
              <w:t>Year 3</w:t>
            </w:r>
          </w:p>
        </w:tc>
        <w:tc>
          <w:tcPr>
            <w:tcW w:w="979" w:type="dxa"/>
            <w:noWrap/>
            <w:hideMark/>
          </w:tcPr>
          <w:p w14:paraId="754C9DE1" w14:textId="77777777" w:rsidR="000C36A3" w:rsidRPr="000C36A3" w:rsidRDefault="000C36A3" w:rsidP="006564E4">
            <w:r w:rsidRPr="000C36A3">
              <w:t>113.6</w:t>
            </w:r>
          </w:p>
        </w:tc>
        <w:tc>
          <w:tcPr>
            <w:tcW w:w="979" w:type="dxa"/>
            <w:noWrap/>
            <w:hideMark/>
          </w:tcPr>
          <w:p w14:paraId="1751C2BE" w14:textId="77777777" w:rsidR="000C36A3" w:rsidRPr="000C36A3" w:rsidRDefault="000C36A3" w:rsidP="006564E4">
            <w:r w:rsidRPr="000C36A3">
              <w:t>110.9</w:t>
            </w:r>
          </w:p>
        </w:tc>
        <w:tc>
          <w:tcPr>
            <w:tcW w:w="979" w:type="dxa"/>
            <w:noWrap/>
            <w:hideMark/>
          </w:tcPr>
          <w:p w14:paraId="36A8AC32" w14:textId="2695B812" w:rsidR="000C36A3" w:rsidRPr="006564E4" w:rsidRDefault="000C36A3" w:rsidP="006564E4"/>
        </w:tc>
        <w:tc>
          <w:tcPr>
            <w:tcW w:w="979" w:type="dxa"/>
            <w:noWrap/>
            <w:hideMark/>
          </w:tcPr>
          <w:p w14:paraId="7FE2C457" w14:textId="28E3EB02" w:rsidR="000C36A3" w:rsidRPr="006564E4" w:rsidRDefault="000C36A3" w:rsidP="006564E4"/>
        </w:tc>
        <w:tc>
          <w:tcPr>
            <w:tcW w:w="835" w:type="dxa"/>
            <w:noWrap/>
            <w:hideMark/>
          </w:tcPr>
          <w:p w14:paraId="39933711" w14:textId="1D9AD9FB" w:rsidR="000C36A3" w:rsidRPr="006564E4" w:rsidRDefault="000C36A3" w:rsidP="006564E4"/>
        </w:tc>
        <w:tc>
          <w:tcPr>
            <w:tcW w:w="835" w:type="dxa"/>
            <w:noWrap/>
            <w:hideMark/>
          </w:tcPr>
          <w:p w14:paraId="5FB44B95" w14:textId="3332A1B6" w:rsidR="000C36A3" w:rsidRPr="006564E4" w:rsidRDefault="000C36A3" w:rsidP="006564E4"/>
        </w:tc>
      </w:tr>
      <w:tr w:rsidR="000C36A3" w:rsidRPr="006564E4" w14:paraId="4EDD6B75" w14:textId="0A0FC7C7" w:rsidTr="000C36A3">
        <w:trPr>
          <w:trHeight w:val="300"/>
        </w:trPr>
        <w:tc>
          <w:tcPr>
            <w:tcW w:w="666" w:type="dxa"/>
            <w:noWrap/>
            <w:hideMark/>
          </w:tcPr>
          <w:p w14:paraId="69666048" w14:textId="77777777" w:rsidR="000C36A3" w:rsidRPr="006564E4" w:rsidRDefault="000C36A3">
            <w:pPr>
              <w:rPr>
                <w:b/>
                <w:bCs/>
              </w:rPr>
            </w:pPr>
            <w:r w:rsidRPr="006564E4">
              <w:rPr>
                <w:b/>
                <w:bCs/>
              </w:rPr>
              <w:t>Year 4</w:t>
            </w:r>
          </w:p>
        </w:tc>
        <w:tc>
          <w:tcPr>
            <w:tcW w:w="979" w:type="dxa"/>
            <w:noWrap/>
            <w:hideMark/>
          </w:tcPr>
          <w:p w14:paraId="28292EBB" w14:textId="77777777" w:rsidR="000C36A3" w:rsidRPr="000C36A3" w:rsidRDefault="000C36A3" w:rsidP="006564E4">
            <w:r w:rsidRPr="000C36A3">
              <w:t>121.3</w:t>
            </w:r>
          </w:p>
        </w:tc>
        <w:tc>
          <w:tcPr>
            <w:tcW w:w="979" w:type="dxa"/>
            <w:noWrap/>
            <w:hideMark/>
          </w:tcPr>
          <w:p w14:paraId="4EF27943" w14:textId="77777777" w:rsidR="000C36A3" w:rsidRPr="000C36A3" w:rsidRDefault="000C36A3" w:rsidP="006564E4">
            <w:r w:rsidRPr="000C36A3">
              <w:t>118.7</w:t>
            </w:r>
          </w:p>
        </w:tc>
        <w:tc>
          <w:tcPr>
            <w:tcW w:w="979" w:type="dxa"/>
            <w:noWrap/>
            <w:hideMark/>
          </w:tcPr>
          <w:p w14:paraId="4722DFCF" w14:textId="11880EB9" w:rsidR="000C36A3" w:rsidRPr="006564E4" w:rsidRDefault="000C36A3" w:rsidP="006564E4"/>
        </w:tc>
        <w:tc>
          <w:tcPr>
            <w:tcW w:w="979" w:type="dxa"/>
            <w:noWrap/>
            <w:hideMark/>
          </w:tcPr>
          <w:p w14:paraId="1FF0EFE7" w14:textId="3204966C" w:rsidR="000C36A3" w:rsidRPr="006564E4" w:rsidRDefault="000C36A3" w:rsidP="006564E4"/>
        </w:tc>
        <w:tc>
          <w:tcPr>
            <w:tcW w:w="835" w:type="dxa"/>
            <w:noWrap/>
            <w:hideMark/>
          </w:tcPr>
          <w:p w14:paraId="79303360" w14:textId="0F88AC60" w:rsidR="000C36A3" w:rsidRPr="006564E4" w:rsidRDefault="000C36A3" w:rsidP="006564E4"/>
        </w:tc>
        <w:tc>
          <w:tcPr>
            <w:tcW w:w="835" w:type="dxa"/>
            <w:noWrap/>
            <w:hideMark/>
          </w:tcPr>
          <w:p w14:paraId="492FEE7F" w14:textId="3E27D78B" w:rsidR="000C36A3" w:rsidRPr="006564E4" w:rsidRDefault="000C36A3" w:rsidP="006564E4"/>
        </w:tc>
      </w:tr>
      <w:tr w:rsidR="000C36A3" w:rsidRPr="006564E4" w14:paraId="64BA2629" w14:textId="50C54EED" w:rsidTr="000C36A3">
        <w:trPr>
          <w:trHeight w:val="300"/>
        </w:trPr>
        <w:tc>
          <w:tcPr>
            <w:tcW w:w="666" w:type="dxa"/>
            <w:noWrap/>
            <w:hideMark/>
          </w:tcPr>
          <w:p w14:paraId="1F7041DF" w14:textId="77777777" w:rsidR="000C36A3" w:rsidRPr="006564E4" w:rsidRDefault="000C36A3">
            <w:pPr>
              <w:rPr>
                <w:b/>
                <w:bCs/>
              </w:rPr>
            </w:pPr>
            <w:r w:rsidRPr="006564E4">
              <w:rPr>
                <w:b/>
                <w:bCs/>
              </w:rPr>
              <w:t>Year 5</w:t>
            </w:r>
          </w:p>
        </w:tc>
        <w:tc>
          <w:tcPr>
            <w:tcW w:w="979" w:type="dxa"/>
            <w:noWrap/>
            <w:hideMark/>
          </w:tcPr>
          <w:p w14:paraId="24E0E7D2" w14:textId="77777777" w:rsidR="000C36A3" w:rsidRPr="000C36A3" w:rsidRDefault="000C36A3" w:rsidP="006564E4">
            <w:r w:rsidRPr="000C36A3">
              <w:t>123.5</w:t>
            </w:r>
          </w:p>
        </w:tc>
        <w:tc>
          <w:tcPr>
            <w:tcW w:w="979" w:type="dxa"/>
            <w:noWrap/>
            <w:hideMark/>
          </w:tcPr>
          <w:p w14:paraId="632A2AEB" w14:textId="77777777" w:rsidR="000C36A3" w:rsidRPr="000C36A3" w:rsidRDefault="000C36A3" w:rsidP="006564E4">
            <w:r w:rsidRPr="000C36A3">
              <w:t>124.5</w:t>
            </w:r>
          </w:p>
        </w:tc>
        <w:tc>
          <w:tcPr>
            <w:tcW w:w="979" w:type="dxa"/>
            <w:noWrap/>
            <w:hideMark/>
          </w:tcPr>
          <w:p w14:paraId="63BD6C16" w14:textId="016AB8F7" w:rsidR="000C36A3" w:rsidRPr="006564E4" w:rsidRDefault="000C36A3" w:rsidP="006564E4"/>
        </w:tc>
        <w:tc>
          <w:tcPr>
            <w:tcW w:w="979" w:type="dxa"/>
            <w:noWrap/>
            <w:hideMark/>
          </w:tcPr>
          <w:p w14:paraId="74E8655A" w14:textId="3A797F8C" w:rsidR="000C36A3" w:rsidRPr="006564E4" w:rsidRDefault="000C36A3" w:rsidP="006564E4"/>
        </w:tc>
        <w:tc>
          <w:tcPr>
            <w:tcW w:w="835" w:type="dxa"/>
            <w:noWrap/>
            <w:hideMark/>
          </w:tcPr>
          <w:p w14:paraId="128513FA" w14:textId="281DF50A" w:rsidR="000C36A3" w:rsidRPr="006564E4" w:rsidRDefault="000C36A3" w:rsidP="006564E4"/>
        </w:tc>
        <w:tc>
          <w:tcPr>
            <w:tcW w:w="835" w:type="dxa"/>
            <w:noWrap/>
            <w:hideMark/>
          </w:tcPr>
          <w:p w14:paraId="165C0F0D" w14:textId="1B561308" w:rsidR="000C36A3" w:rsidRPr="006564E4" w:rsidRDefault="000C36A3" w:rsidP="006564E4"/>
        </w:tc>
      </w:tr>
      <w:tr w:rsidR="000C36A3" w:rsidRPr="006564E4" w14:paraId="24A3AC88" w14:textId="6FE01D91" w:rsidTr="000C36A3">
        <w:trPr>
          <w:trHeight w:val="315"/>
        </w:trPr>
        <w:tc>
          <w:tcPr>
            <w:tcW w:w="666" w:type="dxa"/>
            <w:noWrap/>
            <w:hideMark/>
          </w:tcPr>
          <w:p w14:paraId="5456D4D3" w14:textId="77777777" w:rsidR="000C36A3" w:rsidRPr="006564E4" w:rsidRDefault="000C36A3">
            <w:pPr>
              <w:rPr>
                <w:b/>
                <w:bCs/>
              </w:rPr>
            </w:pPr>
            <w:r w:rsidRPr="006564E4">
              <w:rPr>
                <w:b/>
                <w:bCs/>
              </w:rPr>
              <w:t>Year 6</w:t>
            </w:r>
          </w:p>
        </w:tc>
        <w:tc>
          <w:tcPr>
            <w:tcW w:w="979" w:type="dxa"/>
            <w:noWrap/>
            <w:hideMark/>
          </w:tcPr>
          <w:p w14:paraId="1EFDC8F3" w14:textId="77777777" w:rsidR="000C36A3" w:rsidRPr="000C36A3" w:rsidRDefault="000C36A3" w:rsidP="006564E4">
            <w:r w:rsidRPr="000C36A3">
              <w:t>126</w:t>
            </w:r>
          </w:p>
        </w:tc>
        <w:tc>
          <w:tcPr>
            <w:tcW w:w="979" w:type="dxa"/>
            <w:noWrap/>
            <w:hideMark/>
          </w:tcPr>
          <w:p w14:paraId="0912D74A" w14:textId="77777777" w:rsidR="000C36A3" w:rsidRPr="000C36A3" w:rsidRDefault="000C36A3" w:rsidP="006564E4">
            <w:r w:rsidRPr="000C36A3">
              <w:t>128.8</w:t>
            </w:r>
          </w:p>
        </w:tc>
        <w:tc>
          <w:tcPr>
            <w:tcW w:w="979" w:type="dxa"/>
            <w:noWrap/>
            <w:hideMark/>
          </w:tcPr>
          <w:p w14:paraId="32D9F086" w14:textId="075EE43A" w:rsidR="000C36A3" w:rsidRPr="006564E4" w:rsidRDefault="000C36A3" w:rsidP="006564E4"/>
        </w:tc>
        <w:tc>
          <w:tcPr>
            <w:tcW w:w="979" w:type="dxa"/>
            <w:noWrap/>
            <w:hideMark/>
          </w:tcPr>
          <w:p w14:paraId="6DED18D2" w14:textId="7CD9027C" w:rsidR="000C36A3" w:rsidRPr="006564E4" w:rsidRDefault="000C36A3" w:rsidP="006564E4"/>
        </w:tc>
        <w:tc>
          <w:tcPr>
            <w:tcW w:w="835" w:type="dxa"/>
            <w:noWrap/>
            <w:hideMark/>
          </w:tcPr>
          <w:p w14:paraId="3BDE2FD1" w14:textId="642CA62F" w:rsidR="000C36A3" w:rsidRPr="006564E4" w:rsidRDefault="000C36A3" w:rsidP="006564E4"/>
        </w:tc>
        <w:tc>
          <w:tcPr>
            <w:tcW w:w="835" w:type="dxa"/>
            <w:noWrap/>
            <w:hideMark/>
          </w:tcPr>
          <w:p w14:paraId="55DD44C2" w14:textId="727B6B58" w:rsidR="000C36A3" w:rsidRPr="006564E4" w:rsidRDefault="000C36A3" w:rsidP="006564E4"/>
        </w:tc>
      </w:tr>
    </w:tbl>
    <w:p w14:paraId="0F49BC5F" w14:textId="1ACC53F8" w:rsidR="006564E4" w:rsidRDefault="006564E4" w:rsidP="006564E4"/>
    <w:p w14:paraId="2BBE0133" w14:textId="77777777" w:rsidR="006564E4" w:rsidRPr="006564E4" w:rsidRDefault="006564E4" w:rsidP="006564E4"/>
    <w:p w14:paraId="62869BF6" w14:textId="4080B900" w:rsidR="006564E4" w:rsidRPr="006564E4" w:rsidRDefault="008A01DA" w:rsidP="006564E4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881335" w14:paraId="4EF7DD9F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3269C94" w14:textId="77777777" w:rsidR="00881335" w:rsidRPr="006D2F6B" w:rsidRDefault="00881335" w:rsidP="00881335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B51A1C5" w14:textId="77777777" w:rsidR="00881335" w:rsidRPr="006D2F6B" w:rsidRDefault="00881335" w:rsidP="00881335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15B7F1C3" w14:textId="2986C2AD" w:rsidR="00881335" w:rsidRPr="006D2F6B" w:rsidRDefault="00881335" w:rsidP="0088133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4CC28E98" w14:textId="0C005BC6" w:rsidR="00881335" w:rsidRPr="006D2F6B" w:rsidRDefault="00881335" w:rsidP="0088133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5EE5455E" w14:textId="581CDCEF" w:rsidR="00881335" w:rsidRPr="006D2F6B" w:rsidRDefault="00881335" w:rsidP="0088133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1CA3136C" w14:textId="595AE471" w:rsidR="00881335" w:rsidRPr="006D2F6B" w:rsidRDefault="00881335" w:rsidP="0088133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1" w:type="dxa"/>
            <w:shd w:val="clear" w:color="auto" w:fill="auto"/>
          </w:tcPr>
          <w:p w14:paraId="372CDBC5" w14:textId="40E896E9" w:rsidR="00881335" w:rsidRPr="006D2F6B" w:rsidRDefault="00881335" w:rsidP="0088133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881335" w14:paraId="71FE611D" w14:textId="77777777" w:rsidTr="009A3DA9">
        <w:trPr>
          <w:jc w:val="center"/>
        </w:trPr>
        <w:tc>
          <w:tcPr>
            <w:tcW w:w="4297" w:type="dxa"/>
            <w:shd w:val="clear" w:color="auto" w:fill="auto"/>
          </w:tcPr>
          <w:p w14:paraId="15FDFA6D" w14:textId="0C3F0011" w:rsidR="00881335" w:rsidRPr="006D2F6B" w:rsidRDefault="00881335" w:rsidP="00881335">
            <w:pPr>
              <w:pStyle w:val="PlainText"/>
            </w:pPr>
            <w:r>
              <w:t>Maintain o</w:t>
            </w:r>
            <w:r w:rsidR="00B077AF">
              <w:t>r</w:t>
            </w:r>
            <w:r>
              <w:t xml:space="preserve"> exceed 90% of Student agreement that ‘</w:t>
            </w:r>
            <w:r w:rsidRPr="00881335">
              <w:t>This school gives me opportunities to do interesting thing</w:t>
            </w:r>
            <w:r w:rsidR="00B3658D">
              <w:t>s.</w:t>
            </w:r>
            <w:r w:rsidRPr="00881335">
              <w:t>’</w:t>
            </w:r>
          </w:p>
        </w:tc>
        <w:tc>
          <w:tcPr>
            <w:tcW w:w="790" w:type="dxa"/>
          </w:tcPr>
          <w:p w14:paraId="4B7CDD05" w14:textId="4F318768" w:rsidR="00881335" w:rsidRPr="006D2F6B" w:rsidRDefault="00881335" w:rsidP="00881335">
            <w:pPr>
              <w:jc w:val="center"/>
            </w:pPr>
            <w:r>
              <w:rPr>
                <w:b/>
              </w:rPr>
              <w:t>90.2</w:t>
            </w:r>
          </w:p>
        </w:tc>
        <w:tc>
          <w:tcPr>
            <w:tcW w:w="790" w:type="dxa"/>
          </w:tcPr>
          <w:p w14:paraId="1037F637" w14:textId="3A248556" w:rsidR="00881335" w:rsidRPr="006D2F6B" w:rsidRDefault="00881335" w:rsidP="00881335">
            <w:pPr>
              <w:jc w:val="center"/>
            </w:pPr>
            <w:r>
              <w:rPr>
                <w:b/>
              </w:rPr>
              <w:t>90.4</w:t>
            </w:r>
          </w:p>
        </w:tc>
        <w:tc>
          <w:tcPr>
            <w:tcW w:w="790" w:type="dxa"/>
          </w:tcPr>
          <w:p w14:paraId="4DED56F3" w14:textId="01621B71" w:rsidR="00881335" w:rsidRPr="006D2F6B" w:rsidRDefault="00881335" w:rsidP="00881335">
            <w:pPr>
              <w:jc w:val="center"/>
            </w:pPr>
            <w:r>
              <w:rPr>
                <w:b/>
              </w:rPr>
              <w:t>84.0</w:t>
            </w:r>
          </w:p>
        </w:tc>
        <w:tc>
          <w:tcPr>
            <w:tcW w:w="790" w:type="dxa"/>
            <w:shd w:val="clear" w:color="auto" w:fill="auto"/>
          </w:tcPr>
          <w:p w14:paraId="252D803F" w14:textId="3AF34391" w:rsidR="00881335" w:rsidRPr="00B3658D" w:rsidRDefault="00B3658D" w:rsidP="00881335">
            <w:pPr>
              <w:jc w:val="center"/>
              <w:rPr>
                <w:b/>
                <w:bCs/>
              </w:rPr>
            </w:pPr>
            <w:r w:rsidRPr="00B3658D">
              <w:rPr>
                <w:b/>
                <w:bCs/>
              </w:rPr>
              <w:t>85.0</w:t>
            </w:r>
          </w:p>
        </w:tc>
        <w:tc>
          <w:tcPr>
            <w:tcW w:w="790" w:type="dxa"/>
            <w:shd w:val="clear" w:color="auto" w:fill="auto"/>
          </w:tcPr>
          <w:p w14:paraId="5D9DADCD" w14:textId="77777777" w:rsidR="00881335" w:rsidRPr="006D2F6B" w:rsidRDefault="00881335" w:rsidP="00881335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0521852A" w14:textId="77777777" w:rsidR="00881335" w:rsidRPr="006D2F6B" w:rsidRDefault="00881335" w:rsidP="00881335">
            <w:pPr>
              <w:jc w:val="center"/>
            </w:pPr>
          </w:p>
        </w:tc>
      </w:tr>
      <w:tr w:rsidR="00881335" w14:paraId="38F74B11" w14:textId="77777777" w:rsidTr="00664A33">
        <w:trPr>
          <w:jc w:val="center"/>
        </w:trPr>
        <w:tc>
          <w:tcPr>
            <w:tcW w:w="4297" w:type="dxa"/>
            <w:shd w:val="clear" w:color="auto" w:fill="auto"/>
          </w:tcPr>
          <w:p w14:paraId="46E092F7" w14:textId="68F37BE0" w:rsidR="00881335" w:rsidRPr="006D2F6B" w:rsidRDefault="00881335" w:rsidP="00881335">
            <w:r w:rsidRPr="00881335">
              <w:t>Maintain o</w:t>
            </w:r>
            <w:r w:rsidR="002E5819">
              <w:t>r</w:t>
            </w:r>
            <w:r w:rsidRPr="00881335">
              <w:t xml:space="preserve"> exceed 90% of </w:t>
            </w:r>
            <w:r>
              <w:t xml:space="preserve">parent </w:t>
            </w:r>
            <w:r w:rsidRPr="00881335">
              <w:t>agreement that</w:t>
            </w:r>
            <w:r>
              <w:t xml:space="preserve"> </w:t>
            </w:r>
            <w:r w:rsidRPr="00881335">
              <w:t xml:space="preserve">‘The school works with me to support my child’s </w:t>
            </w:r>
            <w:r w:rsidR="00B3658D">
              <w:t>learning.’</w:t>
            </w:r>
          </w:p>
        </w:tc>
        <w:tc>
          <w:tcPr>
            <w:tcW w:w="790" w:type="dxa"/>
          </w:tcPr>
          <w:p w14:paraId="3072EA45" w14:textId="51E5B9D3" w:rsidR="00881335" w:rsidRPr="006D2F6B" w:rsidRDefault="00881335" w:rsidP="00881335">
            <w:pPr>
              <w:jc w:val="center"/>
            </w:pPr>
            <w:r>
              <w:rPr>
                <w:b/>
              </w:rPr>
              <w:t>91.3</w:t>
            </w:r>
          </w:p>
        </w:tc>
        <w:tc>
          <w:tcPr>
            <w:tcW w:w="790" w:type="dxa"/>
          </w:tcPr>
          <w:p w14:paraId="4392190E" w14:textId="7516A625" w:rsidR="00881335" w:rsidRPr="006D2F6B" w:rsidRDefault="00881335" w:rsidP="00881335">
            <w:pPr>
              <w:jc w:val="center"/>
            </w:pPr>
            <w:r>
              <w:rPr>
                <w:b/>
              </w:rPr>
              <w:t>88.0</w:t>
            </w:r>
          </w:p>
        </w:tc>
        <w:tc>
          <w:tcPr>
            <w:tcW w:w="790" w:type="dxa"/>
          </w:tcPr>
          <w:p w14:paraId="56D80C92" w14:textId="00F0D920" w:rsidR="00881335" w:rsidRPr="006D2F6B" w:rsidRDefault="00881335" w:rsidP="00881335">
            <w:pPr>
              <w:jc w:val="center"/>
            </w:pPr>
            <w:r>
              <w:rPr>
                <w:b/>
              </w:rPr>
              <w:t>72.9</w:t>
            </w:r>
          </w:p>
        </w:tc>
        <w:tc>
          <w:tcPr>
            <w:tcW w:w="790" w:type="dxa"/>
            <w:shd w:val="clear" w:color="auto" w:fill="auto"/>
          </w:tcPr>
          <w:p w14:paraId="396718C1" w14:textId="7CC173AF" w:rsidR="00881335" w:rsidRPr="00B3658D" w:rsidRDefault="00B3658D" w:rsidP="00881335">
            <w:pPr>
              <w:jc w:val="center"/>
              <w:rPr>
                <w:b/>
                <w:bCs/>
              </w:rPr>
            </w:pPr>
            <w:r w:rsidRPr="00B3658D">
              <w:rPr>
                <w:b/>
                <w:bCs/>
              </w:rPr>
              <w:t>75.0</w:t>
            </w:r>
          </w:p>
        </w:tc>
        <w:tc>
          <w:tcPr>
            <w:tcW w:w="790" w:type="dxa"/>
            <w:shd w:val="clear" w:color="auto" w:fill="auto"/>
          </w:tcPr>
          <w:p w14:paraId="432D642D" w14:textId="77777777" w:rsidR="00881335" w:rsidRPr="006D2F6B" w:rsidRDefault="00881335" w:rsidP="00881335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3F68F7CD" w14:textId="77777777" w:rsidR="00881335" w:rsidRPr="006D2F6B" w:rsidRDefault="00881335" w:rsidP="00881335">
            <w:pPr>
              <w:jc w:val="center"/>
            </w:pPr>
          </w:p>
        </w:tc>
      </w:tr>
    </w:tbl>
    <w:p w14:paraId="09905876" w14:textId="77777777" w:rsidR="006564E4" w:rsidRDefault="006564E4" w:rsidP="005C7432">
      <w:pPr>
        <w:pStyle w:val="Heading3"/>
      </w:pPr>
    </w:p>
    <w:p w14:paraId="139DE5A0" w14:textId="64256493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07FE9BCD" w14:textId="77777777" w:rsidR="00161E50" w:rsidRDefault="00CF3EA3" w:rsidP="006D2F6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Not having NAPLAN data has been a challenge when looking at our goals.</w:t>
            </w:r>
          </w:p>
          <w:p w14:paraId="2DFB70DA" w14:textId="2F93BF98" w:rsidR="00CF3EA3" w:rsidRDefault="00CF3EA3" w:rsidP="006D2F6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Work with the Sounds Write program in the early years looks to be having a positive impact as evidenced by of kindergarten BASE Data.</w:t>
            </w:r>
          </w:p>
        </w:tc>
      </w:tr>
    </w:tbl>
    <w:p w14:paraId="113E7E85" w14:textId="2BDF3110" w:rsidR="002F4184" w:rsidRDefault="00937D6F" w:rsidP="002F4184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BD2D49" w14:paraId="1DD90387" w14:textId="77777777" w:rsidTr="003B2726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315FD32" w14:textId="1ECC1454" w:rsidR="00BD2D49" w:rsidRPr="00CF3EA3" w:rsidRDefault="00CF3EA3" w:rsidP="003B2726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CF3EA3">
              <w:t xml:space="preserve">It is challenging to get a true picture of the school’s progress towards targets when we have been so reliant on NAPLAN data. </w:t>
            </w:r>
          </w:p>
          <w:p w14:paraId="6A60C7AC" w14:textId="377052AD" w:rsidR="00BD2D49" w:rsidRPr="00B077AF" w:rsidRDefault="00CF3EA3" w:rsidP="00CF3EA3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highlight w:val="yellow"/>
              </w:rPr>
            </w:pPr>
            <w:r w:rsidRPr="00AB04C8">
              <w:t>We</w:t>
            </w:r>
            <w:r w:rsidRPr="00E62EE0">
              <w:t xml:space="preserve"> have introduced PAT testing in reading for years 1</w:t>
            </w:r>
            <w:r w:rsidRPr="00CF3EA3">
              <w:t xml:space="preserve"> through to year 6. This will occur at the beginning of term 4 each year and begin to build an extra data set that we can access across the school.</w:t>
            </w:r>
          </w:p>
        </w:tc>
      </w:tr>
    </w:tbl>
    <w:p w14:paraId="459CE380" w14:textId="77777777" w:rsidR="00BD2D49" w:rsidRPr="00F951AD" w:rsidRDefault="00BD2D49" w:rsidP="00F951AD"/>
    <w:p w14:paraId="340790F0" w14:textId="6770F68D" w:rsidR="00937D6F" w:rsidRDefault="00937D6F" w:rsidP="00937D6F">
      <w:pPr>
        <w:pStyle w:val="Heading3"/>
      </w:pPr>
      <w:r w:rsidRPr="00DA09ED">
        <w:lastRenderedPageBreak/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BD2D49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4D467D62" w14:textId="1AFE2FF8" w:rsidR="00932E67" w:rsidRDefault="00B73FB1" w:rsidP="00932E67">
            <w:pPr>
              <w:pStyle w:val="ListBullet"/>
            </w:pPr>
            <w:bookmarkStart w:id="3" w:name="_Hlk47014978"/>
            <w:r>
              <w:t xml:space="preserve">This work will continue as consistency in curriculum delivery across the school is work that will carry over into 2021 and beyond. </w:t>
            </w:r>
          </w:p>
          <w:p w14:paraId="24830241" w14:textId="2F567181" w:rsidR="005116B3" w:rsidRDefault="005116B3" w:rsidP="00932E67">
            <w:pPr>
              <w:pStyle w:val="ListBullet"/>
            </w:pPr>
            <w:r>
              <w:t>We will begin moving from curriculum structures to specific classroom practice.</w:t>
            </w:r>
          </w:p>
          <w:p w14:paraId="1C6D3019" w14:textId="2A08897A" w:rsidR="00B73FB1" w:rsidRDefault="00B73FB1" w:rsidP="00932E67">
            <w:pPr>
              <w:pStyle w:val="ListBullet"/>
            </w:pPr>
            <w:r>
              <w:t>We will also be taking part in the Early Years Literacy Initiative which will support this priority.</w:t>
            </w:r>
          </w:p>
          <w:p w14:paraId="248ED0AF" w14:textId="0FFFD0C9" w:rsidR="00CF3EA3" w:rsidRDefault="00CF3EA3" w:rsidP="00932E67">
            <w:pPr>
              <w:pStyle w:val="ListBullet"/>
            </w:pPr>
            <w:r>
              <w:t>Formalising a school data plan so that our approach to the collecting and handling of data is c</w:t>
            </w:r>
            <w:r w:rsidR="005116B3">
              <w:t>lear for all staff.</w:t>
            </w:r>
          </w:p>
          <w:p w14:paraId="21501890" w14:textId="13B27C3F" w:rsidR="00937D6F" w:rsidRDefault="00937D6F" w:rsidP="00F951AD">
            <w:pPr>
              <w:pStyle w:val="ListBullet2"/>
              <w:numPr>
                <w:ilvl w:val="0"/>
                <w:numId w:val="0"/>
              </w:numPr>
            </w:pPr>
          </w:p>
        </w:tc>
      </w:tr>
      <w:bookmarkEnd w:id="3"/>
    </w:tbl>
    <w:p w14:paraId="4044E8BA" w14:textId="77777777" w:rsidR="00937D6F" w:rsidRDefault="00937D6F" w:rsidP="00937D6F">
      <w:pPr>
        <w:pStyle w:val="BodyText"/>
      </w:pPr>
    </w:p>
    <w:p w14:paraId="6F6A05B7" w14:textId="67367C7B" w:rsidR="00EB70CE" w:rsidRPr="000F0410" w:rsidRDefault="00EB70CE" w:rsidP="006536A1">
      <w:pPr>
        <w:pStyle w:val="Heading2"/>
        <w:tabs>
          <w:tab w:val="clear" w:pos="2410"/>
          <w:tab w:val="left" w:pos="1276"/>
        </w:tabs>
        <w:ind w:left="0" w:firstLine="0"/>
        <w:rPr>
          <w:color w:val="auto"/>
        </w:rPr>
      </w:pPr>
      <w:r w:rsidRPr="000F0410"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F951AD" w:rsidRPr="00F951AD">
        <w:rPr>
          <w:color w:val="2F5496" w:themeColor="accent5" w:themeShade="BF"/>
        </w:rPr>
        <w:t xml:space="preserve">To increase the proportion of learners at or above expected growth in mathematics.  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BF90988" w14:textId="25748013" w:rsidR="00EB70CE" w:rsidRPr="00373DC0" w:rsidRDefault="00EB70CE" w:rsidP="00EB70CE">
      <w:pPr>
        <w:pStyle w:val="BodyText"/>
      </w:pPr>
      <w:r w:rsidRPr="00373DC0">
        <w:t>In 20</w:t>
      </w:r>
      <w:r w:rsidR="002D760B">
        <w:t>20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30B8783A" w14:textId="7D411D22" w:rsidR="005116B3" w:rsidRPr="0055770E" w:rsidRDefault="005116B3" w:rsidP="0055770E">
      <w:pPr>
        <w:pStyle w:val="ListBullet"/>
      </w:pPr>
      <w:r>
        <w:t>In 2020 we adjusted the priorities within our School Improvement Plan for a sharper focus.</w:t>
      </w:r>
    </w:p>
    <w:p w14:paraId="51521C8A" w14:textId="77777777" w:rsidR="0055770E" w:rsidRPr="00B3658D" w:rsidRDefault="0055770E" w:rsidP="0055770E">
      <w:pPr>
        <w:pStyle w:val="ListBullet"/>
      </w:pPr>
      <w:r w:rsidRPr="00B3658D">
        <w:t>Staff engagement through workshops on a common understanding and language for what differentiation means and looks like in the classroom.</w:t>
      </w:r>
    </w:p>
    <w:p w14:paraId="561DCBF3" w14:textId="77777777" w:rsidR="0055770E" w:rsidRPr="00B3658D" w:rsidRDefault="0055770E" w:rsidP="0055770E">
      <w:pPr>
        <w:pStyle w:val="ListBullet"/>
      </w:pPr>
      <w:r w:rsidRPr="00B3658D">
        <w:t xml:space="preserve"> Staff engagement and workshops on a clear and common approach to the delivery of curriculum from kindergarten to year 6.</w:t>
      </w:r>
    </w:p>
    <w:p w14:paraId="32A84660" w14:textId="4ED4C483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52A1D276" w14:textId="77777777" w:rsidTr="001046D8">
        <w:trPr>
          <w:jc w:val="center"/>
        </w:trPr>
        <w:tc>
          <w:tcPr>
            <w:tcW w:w="4297" w:type="dxa"/>
            <w:shd w:val="clear" w:color="auto" w:fill="auto"/>
          </w:tcPr>
          <w:p w14:paraId="38831A05" w14:textId="77777777" w:rsidR="00EB70CE" w:rsidRPr="00D03B0C" w:rsidRDefault="00EB70CE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889F794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7FEBA05C" w14:textId="2BC7FCCB" w:rsidR="00EB70CE" w:rsidRPr="00D03B0C" w:rsidRDefault="00F951AD" w:rsidP="0065435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0D73E116" w14:textId="73F85E85" w:rsidR="00EB70CE" w:rsidRPr="00D03B0C" w:rsidRDefault="00F951AD" w:rsidP="0065435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318EBF9E" w14:textId="2BD2F4B8" w:rsidR="00EB70CE" w:rsidRPr="00D03B0C" w:rsidRDefault="00F951AD" w:rsidP="0065435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4C59D3D5" w14:textId="07858847" w:rsidR="00EB70CE" w:rsidRPr="00D03B0C" w:rsidRDefault="00F951AD" w:rsidP="0065435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1" w:type="dxa"/>
            <w:shd w:val="clear" w:color="auto" w:fill="auto"/>
          </w:tcPr>
          <w:p w14:paraId="2D207E80" w14:textId="44431595" w:rsidR="00EB70CE" w:rsidRPr="00D03B0C" w:rsidRDefault="00F951AD" w:rsidP="0065435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951AD" w14:paraId="619F7E44" w14:textId="77777777" w:rsidTr="001046D8">
        <w:trPr>
          <w:jc w:val="center"/>
        </w:trPr>
        <w:tc>
          <w:tcPr>
            <w:tcW w:w="4297" w:type="dxa"/>
            <w:shd w:val="clear" w:color="auto" w:fill="auto"/>
          </w:tcPr>
          <w:p w14:paraId="2513CA2B" w14:textId="00CD3AAC" w:rsidR="00F951AD" w:rsidRPr="00D03B0C" w:rsidRDefault="00F951AD" w:rsidP="00F951AD">
            <w:pPr>
              <w:pStyle w:val="PlainText"/>
            </w:pPr>
            <w:r w:rsidRPr="00F951AD">
              <w:t>80% of each kindergarten cohort make above expected progress in Mathematics (PIPS/BASE)</w:t>
            </w:r>
          </w:p>
        </w:tc>
        <w:tc>
          <w:tcPr>
            <w:tcW w:w="790" w:type="dxa"/>
          </w:tcPr>
          <w:p w14:paraId="033F8A2C" w14:textId="6462900A" w:rsidR="00F951AD" w:rsidRPr="00D03B0C" w:rsidRDefault="00F951AD" w:rsidP="00F951AD">
            <w:pPr>
              <w:jc w:val="center"/>
            </w:pPr>
            <w:r w:rsidRPr="0005793E">
              <w:rPr>
                <w:bCs/>
              </w:rPr>
              <w:t>69.7</w:t>
            </w:r>
          </w:p>
        </w:tc>
        <w:tc>
          <w:tcPr>
            <w:tcW w:w="790" w:type="dxa"/>
          </w:tcPr>
          <w:p w14:paraId="37A47674" w14:textId="343CC50C" w:rsidR="00F951AD" w:rsidRPr="00D03B0C" w:rsidRDefault="00F951AD" w:rsidP="00F951AD">
            <w:pPr>
              <w:jc w:val="center"/>
            </w:pPr>
            <w:r>
              <w:rPr>
                <w:b/>
              </w:rPr>
              <w:t>73.1</w:t>
            </w:r>
          </w:p>
        </w:tc>
        <w:tc>
          <w:tcPr>
            <w:tcW w:w="790" w:type="dxa"/>
          </w:tcPr>
          <w:p w14:paraId="3B610A06" w14:textId="1A60290A" w:rsidR="00F951AD" w:rsidRPr="00D03B0C" w:rsidRDefault="00F951AD" w:rsidP="00F951AD">
            <w:pPr>
              <w:jc w:val="center"/>
            </w:pPr>
            <w:r>
              <w:rPr>
                <w:b/>
              </w:rPr>
              <w:t>88.3</w:t>
            </w:r>
          </w:p>
        </w:tc>
        <w:tc>
          <w:tcPr>
            <w:tcW w:w="790" w:type="dxa"/>
            <w:shd w:val="clear" w:color="auto" w:fill="auto"/>
          </w:tcPr>
          <w:p w14:paraId="14CA5668" w14:textId="51A87860" w:rsidR="00F951AD" w:rsidRPr="00D03B0C" w:rsidRDefault="00AB04C8" w:rsidP="00F951AD">
            <w:pPr>
              <w:jc w:val="center"/>
            </w:pPr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31619F89" w14:textId="77777777" w:rsidR="00F951AD" w:rsidRPr="00D03B0C" w:rsidRDefault="00F951AD" w:rsidP="00F951AD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093216C0" w14:textId="77777777" w:rsidR="00F951AD" w:rsidRPr="00D03B0C" w:rsidRDefault="00F951AD" w:rsidP="00F951AD">
            <w:pPr>
              <w:jc w:val="center"/>
            </w:pPr>
          </w:p>
        </w:tc>
      </w:tr>
      <w:tr w:rsidR="001046D8" w14:paraId="76B89C0B" w14:textId="77777777" w:rsidTr="001046D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7" w:type="dxa"/>
          </w:tcPr>
          <w:p w14:paraId="44F40261" w14:textId="3C48BDF0" w:rsidR="001046D8" w:rsidRPr="001046D8" w:rsidRDefault="001046D8" w:rsidP="002E4723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790" w:type="dxa"/>
          </w:tcPr>
          <w:p w14:paraId="600C192E" w14:textId="2DD75B0F" w:rsidR="001046D8" w:rsidRDefault="001046D8" w:rsidP="002E4723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790" w:type="dxa"/>
          </w:tcPr>
          <w:p w14:paraId="4B2EE0A9" w14:textId="77777777" w:rsidR="001046D8" w:rsidRDefault="001046D8" w:rsidP="002E4723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</w:tcPr>
          <w:p w14:paraId="606DA343" w14:textId="77777777" w:rsidR="001046D8" w:rsidRDefault="001046D8" w:rsidP="002E4723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</w:tcPr>
          <w:p w14:paraId="691D2272" w14:textId="77777777" w:rsidR="001046D8" w:rsidRDefault="001046D8" w:rsidP="002E4723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</w:tcPr>
          <w:p w14:paraId="1DBF58D7" w14:textId="77777777" w:rsidR="001046D8" w:rsidRDefault="001046D8" w:rsidP="002E4723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1" w:type="dxa"/>
          </w:tcPr>
          <w:p w14:paraId="6FCF172A" w14:textId="158AC9B5" w:rsidR="001046D8" w:rsidRDefault="001046D8" w:rsidP="001046D8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1046D8" w14:paraId="5B8AADA1" w14:textId="77777777" w:rsidTr="001046D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7" w:type="dxa"/>
          </w:tcPr>
          <w:p w14:paraId="23474084" w14:textId="5F0D3D29" w:rsidR="001046D8" w:rsidRDefault="001046D8" w:rsidP="002E472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1046D8">
              <w:rPr>
                <w:b/>
              </w:rPr>
              <w:t xml:space="preserve">% of year 5 students making at or above expected progress in Numeracy </w:t>
            </w:r>
          </w:p>
        </w:tc>
        <w:tc>
          <w:tcPr>
            <w:tcW w:w="790" w:type="dxa"/>
          </w:tcPr>
          <w:p w14:paraId="7F82DECB" w14:textId="77777777" w:rsidR="001046D8" w:rsidRDefault="001046D8" w:rsidP="002E4723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90" w:type="dxa"/>
          </w:tcPr>
          <w:p w14:paraId="5AA9FF97" w14:textId="77777777" w:rsidR="001046D8" w:rsidRDefault="001046D8" w:rsidP="002E4723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90" w:type="dxa"/>
          </w:tcPr>
          <w:p w14:paraId="46BF28C9" w14:textId="77777777" w:rsidR="001046D8" w:rsidRDefault="001046D8" w:rsidP="002E4723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90" w:type="dxa"/>
          </w:tcPr>
          <w:p w14:paraId="2E8C7432" w14:textId="32189C82" w:rsidR="001046D8" w:rsidRDefault="008F0A49" w:rsidP="002E4723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t>N/A</w:t>
            </w:r>
          </w:p>
        </w:tc>
        <w:tc>
          <w:tcPr>
            <w:tcW w:w="790" w:type="dxa"/>
          </w:tcPr>
          <w:p w14:paraId="5D527F73" w14:textId="77777777" w:rsidR="001046D8" w:rsidRDefault="001046D8" w:rsidP="002E4723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791" w:type="dxa"/>
          </w:tcPr>
          <w:p w14:paraId="40F03E16" w14:textId="083835B8" w:rsidR="001046D8" w:rsidRDefault="001046D8" w:rsidP="002E4723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</w:tbl>
    <w:p w14:paraId="22DF42D3" w14:textId="265127F0" w:rsidR="001046D8" w:rsidRDefault="001046D8" w:rsidP="00EB70CE">
      <w:pPr>
        <w:pStyle w:val="Heading4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1046D8" w:rsidRPr="001046D8" w14:paraId="5443C402" w14:textId="77777777" w:rsidTr="002E4723">
        <w:tc>
          <w:tcPr>
            <w:tcW w:w="1288" w:type="dxa"/>
          </w:tcPr>
          <w:p w14:paraId="4F2ADA11" w14:textId="72788F89" w:rsidR="001046D8" w:rsidRPr="001046D8" w:rsidRDefault="001046D8" w:rsidP="001046D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Numeracy</w:t>
            </w:r>
          </w:p>
        </w:tc>
        <w:tc>
          <w:tcPr>
            <w:tcW w:w="1288" w:type="dxa"/>
          </w:tcPr>
          <w:p w14:paraId="39FC8DD3" w14:textId="44F2B5C9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288" w:type="dxa"/>
          </w:tcPr>
          <w:p w14:paraId="28D9B4B7" w14:textId="77777777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  <w:r w:rsidRPr="001046D8">
              <w:rPr>
                <w:b/>
              </w:rPr>
              <w:t>2018</w:t>
            </w:r>
          </w:p>
        </w:tc>
        <w:tc>
          <w:tcPr>
            <w:tcW w:w="1288" w:type="dxa"/>
          </w:tcPr>
          <w:p w14:paraId="42F69AE2" w14:textId="77777777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  <w:r w:rsidRPr="001046D8">
              <w:rPr>
                <w:b/>
              </w:rPr>
              <w:t>2019</w:t>
            </w:r>
          </w:p>
        </w:tc>
        <w:tc>
          <w:tcPr>
            <w:tcW w:w="1288" w:type="dxa"/>
          </w:tcPr>
          <w:p w14:paraId="09A0B81B" w14:textId="77777777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  <w:r w:rsidRPr="001046D8">
              <w:rPr>
                <w:b/>
              </w:rPr>
              <w:t>2020</w:t>
            </w:r>
          </w:p>
        </w:tc>
        <w:tc>
          <w:tcPr>
            <w:tcW w:w="1288" w:type="dxa"/>
          </w:tcPr>
          <w:p w14:paraId="75C39BC7" w14:textId="77777777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  <w:r w:rsidRPr="001046D8">
              <w:rPr>
                <w:b/>
              </w:rPr>
              <w:t>2021</w:t>
            </w:r>
          </w:p>
        </w:tc>
        <w:tc>
          <w:tcPr>
            <w:tcW w:w="1288" w:type="dxa"/>
          </w:tcPr>
          <w:p w14:paraId="580F0BC7" w14:textId="68243968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  <w:r w:rsidRPr="001046D8">
              <w:rPr>
                <w:b/>
              </w:rPr>
              <w:t>2022</w:t>
            </w:r>
          </w:p>
        </w:tc>
      </w:tr>
      <w:tr w:rsidR="001046D8" w:rsidRPr="001046D8" w14:paraId="47C84D9D" w14:textId="77777777" w:rsidTr="002E4723">
        <w:tc>
          <w:tcPr>
            <w:tcW w:w="1288" w:type="dxa"/>
          </w:tcPr>
          <w:p w14:paraId="46C35E16" w14:textId="7E1B2F8A" w:rsidR="001046D8" w:rsidRPr="001046D8" w:rsidRDefault="001046D8" w:rsidP="001046D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% of </w:t>
            </w:r>
            <w:r w:rsidRPr="001046D8">
              <w:rPr>
                <w:b/>
              </w:rPr>
              <w:t xml:space="preserve">Year 3 </w:t>
            </w:r>
            <w:r>
              <w:rPr>
                <w:b/>
              </w:rPr>
              <w:t>i</w:t>
            </w:r>
            <w:r w:rsidRPr="001046D8">
              <w:rPr>
                <w:b/>
              </w:rPr>
              <w:t>n top two bands</w:t>
            </w:r>
            <w:r>
              <w:rPr>
                <w:b/>
              </w:rPr>
              <w:t xml:space="preserve"> </w:t>
            </w:r>
          </w:p>
        </w:tc>
        <w:tc>
          <w:tcPr>
            <w:tcW w:w="1288" w:type="dxa"/>
          </w:tcPr>
          <w:p w14:paraId="4FFD5845" w14:textId="77777777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  <w:r w:rsidRPr="001046D8">
              <w:rPr>
                <w:b/>
              </w:rPr>
              <w:t>MYP: 41.2</w:t>
            </w:r>
          </w:p>
          <w:p w14:paraId="45302695" w14:textId="77777777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  <w:r w:rsidRPr="001046D8">
              <w:rPr>
                <w:b/>
              </w:rPr>
              <w:t>SS:58.1</w:t>
            </w:r>
          </w:p>
        </w:tc>
        <w:tc>
          <w:tcPr>
            <w:tcW w:w="1288" w:type="dxa"/>
          </w:tcPr>
          <w:p w14:paraId="634501F6" w14:textId="77777777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  <w:r w:rsidRPr="001046D8">
              <w:rPr>
                <w:b/>
              </w:rPr>
              <w:t>39.6</w:t>
            </w:r>
          </w:p>
        </w:tc>
        <w:tc>
          <w:tcPr>
            <w:tcW w:w="1288" w:type="dxa"/>
          </w:tcPr>
          <w:p w14:paraId="6969206B" w14:textId="77777777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  <w:r w:rsidRPr="001046D8">
              <w:rPr>
                <w:b/>
              </w:rPr>
              <w:t>61.3</w:t>
            </w:r>
          </w:p>
        </w:tc>
        <w:tc>
          <w:tcPr>
            <w:tcW w:w="1288" w:type="dxa"/>
          </w:tcPr>
          <w:p w14:paraId="010D91DA" w14:textId="5E9CF0F0" w:rsidR="001046D8" w:rsidRPr="001046D8" w:rsidRDefault="008F0A49" w:rsidP="001046D8">
            <w:pPr>
              <w:spacing w:after="160" w:line="259" w:lineRule="auto"/>
              <w:jc w:val="center"/>
              <w:rPr>
                <w:b/>
              </w:rPr>
            </w:pPr>
            <w:r>
              <w:t>N/A</w:t>
            </w:r>
          </w:p>
        </w:tc>
        <w:tc>
          <w:tcPr>
            <w:tcW w:w="1288" w:type="dxa"/>
          </w:tcPr>
          <w:p w14:paraId="00A0F7AB" w14:textId="3999DC15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14:paraId="3A4A19B0" w14:textId="77777777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14:paraId="1275E04E" w14:textId="47868E01" w:rsidR="001046D8" w:rsidRDefault="001046D8" w:rsidP="001046D8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88"/>
        <w:gridCol w:w="1401"/>
        <w:gridCol w:w="1175"/>
        <w:gridCol w:w="1288"/>
        <w:gridCol w:w="1288"/>
        <w:gridCol w:w="1288"/>
        <w:gridCol w:w="1288"/>
      </w:tblGrid>
      <w:tr w:rsidR="001046D8" w:rsidRPr="001046D8" w14:paraId="5F8CF1C3" w14:textId="77777777" w:rsidTr="002E4723">
        <w:tc>
          <w:tcPr>
            <w:tcW w:w="1288" w:type="dxa"/>
          </w:tcPr>
          <w:p w14:paraId="4D6770CF" w14:textId="5EA3B437" w:rsidR="001046D8" w:rsidRPr="001046D8" w:rsidRDefault="001046D8" w:rsidP="001046D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Numeracy</w:t>
            </w:r>
          </w:p>
        </w:tc>
        <w:tc>
          <w:tcPr>
            <w:tcW w:w="1401" w:type="dxa"/>
          </w:tcPr>
          <w:p w14:paraId="145F8E97" w14:textId="5EBB0FC2" w:rsidR="001046D8" w:rsidRPr="001046D8" w:rsidRDefault="001046D8" w:rsidP="001046D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175" w:type="dxa"/>
          </w:tcPr>
          <w:p w14:paraId="30EE0515" w14:textId="77777777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  <w:r w:rsidRPr="001046D8">
              <w:rPr>
                <w:b/>
              </w:rPr>
              <w:t>2018</w:t>
            </w:r>
          </w:p>
        </w:tc>
        <w:tc>
          <w:tcPr>
            <w:tcW w:w="1288" w:type="dxa"/>
          </w:tcPr>
          <w:p w14:paraId="3645C262" w14:textId="77777777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  <w:r w:rsidRPr="001046D8">
              <w:rPr>
                <w:b/>
              </w:rPr>
              <w:t>2019</w:t>
            </w:r>
          </w:p>
        </w:tc>
        <w:tc>
          <w:tcPr>
            <w:tcW w:w="1288" w:type="dxa"/>
          </w:tcPr>
          <w:p w14:paraId="2D3EF595" w14:textId="77777777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  <w:r w:rsidRPr="001046D8">
              <w:rPr>
                <w:b/>
              </w:rPr>
              <w:t>2020</w:t>
            </w:r>
          </w:p>
        </w:tc>
        <w:tc>
          <w:tcPr>
            <w:tcW w:w="1288" w:type="dxa"/>
          </w:tcPr>
          <w:p w14:paraId="63600FA5" w14:textId="77777777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  <w:r w:rsidRPr="001046D8">
              <w:rPr>
                <w:b/>
              </w:rPr>
              <w:t>2021</w:t>
            </w:r>
          </w:p>
        </w:tc>
        <w:tc>
          <w:tcPr>
            <w:tcW w:w="1288" w:type="dxa"/>
          </w:tcPr>
          <w:p w14:paraId="33159F4C" w14:textId="0E12C645" w:rsidR="001046D8" w:rsidRPr="001046D8" w:rsidRDefault="001046D8" w:rsidP="001046D8">
            <w:pPr>
              <w:spacing w:after="160" w:line="259" w:lineRule="auto"/>
              <w:rPr>
                <w:b/>
              </w:rPr>
            </w:pPr>
            <w:r w:rsidRPr="001046D8">
              <w:rPr>
                <w:b/>
              </w:rPr>
              <w:t>2022</w:t>
            </w:r>
          </w:p>
        </w:tc>
      </w:tr>
      <w:tr w:rsidR="001046D8" w:rsidRPr="001046D8" w14:paraId="7E6AB189" w14:textId="77777777" w:rsidTr="002E4723">
        <w:tc>
          <w:tcPr>
            <w:tcW w:w="1288" w:type="dxa"/>
          </w:tcPr>
          <w:p w14:paraId="3D23A6CC" w14:textId="6D5F2A2C" w:rsidR="001046D8" w:rsidRPr="001046D8" w:rsidRDefault="001046D8" w:rsidP="001046D8">
            <w:pPr>
              <w:spacing w:after="160" w:line="259" w:lineRule="auto"/>
              <w:rPr>
                <w:b/>
              </w:rPr>
            </w:pPr>
            <w:r w:rsidRPr="001046D8">
              <w:rPr>
                <w:b/>
              </w:rPr>
              <w:t>% of Year 5 in top two bands</w:t>
            </w:r>
          </w:p>
        </w:tc>
        <w:tc>
          <w:tcPr>
            <w:tcW w:w="1401" w:type="dxa"/>
          </w:tcPr>
          <w:p w14:paraId="1BC2BB99" w14:textId="77777777" w:rsidR="001046D8" w:rsidRPr="001046D8" w:rsidRDefault="001046D8" w:rsidP="001046D8">
            <w:pPr>
              <w:spacing w:after="160" w:line="259" w:lineRule="auto"/>
              <w:jc w:val="center"/>
              <w:rPr>
                <w:bCs/>
              </w:rPr>
            </w:pPr>
            <w:r w:rsidRPr="001046D8">
              <w:rPr>
                <w:bCs/>
              </w:rPr>
              <w:t>MPS: 29.5</w:t>
            </w:r>
          </w:p>
          <w:p w14:paraId="18A3AE1B" w14:textId="77777777" w:rsidR="001046D8" w:rsidRPr="001046D8" w:rsidRDefault="001046D8" w:rsidP="001046D8">
            <w:pPr>
              <w:spacing w:after="160" w:line="259" w:lineRule="auto"/>
              <w:jc w:val="center"/>
            </w:pPr>
            <w:r w:rsidRPr="001046D8">
              <w:t>SS: 47.4</w:t>
            </w:r>
          </w:p>
        </w:tc>
        <w:tc>
          <w:tcPr>
            <w:tcW w:w="1175" w:type="dxa"/>
          </w:tcPr>
          <w:p w14:paraId="5A5B0D43" w14:textId="77777777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  <w:r w:rsidRPr="001046D8">
              <w:rPr>
                <w:b/>
              </w:rPr>
              <w:t>31.0</w:t>
            </w:r>
          </w:p>
        </w:tc>
        <w:tc>
          <w:tcPr>
            <w:tcW w:w="1288" w:type="dxa"/>
          </w:tcPr>
          <w:p w14:paraId="721899CE" w14:textId="77777777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  <w:r w:rsidRPr="001046D8">
              <w:rPr>
                <w:b/>
              </w:rPr>
              <w:t>31.3</w:t>
            </w:r>
          </w:p>
        </w:tc>
        <w:tc>
          <w:tcPr>
            <w:tcW w:w="1288" w:type="dxa"/>
          </w:tcPr>
          <w:p w14:paraId="34D16534" w14:textId="0453495C" w:rsidR="001046D8" w:rsidRPr="001046D8" w:rsidRDefault="008F0A49" w:rsidP="001046D8">
            <w:pPr>
              <w:spacing w:after="160" w:line="259" w:lineRule="auto"/>
              <w:jc w:val="center"/>
              <w:rPr>
                <w:b/>
              </w:rPr>
            </w:pPr>
            <w:r>
              <w:t>N/A</w:t>
            </w:r>
          </w:p>
        </w:tc>
        <w:tc>
          <w:tcPr>
            <w:tcW w:w="1288" w:type="dxa"/>
          </w:tcPr>
          <w:p w14:paraId="60244EFC" w14:textId="0A31F53D" w:rsidR="001046D8" w:rsidRPr="001046D8" w:rsidRDefault="001046D8" w:rsidP="001046D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14:paraId="6BF7043E" w14:textId="77777777" w:rsidR="001046D8" w:rsidRPr="001046D8" w:rsidRDefault="001046D8" w:rsidP="001046D8">
            <w:pPr>
              <w:spacing w:after="160" w:line="259" w:lineRule="auto"/>
              <w:rPr>
                <w:b/>
              </w:rPr>
            </w:pPr>
          </w:p>
        </w:tc>
      </w:tr>
    </w:tbl>
    <w:p w14:paraId="1002A80A" w14:textId="77777777" w:rsidR="001046D8" w:rsidRPr="001046D8" w:rsidRDefault="001046D8" w:rsidP="001046D8"/>
    <w:p w14:paraId="277910B0" w14:textId="0B1E4239" w:rsidR="00EB70CE" w:rsidRPr="008A01DA" w:rsidRDefault="00EB70CE" w:rsidP="00EB70CE">
      <w:pPr>
        <w:pStyle w:val="Heading4"/>
      </w:pPr>
      <w:r>
        <w:lastRenderedPageBreak/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BD2D49" w14:paraId="1396D00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6A81EE33" w14:textId="77777777" w:rsidR="00BD2D49" w:rsidRPr="006D2F6B" w:rsidRDefault="00BD2D49" w:rsidP="00BD2D49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59C188F" w14:textId="77777777" w:rsidR="00BD2D49" w:rsidRPr="006D2F6B" w:rsidRDefault="00BD2D49" w:rsidP="00BD2D4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066ED5C" w14:textId="082BC02D" w:rsidR="00BD2D49" w:rsidRPr="006D2F6B" w:rsidRDefault="00BD2D49" w:rsidP="00BD2D4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27AC99DF" w14:textId="4ADFE00A" w:rsidR="00BD2D49" w:rsidRPr="006D2F6B" w:rsidRDefault="00BD2D49" w:rsidP="00BD2D4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2397C360" w14:textId="44197877" w:rsidR="00BD2D49" w:rsidRPr="006D2F6B" w:rsidRDefault="00BD2D49" w:rsidP="00BD2D4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102EF8AB" w14:textId="4E3F8C4F" w:rsidR="00BD2D49" w:rsidRPr="006D2F6B" w:rsidRDefault="00BD2D49" w:rsidP="00BD2D4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1" w:type="dxa"/>
            <w:shd w:val="clear" w:color="auto" w:fill="auto"/>
          </w:tcPr>
          <w:p w14:paraId="750673D6" w14:textId="6C633154" w:rsidR="00BD2D49" w:rsidRPr="006D2F6B" w:rsidRDefault="00BD2D49" w:rsidP="00BD2D4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BD2D49" w14:paraId="715AAF1C" w14:textId="77777777" w:rsidTr="00DC1F1E">
        <w:trPr>
          <w:jc w:val="center"/>
        </w:trPr>
        <w:tc>
          <w:tcPr>
            <w:tcW w:w="4297" w:type="dxa"/>
            <w:shd w:val="clear" w:color="auto" w:fill="auto"/>
          </w:tcPr>
          <w:p w14:paraId="1BB77CFA" w14:textId="46A74936" w:rsidR="00BD2D49" w:rsidRPr="006D2F6B" w:rsidRDefault="00BD2D49" w:rsidP="00BD2D49">
            <w:pPr>
              <w:pStyle w:val="PlainText"/>
            </w:pPr>
            <w:r w:rsidRPr="00F951AD">
              <w:t xml:space="preserve">Increase proportion of student response that </w:t>
            </w:r>
            <w:r w:rsidR="004361DC">
              <w:t>‘</w:t>
            </w:r>
            <w:r w:rsidRPr="00F951AD">
              <w:t>the school has high expectations</w:t>
            </w:r>
            <w:r w:rsidR="004361DC">
              <w:t>’</w:t>
            </w:r>
            <w:r w:rsidRPr="00F951AD">
              <w:t xml:space="preserve"> to 90%</w:t>
            </w:r>
          </w:p>
        </w:tc>
        <w:tc>
          <w:tcPr>
            <w:tcW w:w="790" w:type="dxa"/>
          </w:tcPr>
          <w:p w14:paraId="694253E4" w14:textId="6E3D9872" w:rsidR="00BD2D49" w:rsidRPr="006D2F6B" w:rsidRDefault="00BD2D49" w:rsidP="00EE1C01">
            <w:pPr>
              <w:jc w:val="center"/>
            </w:pPr>
            <w:r>
              <w:rPr>
                <w:b/>
              </w:rPr>
              <w:t>82.3</w:t>
            </w:r>
          </w:p>
        </w:tc>
        <w:tc>
          <w:tcPr>
            <w:tcW w:w="790" w:type="dxa"/>
          </w:tcPr>
          <w:p w14:paraId="30994033" w14:textId="4C0E3471" w:rsidR="00BD2D49" w:rsidRPr="006D2F6B" w:rsidRDefault="00BD2D49" w:rsidP="00EE1C01">
            <w:pPr>
              <w:jc w:val="center"/>
            </w:pPr>
            <w:r>
              <w:rPr>
                <w:b/>
              </w:rPr>
              <w:t>86.5</w:t>
            </w:r>
          </w:p>
        </w:tc>
        <w:tc>
          <w:tcPr>
            <w:tcW w:w="790" w:type="dxa"/>
          </w:tcPr>
          <w:p w14:paraId="0240AD5D" w14:textId="57FEA399" w:rsidR="00BD2D49" w:rsidRPr="006D2F6B" w:rsidRDefault="00BD2D49" w:rsidP="00EE1C01">
            <w:pPr>
              <w:jc w:val="center"/>
            </w:pPr>
            <w:r>
              <w:rPr>
                <w:b/>
              </w:rPr>
              <w:t>71.6</w:t>
            </w:r>
          </w:p>
        </w:tc>
        <w:tc>
          <w:tcPr>
            <w:tcW w:w="790" w:type="dxa"/>
            <w:shd w:val="clear" w:color="auto" w:fill="auto"/>
          </w:tcPr>
          <w:p w14:paraId="06476B2E" w14:textId="23D8AA74" w:rsidR="00BD2D49" w:rsidRPr="00E62EE0" w:rsidRDefault="00E62EE0" w:rsidP="00D915BC">
            <w:pPr>
              <w:jc w:val="center"/>
              <w:rPr>
                <w:b/>
                <w:bCs/>
              </w:rPr>
            </w:pPr>
            <w:r w:rsidRPr="00E62EE0">
              <w:rPr>
                <w:b/>
                <w:bCs/>
              </w:rPr>
              <w:t>75.0</w:t>
            </w:r>
          </w:p>
        </w:tc>
        <w:tc>
          <w:tcPr>
            <w:tcW w:w="790" w:type="dxa"/>
            <w:shd w:val="clear" w:color="auto" w:fill="auto"/>
          </w:tcPr>
          <w:p w14:paraId="7CE7857F" w14:textId="77777777" w:rsidR="00BD2D49" w:rsidRPr="006D2F6B" w:rsidRDefault="00BD2D49" w:rsidP="00BD2D49"/>
        </w:tc>
        <w:tc>
          <w:tcPr>
            <w:tcW w:w="791" w:type="dxa"/>
            <w:shd w:val="clear" w:color="auto" w:fill="auto"/>
          </w:tcPr>
          <w:p w14:paraId="58F95C67" w14:textId="77777777" w:rsidR="00BD2D49" w:rsidRPr="006D2F6B" w:rsidRDefault="00BD2D49" w:rsidP="00BD2D49"/>
        </w:tc>
      </w:tr>
    </w:tbl>
    <w:p w14:paraId="4A173E60" w14:textId="303B57E1" w:rsidR="00EB70CE" w:rsidRDefault="00EB70CE" w:rsidP="00EB70CE">
      <w:pPr>
        <w:pStyle w:val="Heading4"/>
      </w:pPr>
      <w:r>
        <w:t>School program and process data</w:t>
      </w:r>
      <w:r w:rsidR="00FD7BB5">
        <w:t xml:space="preserve"> </w:t>
      </w:r>
    </w:p>
    <w:p w14:paraId="6FA71CEA" w14:textId="77777777" w:rsidR="00376618" w:rsidRPr="00376618" w:rsidRDefault="00376618" w:rsidP="00376618"/>
    <w:p w14:paraId="69A4AC32" w14:textId="7A81A3F8" w:rsidR="00B077AF" w:rsidRPr="00B077AF" w:rsidRDefault="00B077AF" w:rsidP="00B077AF">
      <w:r w:rsidRPr="00B077AF">
        <w:t xml:space="preserve">PAT </w:t>
      </w:r>
      <w:proofErr w:type="gramStart"/>
      <w:r w:rsidRPr="00B077AF">
        <w:t>M  baseline</w:t>
      </w:r>
      <w:proofErr w:type="gramEnd"/>
      <w:r w:rsidRPr="00B077AF">
        <w:t xml:space="preserve"> data collected in 2020.</w:t>
      </w:r>
    </w:p>
    <w:p w14:paraId="04F6AA33" w14:textId="3DA09C64" w:rsidR="00EB70CE" w:rsidRDefault="00EB70CE" w:rsidP="00EB70C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903"/>
        <w:gridCol w:w="903"/>
        <w:gridCol w:w="903"/>
        <w:gridCol w:w="903"/>
        <w:gridCol w:w="903"/>
        <w:gridCol w:w="903"/>
      </w:tblGrid>
      <w:tr w:rsidR="005E2E01" w:rsidRPr="009952C9" w14:paraId="13FA16D8" w14:textId="77777777" w:rsidTr="004704E3">
        <w:trPr>
          <w:trHeight w:val="915"/>
        </w:trPr>
        <w:tc>
          <w:tcPr>
            <w:tcW w:w="666" w:type="dxa"/>
            <w:noWrap/>
          </w:tcPr>
          <w:p w14:paraId="7DF0403A" w14:textId="77777777" w:rsidR="005E2E01" w:rsidRPr="009952C9" w:rsidRDefault="005E2E01" w:rsidP="009952C9">
            <w:pPr>
              <w:pStyle w:val="BodyText"/>
            </w:pPr>
          </w:p>
        </w:tc>
        <w:tc>
          <w:tcPr>
            <w:tcW w:w="1806" w:type="dxa"/>
            <w:gridSpan w:val="2"/>
          </w:tcPr>
          <w:p w14:paraId="2D2C04A4" w14:textId="58E0FB4A" w:rsidR="005E2E01" w:rsidRPr="00376618" w:rsidRDefault="005E2E01" w:rsidP="005E2E01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 Baseline data</w:t>
            </w:r>
          </w:p>
        </w:tc>
        <w:tc>
          <w:tcPr>
            <w:tcW w:w="1806" w:type="dxa"/>
            <w:gridSpan w:val="2"/>
          </w:tcPr>
          <w:p w14:paraId="763610C2" w14:textId="0779410F" w:rsidR="005E2E01" w:rsidRPr="00376618" w:rsidRDefault="005E2E01" w:rsidP="005E2E01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806" w:type="dxa"/>
            <w:gridSpan w:val="2"/>
          </w:tcPr>
          <w:p w14:paraId="61FF234C" w14:textId="4276D4FF" w:rsidR="005E2E01" w:rsidRPr="00376618" w:rsidRDefault="005E2E01" w:rsidP="005E2E01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376618" w:rsidRPr="009952C9" w14:paraId="239258D3" w14:textId="77777777" w:rsidTr="005E2E01">
        <w:trPr>
          <w:trHeight w:val="915"/>
        </w:trPr>
        <w:tc>
          <w:tcPr>
            <w:tcW w:w="666" w:type="dxa"/>
            <w:noWrap/>
            <w:hideMark/>
          </w:tcPr>
          <w:p w14:paraId="287CEBED" w14:textId="77777777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hideMark/>
          </w:tcPr>
          <w:p w14:paraId="783777A8" w14:textId="77777777" w:rsidR="00376618" w:rsidRPr="00376618" w:rsidRDefault="00376618" w:rsidP="009952C9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376618">
              <w:rPr>
                <w:b/>
                <w:bCs/>
                <w:sz w:val="18"/>
                <w:szCs w:val="18"/>
              </w:rPr>
              <w:t>MPS (Median)</w:t>
            </w:r>
          </w:p>
        </w:tc>
        <w:tc>
          <w:tcPr>
            <w:tcW w:w="903" w:type="dxa"/>
            <w:hideMark/>
          </w:tcPr>
          <w:p w14:paraId="02F65B0D" w14:textId="77777777" w:rsidR="00376618" w:rsidRPr="00376618" w:rsidRDefault="00376618" w:rsidP="009952C9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376618">
              <w:rPr>
                <w:b/>
                <w:bCs/>
                <w:sz w:val="18"/>
                <w:szCs w:val="18"/>
              </w:rPr>
              <w:t>Nation (Median)</w:t>
            </w:r>
          </w:p>
        </w:tc>
        <w:tc>
          <w:tcPr>
            <w:tcW w:w="903" w:type="dxa"/>
            <w:hideMark/>
          </w:tcPr>
          <w:p w14:paraId="400FAE4E" w14:textId="2C41044B" w:rsidR="00376618" w:rsidRPr="006564E4" w:rsidRDefault="00376618" w:rsidP="009952C9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376618">
              <w:rPr>
                <w:b/>
                <w:bCs/>
                <w:sz w:val="18"/>
                <w:szCs w:val="18"/>
              </w:rPr>
              <w:t>MPS (Median)</w:t>
            </w:r>
          </w:p>
        </w:tc>
        <w:tc>
          <w:tcPr>
            <w:tcW w:w="903" w:type="dxa"/>
            <w:hideMark/>
          </w:tcPr>
          <w:p w14:paraId="349EC31A" w14:textId="5527C844" w:rsidR="00376618" w:rsidRPr="006564E4" w:rsidRDefault="00376618" w:rsidP="009952C9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376618">
              <w:rPr>
                <w:b/>
                <w:bCs/>
                <w:sz w:val="18"/>
                <w:szCs w:val="18"/>
              </w:rPr>
              <w:t>Nation (Median)</w:t>
            </w:r>
          </w:p>
        </w:tc>
        <w:tc>
          <w:tcPr>
            <w:tcW w:w="903" w:type="dxa"/>
            <w:hideMark/>
          </w:tcPr>
          <w:p w14:paraId="49AF81FA" w14:textId="554E8132" w:rsidR="00376618" w:rsidRPr="006564E4" w:rsidRDefault="00376618" w:rsidP="009952C9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376618">
              <w:rPr>
                <w:b/>
                <w:bCs/>
                <w:sz w:val="18"/>
                <w:szCs w:val="18"/>
              </w:rPr>
              <w:t>MPS (Median)</w:t>
            </w:r>
          </w:p>
        </w:tc>
        <w:tc>
          <w:tcPr>
            <w:tcW w:w="903" w:type="dxa"/>
            <w:hideMark/>
          </w:tcPr>
          <w:p w14:paraId="6D1A433C" w14:textId="723AA8F3" w:rsidR="00376618" w:rsidRPr="006564E4" w:rsidRDefault="00376618" w:rsidP="009952C9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376618">
              <w:rPr>
                <w:b/>
                <w:bCs/>
                <w:sz w:val="18"/>
                <w:szCs w:val="18"/>
              </w:rPr>
              <w:t>Nation (Median)</w:t>
            </w:r>
          </w:p>
        </w:tc>
      </w:tr>
      <w:tr w:rsidR="00376618" w:rsidRPr="009952C9" w14:paraId="4D321849" w14:textId="77777777" w:rsidTr="005E2E01">
        <w:trPr>
          <w:trHeight w:val="300"/>
        </w:trPr>
        <w:tc>
          <w:tcPr>
            <w:tcW w:w="666" w:type="dxa"/>
            <w:noWrap/>
            <w:hideMark/>
          </w:tcPr>
          <w:p w14:paraId="40664C3A" w14:textId="77777777" w:rsidR="00376618" w:rsidRPr="006564E4" w:rsidRDefault="00376618" w:rsidP="009952C9">
            <w:pPr>
              <w:pStyle w:val="BodyText"/>
              <w:rPr>
                <w:b/>
                <w:bCs/>
              </w:rPr>
            </w:pPr>
            <w:r w:rsidRPr="006564E4">
              <w:rPr>
                <w:b/>
                <w:bCs/>
              </w:rPr>
              <w:t>Year 1</w:t>
            </w:r>
          </w:p>
        </w:tc>
        <w:tc>
          <w:tcPr>
            <w:tcW w:w="903" w:type="dxa"/>
            <w:noWrap/>
            <w:hideMark/>
          </w:tcPr>
          <w:p w14:paraId="491C22EF" w14:textId="77777777" w:rsidR="00376618" w:rsidRPr="00376618" w:rsidRDefault="00376618" w:rsidP="009952C9">
            <w:pPr>
              <w:pStyle w:val="BodyText"/>
            </w:pPr>
            <w:r w:rsidRPr="00376618">
              <w:t>96.6</w:t>
            </w:r>
          </w:p>
        </w:tc>
        <w:tc>
          <w:tcPr>
            <w:tcW w:w="903" w:type="dxa"/>
            <w:noWrap/>
            <w:hideMark/>
          </w:tcPr>
          <w:p w14:paraId="577519CB" w14:textId="77777777" w:rsidR="00376618" w:rsidRPr="00376618" w:rsidRDefault="00376618" w:rsidP="009952C9">
            <w:pPr>
              <w:pStyle w:val="BodyText"/>
            </w:pPr>
            <w:r w:rsidRPr="00376618">
              <w:t>93.2</w:t>
            </w:r>
          </w:p>
        </w:tc>
        <w:tc>
          <w:tcPr>
            <w:tcW w:w="903" w:type="dxa"/>
            <w:noWrap/>
            <w:hideMark/>
          </w:tcPr>
          <w:p w14:paraId="426B71F7" w14:textId="6CD0E631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2EFFD5D1" w14:textId="152DCBA6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27BA7889" w14:textId="4DE793F3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37AEEFCB" w14:textId="49844A06" w:rsidR="00376618" w:rsidRPr="009952C9" w:rsidRDefault="00376618" w:rsidP="009952C9">
            <w:pPr>
              <w:pStyle w:val="BodyText"/>
            </w:pPr>
          </w:p>
        </w:tc>
      </w:tr>
      <w:tr w:rsidR="00376618" w:rsidRPr="009952C9" w14:paraId="4266375B" w14:textId="77777777" w:rsidTr="005E2E01">
        <w:trPr>
          <w:trHeight w:val="300"/>
        </w:trPr>
        <w:tc>
          <w:tcPr>
            <w:tcW w:w="666" w:type="dxa"/>
            <w:noWrap/>
            <w:hideMark/>
          </w:tcPr>
          <w:p w14:paraId="15DA84AF" w14:textId="77777777" w:rsidR="00376618" w:rsidRPr="006564E4" w:rsidRDefault="00376618" w:rsidP="009952C9">
            <w:pPr>
              <w:pStyle w:val="BodyText"/>
              <w:rPr>
                <w:b/>
                <w:bCs/>
              </w:rPr>
            </w:pPr>
            <w:r w:rsidRPr="006564E4">
              <w:rPr>
                <w:b/>
                <w:bCs/>
              </w:rPr>
              <w:t>Year 2</w:t>
            </w:r>
          </w:p>
        </w:tc>
        <w:tc>
          <w:tcPr>
            <w:tcW w:w="903" w:type="dxa"/>
            <w:noWrap/>
            <w:hideMark/>
          </w:tcPr>
          <w:p w14:paraId="4B4C4E47" w14:textId="77777777" w:rsidR="00376618" w:rsidRPr="00376618" w:rsidRDefault="00376618" w:rsidP="009952C9">
            <w:pPr>
              <w:pStyle w:val="BodyText"/>
            </w:pPr>
            <w:r w:rsidRPr="00376618">
              <w:t>107.7</w:t>
            </w:r>
          </w:p>
        </w:tc>
        <w:tc>
          <w:tcPr>
            <w:tcW w:w="903" w:type="dxa"/>
            <w:noWrap/>
            <w:hideMark/>
          </w:tcPr>
          <w:p w14:paraId="4963C805" w14:textId="77777777" w:rsidR="00376618" w:rsidRPr="00376618" w:rsidRDefault="00376618" w:rsidP="009952C9">
            <w:pPr>
              <w:pStyle w:val="BodyText"/>
            </w:pPr>
            <w:r w:rsidRPr="00376618">
              <w:t>103</w:t>
            </w:r>
          </w:p>
        </w:tc>
        <w:tc>
          <w:tcPr>
            <w:tcW w:w="903" w:type="dxa"/>
            <w:noWrap/>
            <w:hideMark/>
          </w:tcPr>
          <w:p w14:paraId="13FD3392" w14:textId="5DB97DAF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73B03403" w14:textId="55943312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49C85E56" w14:textId="5D650CD1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26D7DDD7" w14:textId="5021CC6F" w:rsidR="00376618" w:rsidRPr="009952C9" w:rsidRDefault="00376618" w:rsidP="009952C9">
            <w:pPr>
              <w:pStyle w:val="BodyText"/>
            </w:pPr>
          </w:p>
        </w:tc>
      </w:tr>
      <w:tr w:rsidR="00376618" w:rsidRPr="009952C9" w14:paraId="3C4769C8" w14:textId="77777777" w:rsidTr="005E2E01">
        <w:trPr>
          <w:trHeight w:val="300"/>
        </w:trPr>
        <w:tc>
          <w:tcPr>
            <w:tcW w:w="666" w:type="dxa"/>
            <w:noWrap/>
            <w:hideMark/>
          </w:tcPr>
          <w:p w14:paraId="66666503" w14:textId="77777777" w:rsidR="00376618" w:rsidRPr="006564E4" w:rsidRDefault="00376618" w:rsidP="009952C9">
            <w:pPr>
              <w:pStyle w:val="BodyText"/>
              <w:rPr>
                <w:b/>
                <w:bCs/>
              </w:rPr>
            </w:pPr>
            <w:r w:rsidRPr="006564E4">
              <w:rPr>
                <w:b/>
                <w:bCs/>
              </w:rPr>
              <w:t>Year 3</w:t>
            </w:r>
          </w:p>
        </w:tc>
        <w:tc>
          <w:tcPr>
            <w:tcW w:w="903" w:type="dxa"/>
            <w:noWrap/>
            <w:hideMark/>
          </w:tcPr>
          <w:p w14:paraId="0BA7CCBA" w14:textId="77777777" w:rsidR="00376618" w:rsidRPr="00376618" w:rsidRDefault="00376618" w:rsidP="009952C9">
            <w:pPr>
              <w:pStyle w:val="BodyText"/>
            </w:pPr>
            <w:r w:rsidRPr="00376618">
              <w:t>114.7</w:t>
            </w:r>
          </w:p>
        </w:tc>
        <w:tc>
          <w:tcPr>
            <w:tcW w:w="903" w:type="dxa"/>
            <w:noWrap/>
            <w:hideMark/>
          </w:tcPr>
          <w:p w14:paraId="3F65C021" w14:textId="77777777" w:rsidR="00376618" w:rsidRPr="00376618" w:rsidRDefault="00376618" w:rsidP="009952C9">
            <w:pPr>
              <w:pStyle w:val="BodyText"/>
            </w:pPr>
            <w:r w:rsidRPr="00376618">
              <w:t>110.9</w:t>
            </w:r>
          </w:p>
        </w:tc>
        <w:tc>
          <w:tcPr>
            <w:tcW w:w="903" w:type="dxa"/>
            <w:noWrap/>
            <w:hideMark/>
          </w:tcPr>
          <w:p w14:paraId="3D88938C" w14:textId="68E11426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3B91285E" w14:textId="478E2466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4AC67511" w14:textId="11970ADD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3A85DBA0" w14:textId="382DA990" w:rsidR="00376618" w:rsidRPr="009952C9" w:rsidRDefault="00376618" w:rsidP="009952C9">
            <w:pPr>
              <w:pStyle w:val="BodyText"/>
            </w:pPr>
          </w:p>
        </w:tc>
      </w:tr>
      <w:tr w:rsidR="00376618" w:rsidRPr="009952C9" w14:paraId="3D3F9F0A" w14:textId="77777777" w:rsidTr="005E2E01">
        <w:trPr>
          <w:trHeight w:val="300"/>
        </w:trPr>
        <w:tc>
          <w:tcPr>
            <w:tcW w:w="666" w:type="dxa"/>
            <w:noWrap/>
            <w:hideMark/>
          </w:tcPr>
          <w:p w14:paraId="1AB203A3" w14:textId="77777777" w:rsidR="00376618" w:rsidRPr="006564E4" w:rsidRDefault="00376618" w:rsidP="009952C9">
            <w:pPr>
              <w:pStyle w:val="BodyText"/>
              <w:rPr>
                <w:b/>
                <w:bCs/>
              </w:rPr>
            </w:pPr>
            <w:r w:rsidRPr="006564E4">
              <w:rPr>
                <w:b/>
                <w:bCs/>
              </w:rPr>
              <w:t>Year 4</w:t>
            </w:r>
          </w:p>
        </w:tc>
        <w:tc>
          <w:tcPr>
            <w:tcW w:w="903" w:type="dxa"/>
            <w:noWrap/>
            <w:hideMark/>
          </w:tcPr>
          <w:p w14:paraId="0DE7B080" w14:textId="77777777" w:rsidR="00376618" w:rsidRPr="00376618" w:rsidRDefault="00376618" w:rsidP="009952C9">
            <w:pPr>
              <w:pStyle w:val="BodyText"/>
            </w:pPr>
            <w:r w:rsidRPr="00376618">
              <w:t>120.2</w:t>
            </w:r>
          </w:p>
        </w:tc>
        <w:tc>
          <w:tcPr>
            <w:tcW w:w="903" w:type="dxa"/>
            <w:noWrap/>
            <w:hideMark/>
          </w:tcPr>
          <w:p w14:paraId="0C6ADC8B" w14:textId="77777777" w:rsidR="00376618" w:rsidRPr="00376618" w:rsidRDefault="00376618" w:rsidP="009952C9">
            <w:pPr>
              <w:pStyle w:val="BodyText"/>
            </w:pPr>
            <w:r w:rsidRPr="00376618">
              <w:t>117.4</w:t>
            </w:r>
          </w:p>
        </w:tc>
        <w:tc>
          <w:tcPr>
            <w:tcW w:w="903" w:type="dxa"/>
            <w:noWrap/>
            <w:hideMark/>
          </w:tcPr>
          <w:p w14:paraId="7A9B8341" w14:textId="1B5235A8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3B074EBF" w14:textId="760851DF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2264D23A" w14:textId="6163CF26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10E1B093" w14:textId="48F88DCC" w:rsidR="00376618" w:rsidRPr="009952C9" w:rsidRDefault="00376618" w:rsidP="009952C9">
            <w:pPr>
              <w:pStyle w:val="BodyText"/>
            </w:pPr>
          </w:p>
        </w:tc>
      </w:tr>
      <w:tr w:rsidR="00376618" w:rsidRPr="009952C9" w14:paraId="49A395DB" w14:textId="77777777" w:rsidTr="005E2E01">
        <w:trPr>
          <w:trHeight w:val="300"/>
        </w:trPr>
        <w:tc>
          <w:tcPr>
            <w:tcW w:w="666" w:type="dxa"/>
            <w:noWrap/>
            <w:hideMark/>
          </w:tcPr>
          <w:p w14:paraId="4CC51FD8" w14:textId="77777777" w:rsidR="00376618" w:rsidRPr="006564E4" w:rsidRDefault="00376618" w:rsidP="009952C9">
            <w:pPr>
              <w:pStyle w:val="BodyText"/>
              <w:rPr>
                <w:b/>
                <w:bCs/>
              </w:rPr>
            </w:pPr>
            <w:r w:rsidRPr="006564E4">
              <w:rPr>
                <w:b/>
                <w:bCs/>
              </w:rPr>
              <w:t>Year 5</w:t>
            </w:r>
          </w:p>
        </w:tc>
        <w:tc>
          <w:tcPr>
            <w:tcW w:w="903" w:type="dxa"/>
            <w:noWrap/>
            <w:hideMark/>
          </w:tcPr>
          <w:p w14:paraId="7DF7EFCF" w14:textId="77777777" w:rsidR="00376618" w:rsidRPr="00376618" w:rsidRDefault="00376618" w:rsidP="009952C9">
            <w:pPr>
              <w:pStyle w:val="BodyText"/>
            </w:pPr>
            <w:r w:rsidRPr="00376618">
              <w:t>124.8</w:t>
            </w:r>
          </w:p>
        </w:tc>
        <w:tc>
          <w:tcPr>
            <w:tcW w:w="903" w:type="dxa"/>
            <w:noWrap/>
            <w:hideMark/>
          </w:tcPr>
          <w:p w14:paraId="2BB7E704" w14:textId="77777777" w:rsidR="00376618" w:rsidRPr="00376618" w:rsidRDefault="00376618" w:rsidP="009952C9">
            <w:pPr>
              <w:pStyle w:val="BodyText"/>
            </w:pPr>
            <w:r w:rsidRPr="00376618">
              <w:t>122.7</w:t>
            </w:r>
          </w:p>
        </w:tc>
        <w:tc>
          <w:tcPr>
            <w:tcW w:w="903" w:type="dxa"/>
            <w:noWrap/>
            <w:hideMark/>
          </w:tcPr>
          <w:p w14:paraId="49264005" w14:textId="0B586FB5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5B72E92A" w14:textId="5254CB99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6267D8EE" w14:textId="117BCBCB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44FA1926" w14:textId="7DE5F80C" w:rsidR="00376618" w:rsidRPr="009952C9" w:rsidRDefault="00376618" w:rsidP="009952C9">
            <w:pPr>
              <w:pStyle w:val="BodyText"/>
            </w:pPr>
          </w:p>
        </w:tc>
      </w:tr>
      <w:tr w:rsidR="00376618" w:rsidRPr="009952C9" w14:paraId="634BA070" w14:textId="77777777" w:rsidTr="005E2E01">
        <w:trPr>
          <w:trHeight w:val="315"/>
        </w:trPr>
        <w:tc>
          <w:tcPr>
            <w:tcW w:w="666" w:type="dxa"/>
            <w:noWrap/>
            <w:hideMark/>
          </w:tcPr>
          <w:p w14:paraId="23B8BE3D" w14:textId="77777777" w:rsidR="00376618" w:rsidRPr="006564E4" w:rsidRDefault="00376618" w:rsidP="009952C9">
            <w:pPr>
              <w:pStyle w:val="BodyText"/>
              <w:rPr>
                <w:b/>
                <w:bCs/>
              </w:rPr>
            </w:pPr>
            <w:r w:rsidRPr="006564E4">
              <w:rPr>
                <w:b/>
                <w:bCs/>
              </w:rPr>
              <w:t>Year 6</w:t>
            </w:r>
          </w:p>
        </w:tc>
        <w:tc>
          <w:tcPr>
            <w:tcW w:w="903" w:type="dxa"/>
            <w:noWrap/>
            <w:hideMark/>
          </w:tcPr>
          <w:p w14:paraId="07187E55" w14:textId="77777777" w:rsidR="00376618" w:rsidRPr="00376618" w:rsidRDefault="00376618" w:rsidP="009952C9">
            <w:pPr>
              <w:pStyle w:val="BodyText"/>
            </w:pPr>
            <w:r w:rsidRPr="00376618">
              <w:t>126</w:t>
            </w:r>
          </w:p>
        </w:tc>
        <w:tc>
          <w:tcPr>
            <w:tcW w:w="903" w:type="dxa"/>
            <w:noWrap/>
            <w:hideMark/>
          </w:tcPr>
          <w:p w14:paraId="51B34A49" w14:textId="77777777" w:rsidR="00376618" w:rsidRPr="00376618" w:rsidRDefault="00376618" w:rsidP="009952C9">
            <w:pPr>
              <w:pStyle w:val="BodyText"/>
            </w:pPr>
            <w:r w:rsidRPr="00376618">
              <w:t>127</w:t>
            </w:r>
          </w:p>
        </w:tc>
        <w:tc>
          <w:tcPr>
            <w:tcW w:w="903" w:type="dxa"/>
            <w:noWrap/>
            <w:hideMark/>
          </w:tcPr>
          <w:p w14:paraId="6635B054" w14:textId="2834AAC4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34BA703E" w14:textId="32B52F2A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6F70B950" w14:textId="26F5AEDB" w:rsidR="00376618" w:rsidRPr="009952C9" w:rsidRDefault="00376618" w:rsidP="009952C9">
            <w:pPr>
              <w:pStyle w:val="BodyText"/>
            </w:pPr>
          </w:p>
        </w:tc>
        <w:tc>
          <w:tcPr>
            <w:tcW w:w="903" w:type="dxa"/>
            <w:noWrap/>
            <w:hideMark/>
          </w:tcPr>
          <w:p w14:paraId="52821425" w14:textId="368B04AB" w:rsidR="00376618" w:rsidRPr="009952C9" w:rsidRDefault="00376618" w:rsidP="009952C9">
            <w:pPr>
              <w:pStyle w:val="BodyText"/>
            </w:pPr>
          </w:p>
        </w:tc>
      </w:tr>
    </w:tbl>
    <w:p w14:paraId="559C7E58" w14:textId="4B985B92" w:rsidR="009952C9" w:rsidRDefault="009952C9" w:rsidP="00EB70CE">
      <w:pPr>
        <w:pStyle w:val="BodyText"/>
      </w:pPr>
    </w:p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3AFE471E" w14:textId="248D53BC" w:rsidR="008675A0" w:rsidRDefault="00E62EE0" w:rsidP="008675A0">
            <w:pPr>
              <w:pStyle w:val="ListBullet"/>
            </w:pPr>
            <w:bookmarkStart w:id="4" w:name="_Hlk47014840"/>
            <w:r>
              <w:t xml:space="preserve">The work that we had planned to undertake pre COVID was unable to occur. The work that was undertaken has had minimal impact as </w:t>
            </w:r>
            <w:r w:rsidR="008675A0">
              <w:t>we will begin moving from bigger picture curriculum structures to specific classroom practice.</w:t>
            </w:r>
          </w:p>
          <w:p w14:paraId="17DDC188" w14:textId="6A6E25B2" w:rsidR="00EB70CE" w:rsidRDefault="008675A0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We have a baseline for year 1 through to 6 that will allow us to make informed judgements regardless </w:t>
            </w:r>
            <w:proofErr w:type="spellStart"/>
            <w:r>
              <w:t>on</w:t>
            </w:r>
            <w:proofErr w:type="spellEnd"/>
            <w:r>
              <w:t xml:space="preserve"> whether NAPLAN goes ahead in 2021 or not.</w:t>
            </w:r>
          </w:p>
        </w:tc>
      </w:tr>
    </w:tbl>
    <w:bookmarkEnd w:id="4"/>
    <w:p w14:paraId="529C3E95" w14:textId="0BE20FDE" w:rsidR="00937D6F" w:rsidRDefault="00937D6F" w:rsidP="00937D6F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F951AD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67764740" w14:textId="6EA2D254" w:rsidR="00D915BC" w:rsidRPr="008675A0" w:rsidRDefault="008675A0" w:rsidP="00D915BC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8675A0">
              <w:t>Formulation of consistent structures for scoping and sequencing across the school</w:t>
            </w:r>
          </w:p>
          <w:p w14:paraId="4F19C6D9" w14:textId="614D0A9E" w:rsidR="00937D6F" w:rsidRPr="00CA26FB" w:rsidRDefault="00E62EE0" w:rsidP="00D915BC">
            <w:pPr>
              <w:pStyle w:val="ListBullet"/>
              <w:ind w:left="457" w:hanging="457"/>
            </w:pPr>
            <w:r>
              <w:t>We have added PAT Maths as a data source so that we are able to access some richer school wide data to inform School Improvement planning</w:t>
            </w:r>
            <w:r w:rsidR="00D915BC">
              <w:t>.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2ACE728B" w14:textId="4B929145" w:rsidR="00937D6F" w:rsidRDefault="00937D6F" w:rsidP="00937D6F">
      <w:pPr>
        <w:pStyle w:val="Heading3"/>
      </w:pPr>
      <w:r w:rsidRPr="00DA09ED">
        <w:lastRenderedPageBreak/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9027"/>
      </w:tblGrid>
      <w:tr w:rsidR="00BD2D49" w14:paraId="70626137" w14:textId="77777777" w:rsidTr="00BD2D49">
        <w:trPr>
          <w:trHeight w:val="116"/>
        </w:trPr>
        <w:tc>
          <w:tcPr>
            <w:tcW w:w="9027" w:type="dxa"/>
          </w:tcPr>
          <w:p w14:paraId="011EA19C" w14:textId="48BD85D8" w:rsidR="00BD2D49" w:rsidRDefault="008675A0" w:rsidP="003B2726">
            <w:pPr>
              <w:pStyle w:val="ListBullet"/>
            </w:pPr>
            <w:r>
              <w:t>We will move from planning bigger picture curriculum structures to a narrower focus on classroom delivery.</w:t>
            </w:r>
          </w:p>
          <w:p w14:paraId="0F2A99FE" w14:textId="77777777" w:rsidR="00BD2D49" w:rsidRDefault="00BD2D49" w:rsidP="003B2726">
            <w:pPr>
              <w:pStyle w:val="ListBullet2"/>
              <w:numPr>
                <w:ilvl w:val="0"/>
                <w:numId w:val="0"/>
              </w:numPr>
            </w:pPr>
          </w:p>
        </w:tc>
      </w:tr>
    </w:tbl>
    <w:p w14:paraId="0E16CD7B" w14:textId="77777777" w:rsidR="00D915BC" w:rsidRDefault="00D915BC" w:rsidP="004361DC">
      <w:pPr>
        <w:pStyle w:val="Heading2"/>
        <w:tabs>
          <w:tab w:val="clear" w:pos="2410"/>
          <w:tab w:val="left" w:pos="1276"/>
        </w:tabs>
        <w:ind w:left="0" w:firstLine="0"/>
      </w:pPr>
    </w:p>
    <w:p w14:paraId="601DF964" w14:textId="77777777" w:rsidR="006F5A6F" w:rsidRDefault="006F5A6F">
      <w:pPr>
        <w:rPr>
          <w:rFonts w:ascii="Arial" w:hAnsi="Arial" w:cs="Arial"/>
          <w:color w:val="1F4E79"/>
          <w:sz w:val="24"/>
        </w:rPr>
      </w:pPr>
      <w:r>
        <w:br w:type="page"/>
      </w:r>
    </w:p>
    <w:p w14:paraId="71B86871" w14:textId="4230AB07" w:rsidR="00EB70CE" w:rsidRPr="000F0410" w:rsidRDefault="00EB70CE" w:rsidP="004361DC">
      <w:pPr>
        <w:pStyle w:val="Heading2"/>
        <w:tabs>
          <w:tab w:val="clear" w:pos="2410"/>
          <w:tab w:val="left" w:pos="1276"/>
        </w:tabs>
        <w:ind w:left="0" w:firstLine="0"/>
        <w:rPr>
          <w:color w:val="auto"/>
        </w:rPr>
      </w:pPr>
      <w:r w:rsidRPr="000F0410">
        <w:lastRenderedPageBreak/>
        <w:t xml:space="preserve">Priority </w:t>
      </w:r>
      <w:r>
        <w:t>3</w:t>
      </w:r>
      <w:r w:rsidRPr="000F0410">
        <w:t>:</w:t>
      </w:r>
      <w:r w:rsidRPr="000F0410">
        <w:rPr>
          <w:color w:val="auto"/>
        </w:rPr>
        <w:tab/>
      </w:r>
      <w:r w:rsidR="00BD2D49" w:rsidRPr="00BD2D49">
        <w:rPr>
          <w:color w:val="2F5496" w:themeColor="accent5" w:themeShade="BF"/>
        </w:rPr>
        <w:t xml:space="preserve">Improve student wellbeing, </w:t>
      </w:r>
      <w:proofErr w:type="gramStart"/>
      <w:r w:rsidR="00BD2D49" w:rsidRPr="00BD2D49">
        <w:rPr>
          <w:color w:val="2F5496" w:themeColor="accent5" w:themeShade="BF"/>
        </w:rPr>
        <w:t>engagement</w:t>
      </w:r>
      <w:proofErr w:type="gramEnd"/>
      <w:r w:rsidR="00BD2D49" w:rsidRPr="00BD2D49">
        <w:rPr>
          <w:color w:val="2F5496" w:themeColor="accent5" w:themeShade="BF"/>
        </w:rPr>
        <w:t xml:space="preserve"> and connection to school to support their learning</w:t>
      </w:r>
      <w:r w:rsidR="00BD2D49" w:rsidRPr="00BD2D49">
        <w:rPr>
          <w:color w:val="auto"/>
        </w:rPr>
        <w:t>.</w:t>
      </w:r>
    </w:p>
    <w:p w14:paraId="4A8BBC93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08A16910" w14:textId="1AD110A0" w:rsidR="00EB70CE" w:rsidRPr="00373DC0" w:rsidRDefault="00EB70CE" w:rsidP="00EB70CE">
      <w:pPr>
        <w:pStyle w:val="BodyText"/>
      </w:pPr>
      <w:r w:rsidRPr="00373DC0">
        <w:t>In 20</w:t>
      </w:r>
      <w:r w:rsidR="008675A0">
        <w:t>20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0050213D" w14:textId="3EF6BEB0" w:rsidR="005116B3" w:rsidRPr="005116B3" w:rsidRDefault="005116B3" w:rsidP="005116B3">
      <w:pPr>
        <w:pStyle w:val="ListBullet"/>
      </w:pPr>
      <w:r>
        <w:t>In 2020 we adjusted the priorities within our School Improvement Plan for a sharper focus.</w:t>
      </w:r>
    </w:p>
    <w:p w14:paraId="66AE16FB" w14:textId="03BEEEC3" w:rsidR="008675A0" w:rsidRDefault="008675A0" w:rsidP="008675A0">
      <w:pPr>
        <w:pStyle w:val="ListBullet"/>
      </w:pPr>
      <w:r w:rsidRPr="00B3658D">
        <w:t xml:space="preserve">Staff engagement and workshops on a clear and common approach to </w:t>
      </w:r>
      <w:r>
        <w:t>student engagement.</w:t>
      </w:r>
    </w:p>
    <w:p w14:paraId="4EDA5700" w14:textId="4418FC64" w:rsidR="008675A0" w:rsidRPr="00B3658D" w:rsidRDefault="008675A0" w:rsidP="008675A0">
      <w:pPr>
        <w:pStyle w:val="ListBullet"/>
      </w:pPr>
      <w:r>
        <w:t>The implementation of Positive Behaviours for Learning.</w:t>
      </w:r>
    </w:p>
    <w:p w14:paraId="2FD0779C" w14:textId="1BE41495" w:rsidR="00EB70CE" w:rsidRDefault="00EB70CE" w:rsidP="00BD2D49">
      <w:pPr>
        <w:pStyle w:val="ListBullet"/>
        <w:numPr>
          <w:ilvl w:val="0"/>
          <w:numId w:val="0"/>
        </w:numPr>
        <w:ind w:left="360"/>
      </w:pPr>
    </w:p>
    <w:p w14:paraId="11968979" w14:textId="06D56C3C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FA6A61" w:rsidRPr="00FA6A61">
        <w:rPr>
          <w:noProof/>
        </w:rPr>
        <w:t xml:space="preserve"> </w:t>
      </w:r>
    </w:p>
    <w:p w14:paraId="4AAD6E4A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BD2D49" w14:paraId="7F90502E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A6CF3AE" w14:textId="77777777" w:rsidR="00BD2D49" w:rsidRPr="006D2F6B" w:rsidRDefault="00BD2D49" w:rsidP="00BD2D49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0CD6281" w14:textId="77777777" w:rsidR="00BD2D49" w:rsidRPr="006D2F6B" w:rsidRDefault="00BD2D49" w:rsidP="00BD2D4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248D84A" w14:textId="500803F0" w:rsidR="00BD2D49" w:rsidRPr="006D2F6B" w:rsidRDefault="00BD2D49" w:rsidP="00BD2D4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5F9E5829" w14:textId="3848869B" w:rsidR="00BD2D49" w:rsidRPr="006D2F6B" w:rsidRDefault="00BD2D49" w:rsidP="00BD2D4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58A90F75" w14:textId="040E4B22" w:rsidR="00BD2D49" w:rsidRPr="006D2F6B" w:rsidRDefault="00BD2D49" w:rsidP="00BD2D4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68C2F14A" w14:textId="45D61EC4" w:rsidR="00BD2D49" w:rsidRPr="006D2F6B" w:rsidRDefault="00BD2D49" w:rsidP="00BD2D4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1" w:type="dxa"/>
            <w:shd w:val="clear" w:color="auto" w:fill="auto"/>
          </w:tcPr>
          <w:p w14:paraId="19AF9268" w14:textId="09555837" w:rsidR="00BD2D49" w:rsidRPr="006D2F6B" w:rsidRDefault="00BD2D49" w:rsidP="00BD2D4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4361DC" w14:paraId="4EC19728" w14:textId="77777777" w:rsidTr="005F16DB">
        <w:trPr>
          <w:jc w:val="center"/>
        </w:trPr>
        <w:tc>
          <w:tcPr>
            <w:tcW w:w="4297" w:type="dxa"/>
            <w:shd w:val="clear" w:color="auto" w:fill="auto"/>
          </w:tcPr>
          <w:p w14:paraId="5E6101F3" w14:textId="33149197" w:rsidR="004361DC" w:rsidRPr="006D2F6B" w:rsidRDefault="004361DC" w:rsidP="004361DC">
            <w:pPr>
              <w:pStyle w:val="PlainText"/>
            </w:pPr>
            <w:r w:rsidRPr="004361DC">
              <w:t>Increase proportion of student response that</w:t>
            </w:r>
            <w:r>
              <w:t xml:space="preserve"> </w:t>
            </w:r>
            <w:r w:rsidRPr="004361DC">
              <w:t>‘Student behaviour is well managed’</w:t>
            </w:r>
            <w:r>
              <w:t xml:space="preserve"> to 70%</w:t>
            </w:r>
            <w:r w:rsidR="00FD7BB5">
              <w:t xml:space="preserve"> or greater</w:t>
            </w:r>
          </w:p>
        </w:tc>
        <w:tc>
          <w:tcPr>
            <w:tcW w:w="790" w:type="dxa"/>
          </w:tcPr>
          <w:p w14:paraId="4A94B040" w14:textId="7B0DAB6C" w:rsidR="004361DC" w:rsidRPr="006D2F6B" w:rsidRDefault="004361DC" w:rsidP="004361DC">
            <w:pPr>
              <w:jc w:val="center"/>
            </w:pPr>
            <w:r>
              <w:rPr>
                <w:b/>
              </w:rPr>
              <w:t>60.1</w:t>
            </w:r>
          </w:p>
        </w:tc>
        <w:tc>
          <w:tcPr>
            <w:tcW w:w="790" w:type="dxa"/>
          </w:tcPr>
          <w:p w14:paraId="453A7372" w14:textId="56763E2D" w:rsidR="004361DC" w:rsidRPr="006D2F6B" w:rsidRDefault="004361DC" w:rsidP="004361DC">
            <w:pPr>
              <w:jc w:val="center"/>
            </w:pPr>
            <w:r>
              <w:rPr>
                <w:b/>
              </w:rPr>
              <w:t>78.6</w:t>
            </w:r>
          </w:p>
        </w:tc>
        <w:tc>
          <w:tcPr>
            <w:tcW w:w="790" w:type="dxa"/>
          </w:tcPr>
          <w:p w14:paraId="6E6BC157" w14:textId="113C2C93" w:rsidR="004361DC" w:rsidRPr="006D2F6B" w:rsidRDefault="004361DC" w:rsidP="004361DC">
            <w:pPr>
              <w:jc w:val="center"/>
            </w:pPr>
            <w:r>
              <w:rPr>
                <w:b/>
              </w:rPr>
              <w:t>58.6</w:t>
            </w:r>
          </w:p>
        </w:tc>
        <w:tc>
          <w:tcPr>
            <w:tcW w:w="790" w:type="dxa"/>
            <w:shd w:val="clear" w:color="auto" w:fill="auto"/>
          </w:tcPr>
          <w:p w14:paraId="36E51A25" w14:textId="397196C6" w:rsidR="004361DC" w:rsidRPr="00780B8B" w:rsidRDefault="008675A0" w:rsidP="004361DC">
            <w:pPr>
              <w:jc w:val="center"/>
              <w:rPr>
                <w:b/>
                <w:bCs/>
              </w:rPr>
            </w:pPr>
            <w:r w:rsidRPr="00780B8B">
              <w:rPr>
                <w:b/>
                <w:bCs/>
              </w:rPr>
              <w:t>55.00</w:t>
            </w:r>
          </w:p>
        </w:tc>
        <w:tc>
          <w:tcPr>
            <w:tcW w:w="790" w:type="dxa"/>
            <w:shd w:val="clear" w:color="auto" w:fill="auto"/>
          </w:tcPr>
          <w:p w14:paraId="0E28DAE1" w14:textId="77777777" w:rsidR="004361DC" w:rsidRPr="006D2F6B" w:rsidRDefault="004361DC" w:rsidP="004361D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5061B09F" w14:textId="77777777" w:rsidR="004361DC" w:rsidRPr="006D2F6B" w:rsidRDefault="004361DC" w:rsidP="004361DC">
            <w:pPr>
              <w:jc w:val="center"/>
            </w:pPr>
          </w:p>
        </w:tc>
      </w:tr>
      <w:tr w:rsidR="004361DC" w14:paraId="5C83E2A4" w14:textId="77777777" w:rsidTr="000757A9">
        <w:trPr>
          <w:jc w:val="center"/>
        </w:trPr>
        <w:tc>
          <w:tcPr>
            <w:tcW w:w="4297" w:type="dxa"/>
            <w:shd w:val="clear" w:color="auto" w:fill="auto"/>
          </w:tcPr>
          <w:p w14:paraId="73D0B9BD" w14:textId="70930871" w:rsidR="004361DC" w:rsidRPr="006D2F6B" w:rsidRDefault="004361DC" w:rsidP="004361DC">
            <w:r w:rsidRPr="004361DC">
              <w:t>Increase proportion of student response that</w:t>
            </w:r>
            <w:r>
              <w:t xml:space="preserve">’ </w:t>
            </w:r>
            <w:r w:rsidRPr="004361DC">
              <w:t xml:space="preserve">‘I can talk to my teachers’ </w:t>
            </w:r>
            <w:r>
              <w:t>to 79%</w:t>
            </w:r>
          </w:p>
        </w:tc>
        <w:tc>
          <w:tcPr>
            <w:tcW w:w="790" w:type="dxa"/>
          </w:tcPr>
          <w:p w14:paraId="29726A31" w14:textId="27743AF5" w:rsidR="004361DC" w:rsidRPr="006D2F6B" w:rsidRDefault="004361DC" w:rsidP="004361DC">
            <w:pPr>
              <w:jc w:val="center"/>
            </w:pPr>
            <w:r>
              <w:rPr>
                <w:b/>
              </w:rPr>
              <w:t>74.1</w:t>
            </w:r>
          </w:p>
        </w:tc>
        <w:tc>
          <w:tcPr>
            <w:tcW w:w="790" w:type="dxa"/>
          </w:tcPr>
          <w:p w14:paraId="2560AE3F" w14:textId="31069E93" w:rsidR="004361DC" w:rsidRPr="006D2F6B" w:rsidRDefault="004361DC" w:rsidP="004361DC">
            <w:pPr>
              <w:jc w:val="center"/>
            </w:pPr>
            <w:r>
              <w:rPr>
                <w:b/>
              </w:rPr>
              <w:t>76.7</w:t>
            </w:r>
          </w:p>
        </w:tc>
        <w:tc>
          <w:tcPr>
            <w:tcW w:w="790" w:type="dxa"/>
          </w:tcPr>
          <w:p w14:paraId="09097591" w14:textId="65FE3183" w:rsidR="004361DC" w:rsidRPr="006D2F6B" w:rsidRDefault="004361DC" w:rsidP="004361DC">
            <w:pPr>
              <w:jc w:val="center"/>
            </w:pPr>
            <w:r>
              <w:rPr>
                <w:b/>
              </w:rPr>
              <w:t>71.6</w:t>
            </w:r>
          </w:p>
        </w:tc>
        <w:tc>
          <w:tcPr>
            <w:tcW w:w="790" w:type="dxa"/>
            <w:shd w:val="clear" w:color="auto" w:fill="auto"/>
          </w:tcPr>
          <w:p w14:paraId="4AEFE483" w14:textId="18A7FE93" w:rsidR="004361DC" w:rsidRPr="00780B8B" w:rsidRDefault="00780B8B" w:rsidP="004361DC">
            <w:pPr>
              <w:jc w:val="center"/>
              <w:rPr>
                <w:b/>
                <w:bCs/>
              </w:rPr>
            </w:pPr>
            <w:r w:rsidRPr="00780B8B">
              <w:rPr>
                <w:b/>
                <w:bCs/>
              </w:rPr>
              <w:t>62.0</w:t>
            </w:r>
          </w:p>
        </w:tc>
        <w:tc>
          <w:tcPr>
            <w:tcW w:w="790" w:type="dxa"/>
            <w:shd w:val="clear" w:color="auto" w:fill="auto"/>
          </w:tcPr>
          <w:p w14:paraId="701E4F34" w14:textId="77777777" w:rsidR="004361DC" w:rsidRPr="006D2F6B" w:rsidRDefault="004361DC" w:rsidP="004361D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55D16105" w14:textId="77777777" w:rsidR="004361DC" w:rsidRPr="006D2F6B" w:rsidRDefault="004361DC" w:rsidP="004361DC">
            <w:pPr>
              <w:jc w:val="center"/>
            </w:pPr>
          </w:p>
        </w:tc>
      </w:tr>
      <w:tr w:rsidR="004361DC" w14:paraId="0500608F" w14:textId="77777777" w:rsidTr="000757A9">
        <w:trPr>
          <w:jc w:val="center"/>
        </w:trPr>
        <w:tc>
          <w:tcPr>
            <w:tcW w:w="4297" w:type="dxa"/>
            <w:shd w:val="clear" w:color="auto" w:fill="auto"/>
          </w:tcPr>
          <w:p w14:paraId="4C63910C" w14:textId="20D43508" w:rsidR="004361DC" w:rsidRPr="004361DC" w:rsidRDefault="004361DC" w:rsidP="004361DC">
            <w:r w:rsidRPr="004361DC">
              <w:t>Increase proportion of student response that’ ‘My teachers provide me with useful feedback about my schoolwork’</w:t>
            </w:r>
            <w:r>
              <w:t xml:space="preserve"> to 93%.</w:t>
            </w:r>
          </w:p>
        </w:tc>
        <w:tc>
          <w:tcPr>
            <w:tcW w:w="790" w:type="dxa"/>
          </w:tcPr>
          <w:p w14:paraId="22C04C15" w14:textId="435BCE20" w:rsidR="004361DC" w:rsidRDefault="004361DC" w:rsidP="004361DC">
            <w:pPr>
              <w:jc w:val="center"/>
              <w:rPr>
                <w:b/>
              </w:rPr>
            </w:pPr>
            <w:r>
              <w:rPr>
                <w:b/>
              </w:rPr>
              <w:t>88.6</w:t>
            </w:r>
          </w:p>
        </w:tc>
        <w:tc>
          <w:tcPr>
            <w:tcW w:w="790" w:type="dxa"/>
          </w:tcPr>
          <w:p w14:paraId="4633897C" w14:textId="33FF6D01" w:rsidR="004361DC" w:rsidRDefault="004361DC" w:rsidP="004361DC">
            <w:pPr>
              <w:jc w:val="center"/>
              <w:rPr>
                <w:b/>
              </w:rPr>
            </w:pPr>
            <w:r>
              <w:rPr>
                <w:b/>
              </w:rPr>
              <w:t>88.0</w:t>
            </w:r>
          </w:p>
        </w:tc>
        <w:tc>
          <w:tcPr>
            <w:tcW w:w="790" w:type="dxa"/>
          </w:tcPr>
          <w:p w14:paraId="422E3B4E" w14:textId="69058EDC" w:rsidR="004361DC" w:rsidRDefault="004361DC" w:rsidP="004361DC">
            <w:pPr>
              <w:jc w:val="center"/>
              <w:rPr>
                <w:b/>
              </w:rPr>
            </w:pPr>
            <w:r>
              <w:rPr>
                <w:b/>
              </w:rPr>
              <w:t>80.2</w:t>
            </w:r>
          </w:p>
        </w:tc>
        <w:tc>
          <w:tcPr>
            <w:tcW w:w="790" w:type="dxa"/>
            <w:shd w:val="clear" w:color="auto" w:fill="auto"/>
          </w:tcPr>
          <w:p w14:paraId="02A5F056" w14:textId="0FF08691" w:rsidR="004361DC" w:rsidRPr="00780B8B" w:rsidRDefault="00780B8B" w:rsidP="004361DC">
            <w:pPr>
              <w:jc w:val="center"/>
              <w:rPr>
                <w:b/>
                <w:bCs/>
              </w:rPr>
            </w:pPr>
            <w:r w:rsidRPr="00780B8B">
              <w:rPr>
                <w:b/>
                <w:bCs/>
              </w:rPr>
              <w:t>75.0</w:t>
            </w:r>
          </w:p>
        </w:tc>
        <w:tc>
          <w:tcPr>
            <w:tcW w:w="790" w:type="dxa"/>
            <w:shd w:val="clear" w:color="auto" w:fill="auto"/>
          </w:tcPr>
          <w:p w14:paraId="3301D448" w14:textId="77777777" w:rsidR="004361DC" w:rsidRPr="006D2F6B" w:rsidRDefault="004361DC" w:rsidP="004361D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68399B1C" w14:textId="77777777" w:rsidR="004361DC" w:rsidRPr="006D2F6B" w:rsidRDefault="004361DC" w:rsidP="004361DC">
            <w:pPr>
              <w:jc w:val="center"/>
            </w:pPr>
          </w:p>
        </w:tc>
      </w:tr>
      <w:tr w:rsidR="006536A1" w14:paraId="11610386" w14:textId="77777777" w:rsidTr="000757A9">
        <w:trPr>
          <w:jc w:val="center"/>
        </w:trPr>
        <w:tc>
          <w:tcPr>
            <w:tcW w:w="4297" w:type="dxa"/>
            <w:shd w:val="clear" w:color="auto" w:fill="auto"/>
          </w:tcPr>
          <w:p w14:paraId="1A8842C0" w14:textId="47EE8B99" w:rsidR="006536A1" w:rsidRPr="004361DC" w:rsidRDefault="006536A1" w:rsidP="006536A1">
            <w:r>
              <w:t xml:space="preserve">Increase the proportion of parent response to </w:t>
            </w:r>
            <w:r w:rsidRPr="004361DC">
              <w:t>‘Learning needs of my child are being met’</w:t>
            </w:r>
            <w:r>
              <w:t xml:space="preserve"> maintained at or greater than 92%.  </w:t>
            </w:r>
          </w:p>
        </w:tc>
        <w:tc>
          <w:tcPr>
            <w:tcW w:w="790" w:type="dxa"/>
          </w:tcPr>
          <w:p w14:paraId="787574CC" w14:textId="77823D84" w:rsidR="006536A1" w:rsidRDefault="006536A1" w:rsidP="006536A1">
            <w:pPr>
              <w:jc w:val="center"/>
              <w:rPr>
                <w:b/>
              </w:rPr>
            </w:pPr>
            <w:r>
              <w:rPr>
                <w:b/>
              </w:rPr>
              <w:t>91.6</w:t>
            </w:r>
          </w:p>
        </w:tc>
        <w:tc>
          <w:tcPr>
            <w:tcW w:w="790" w:type="dxa"/>
          </w:tcPr>
          <w:p w14:paraId="4D0EA707" w14:textId="5A7EE803" w:rsidR="006536A1" w:rsidRDefault="006536A1" w:rsidP="006536A1">
            <w:pPr>
              <w:jc w:val="center"/>
              <w:rPr>
                <w:b/>
              </w:rPr>
            </w:pPr>
            <w:r>
              <w:rPr>
                <w:b/>
              </w:rPr>
              <w:t>89.0</w:t>
            </w:r>
          </w:p>
        </w:tc>
        <w:tc>
          <w:tcPr>
            <w:tcW w:w="790" w:type="dxa"/>
          </w:tcPr>
          <w:p w14:paraId="462A8731" w14:textId="5197AD0E" w:rsidR="006536A1" w:rsidRDefault="006536A1" w:rsidP="006536A1">
            <w:pPr>
              <w:jc w:val="center"/>
              <w:rPr>
                <w:b/>
              </w:rPr>
            </w:pPr>
            <w:r>
              <w:rPr>
                <w:b/>
              </w:rPr>
              <w:t>77.3</w:t>
            </w:r>
          </w:p>
        </w:tc>
        <w:tc>
          <w:tcPr>
            <w:tcW w:w="790" w:type="dxa"/>
            <w:shd w:val="clear" w:color="auto" w:fill="auto"/>
          </w:tcPr>
          <w:p w14:paraId="68913FDC" w14:textId="0C4F6265" w:rsidR="006536A1" w:rsidRPr="00780B8B" w:rsidRDefault="00780B8B" w:rsidP="006536A1">
            <w:pPr>
              <w:jc w:val="center"/>
              <w:rPr>
                <w:b/>
                <w:bCs/>
              </w:rPr>
            </w:pPr>
            <w:r w:rsidRPr="00780B8B">
              <w:rPr>
                <w:b/>
                <w:bCs/>
              </w:rPr>
              <w:t>73.0</w:t>
            </w:r>
          </w:p>
        </w:tc>
        <w:tc>
          <w:tcPr>
            <w:tcW w:w="790" w:type="dxa"/>
            <w:shd w:val="clear" w:color="auto" w:fill="auto"/>
          </w:tcPr>
          <w:p w14:paraId="274BCBB1" w14:textId="77777777" w:rsidR="006536A1" w:rsidRPr="006D2F6B" w:rsidRDefault="006536A1" w:rsidP="006536A1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21D206F1" w14:textId="77777777" w:rsidR="006536A1" w:rsidRPr="006D2F6B" w:rsidRDefault="006536A1" w:rsidP="006536A1">
            <w:pPr>
              <w:jc w:val="center"/>
            </w:pPr>
          </w:p>
        </w:tc>
      </w:tr>
    </w:tbl>
    <w:p w14:paraId="7DB4C149" w14:textId="77777777" w:rsidR="002E7B12" w:rsidRDefault="002E7B12" w:rsidP="00EB70CE">
      <w:pPr>
        <w:pStyle w:val="Heading4"/>
      </w:pPr>
    </w:p>
    <w:p w14:paraId="4A9AA803" w14:textId="334379E3" w:rsidR="00EB70CE" w:rsidRDefault="00EB70CE" w:rsidP="00EB70CE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6"/>
        <w:gridCol w:w="770"/>
        <w:gridCol w:w="771"/>
        <w:gridCol w:w="771"/>
        <w:gridCol w:w="1137"/>
        <w:gridCol w:w="771"/>
        <w:gridCol w:w="772"/>
      </w:tblGrid>
      <w:tr w:rsidR="00FD7BB5" w:rsidRPr="006D2F6B" w14:paraId="436EC9F4" w14:textId="77777777" w:rsidTr="001835C3">
        <w:trPr>
          <w:jc w:val="center"/>
        </w:trPr>
        <w:tc>
          <w:tcPr>
            <w:tcW w:w="4046" w:type="dxa"/>
            <w:shd w:val="clear" w:color="auto" w:fill="auto"/>
          </w:tcPr>
          <w:p w14:paraId="6B4266A8" w14:textId="77777777" w:rsidR="00FD7BB5" w:rsidRPr="006D2F6B" w:rsidRDefault="00FD7BB5" w:rsidP="002E4723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70" w:type="dxa"/>
            <w:shd w:val="clear" w:color="auto" w:fill="auto"/>
          </w:tcPr>
          <w:p w14:paraId="6D692C78" w14:textId="77777777" w:rsidR="00FD7BB5" w:rsidRPr="006D2F6B" w:rsidRDefault="00FD7BB5" w:rsidP="002E4723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71" w:type="dxa"/>
            <w:shd w:val="clear" w:color="auto" w:fill="auto"/>
          </w:tcPr>
          <w:p w14:paraId="76DBF818" w14:textId="77777777" w:rsidR="00FD7BB5" w:rsidRPr="006D2F6B" w:rsidRDefault="00FD7BB5" w:rsidP="002E4723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71" w:type="dxa"/>
            <w:shd w:val="clear" w:color="auto" w:fill="auto"/>
          </w:tcPr>
          <w:p w14:paraId="6FC99E56" w14:textId="77777777" w:rsidR="00FD7BB5" w:rsidRPr="006D2F6B" w:rsidRDefault="00FD7BB5" w:rsidP="002E472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37" w:type="dxa"/>
            <w:shd w:val="clear" w:color="auto" w:fill="auto"/>
          </w:tcPr>
          <w:p w14:paraId="24CC3F8E" w14:textId="77777777" w:rsidR="00FD7BB5" w:rsidRPr="006D2F6B" w:rsidRDefault="00FD7BB5" w:rsidP="002E472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71" w:type="dxa"/>
            <w:shd w:val="clear" w:color="auto" w:fill="auto"/>
          </w:tcPr>
          <w:p w14:paraId="4AAEFD3B" w14:textId="77777777" w:rsidR="00FD7BB5" w:rsidRPr="006D2F6B" w:rsidRDefault="00FD7BB5" w:rsidP="002E472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72" w:type="dxa"/>
            <w:shd w:val="clear" w:color="auto" w:fill="auto"/>
          </w:tcPr>
          <w:p w14:paraId="3635A7B0" w14:textId="77777777" w:rsidR="00FD7BB5" w:rsidRPr="006D2F6B" w:rsidRDefault="00FD7BB5" w:rsidP="002E472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6536A1" w:rsidRPr="006D2F6B" w14:paraId="781648F4" w14:textId="77777777" w:rsidTr="001835C3">
        <w:trPr>
          <w:jc w:val="center"/>
        </w:trPr>
        <w:tc>
          <w:tcPr>
            <w:tcW w:w="4046" w:type="dxa"/>
            <w:shd w:val="clear" w:color="auto" w:fill="auto"/>
          </w:tcPr>
          <w:p w14:paraId="0C466644" w14:textId="7C50C3A9" w:rsidR="006536A1" w:rsidRPr="006D2F6B" w:rsidRDefault="006536A1" w:rsidP="006536A1">
            <w:pPr>
              <w:pStyle w:val="PlainText"/>
            </w:pPr>
            <w:r w:rsidRPr="00FD7BB5">
              <w:rPr>
                <w:rFonts w:cs="Times New Roman"/>
                <w:bCs/>
                <w:i/>
                <w:iCs/>
                <w:szCs w:val="22"/>
              </w:rPr>
              <w:t>% of student reporting no victimisation at this school</w:t>
            </w:r>
          </w:p>
        </w:tc>
        <w:tc>
          <w:tcPr>
            <w:tcW w:w="770" w:type="dxa"/>
          </w:tcPr>
          <w:p w14:paraId="03CE0344" w14:textId="7BF5F33C" w:rsidR="006536A1" w:rsidRPr="006D2F6B" w:rsidRDefault="006536A1" w:rsidP="006536A1">
            <w:pPr>
              <w:jc w:val="center"/>
            </w:pPr>
            <w:r w:rsidRPr="00FD7BB5">
              <w:rPr>
                <w:rFonts w:ascii="Calibri" w:hAnsi="Calibri" w:cs="Times New Roman"/>
                <w:b/>
              </w:rPr>
              <w:t>57.5</w:t>
            </w:r>
          </w:p>
        </w:tc>
        <w:tc>
          <w:tcPr>
            <w:tcW w:w="771" w:type="dxa"/>
          </w:tcPr>
          <w:p w14:paraId="116002E6" w14:textId="6BB0FDC7" w:rsidR="006536A1" w:rsidRPr="006D2F6B" w:rsidRDefault="006536A1" w:rsidP="006536A1">
            <w:pPr>
              <w:jc w:val="center"/>
            </w:pPr>
            <w:r w:rsidRPr="00FD7BB5">
              <w:rPr>
                <w:rFonts w:ascii="Calibri" w:hAnsi="Calibri" w:cs="Times New Roman"/>
                <w:b/>
              </w:rPr>
              <w:t>76.0</w:t>
            </w:r>
          </w:p>
        </w:tc>
        <w:tc>
          <w:tcPr>
            <w:tcW w:w="771" w:type="dxa"/>
          </w:tcPr>
          <w:p w14:paraId="2B5BF810" w14:textId="4BC8A070" w:rsidR="006536A1" w:rsidRPr="006D2F6B" w:rsidRDefault="006536A1" w:rsidP="006536A1">
            <w:pPr>
              <w:jc w:val="center"/>
            </w:pPr>
            <w:r w:rsidRPr="00FD7BB5">
              <w:rPr>
                <w:rFonts w:ascii="Calibri" w:hAnsi="Calibri" w:cs="Times New Roman"/>
                <w:b/>
              </w:rPr>
              <w:t>62.0</w:t>
            </w:r>
          </w:p>
        </w:tc>
        <w:tc>
          <w:tcPr>
            <w:tcW w:w="1137" w:type="dxa"/>
            <w:shd w:val="clear" w:color="auto" w:fill="auto"/>
          </w:tcPr>
          <w:p w14:paraId="024854BC" w14:textId="594B95B9" w:rsidR="006536A1" w:rsidRPr="006D2F6B" w:rsidRDefault="001835C3" w:rsidP="001835C3">
            <w:r>
              <w:t xml:space="preserve"> There is no longer a measure in 2020 satisfaction data</w:t>
            </w:r>
          </w:p>
        </w:tc>
        <w:tc>
          <w:tcPr>
            <w:tcW w:w="771" w:type="dxa"/>
            <w:shd w:val="clear" w:color="auto" w:fill="auto"/>
          </w:tcPr>
          <w:p w14:paraId="2BE75863" w14:textId="77777777" w:rsidR="006536A1" w:rsidRPr="006D2F6B" w:rsidRDefault="006536A1" w:rsidP="006536A1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14:paraId="65368842" w14:textId="77777777" w:rsidR="006536A1" w:rsidRPr="006D2F6B" w:rsidRDefault="006536A1" w:rsidP="006536A1">
            <w:pPr>
              <w:jc w:val="center"/>
            </w:pPr>
          </w:p>
        </w:tc>
      </w:tr>
    </w:tbl>
    <w:p w14:paraId="3EA7C0F2" w14:textId="44A1E8B1" w:rsidR="00FD7BB5" w:rsidRDefault="00FD7BB5" w:rsidP="00FD7BB5"/>
    <w:p w14:paraId="4F32E2F7" w14:textId="77777777" w:rsidR="00BD2D49" w:rsidRPr="00E061B8" w:rsidRDefault="00BD2D49" w:rsidP="00BD2D49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BD2D49" w14:paraId="5A3B844A" w14:textId="77777777" w:rsidTr="003B2726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4EB8838E" w14:textId="77777777" w:rsidR="00BD2D49" w:rsidRDefault="001835C3" w:rsidP="003B272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This is difficult to quantify due to the year that we have experienced (COVID). </w:t>
            </w:r>
          </w:p>
          <w:p w14:paraId="0EDAC0C8" w14:textId="77777777" w:rsidR="001835C3" w:rsidRDefault="001835C3" w:rsidP="003B272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Maribyrnong being a Safe and Supervised Site (SSS) seems to have had an impact on the data also.</w:t>
            </w:r>
          </w:p>
          <w:p w14:paraId="44E682FA" w14:textId="54206F2C" w:rsidR="001835C3" w:rsidRDefault="001835C3" w:rsidP="003B272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 removal of the punitive R&amp;R Room had an impact of staff and their approach to behaviour management. </w:t>
            </w:r>
          </w:p>
        </w:tc>
      </w:tr>
    </w:tbl>
    <w:p w14:paraId="384EF20F" w14:textId="77777777" w:rsidR="00BD2D49" w:rsidRDefault="00BD2D49" w:rsidP="00BD2D49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BD2D49" w14:paraId="0DF2FF4F" w14:textId="77777777" w:rsidTr="003B2726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5FAAD5FB" w14:textId="2A6B8F3B" w:rsidR="00D915BC" w:rsidRPr="004F0921" w:rsidRDefault="004F0921" w:rsidP="00D915BC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4F0921">
              <w:t xml:space="preserve">Staff and students are looking for a consistent and whole school approach to how student engagement and the management of student behaviour is addressed. </w:t>
            </w:r>
          </w:p>
          <w:p w14:paraId="3A9F57AB" w14:textId="0CB33F1F" w:rsidR="00BD2D49" w:rsidRPr="00CA26FB" w:rsidRDefault="004F0921" w:rsidP="00D915BC">
            <w:pPr>
              <w:pStyle w:val="ListBullet"/>
              <w:ind w:left="457" w:hanging="457"/>
            </w:pPr>
            <w:r>
              <w:t>We will look at some different data sources for this priority, making us less reliant on system datasets.</w:t>
            </w:r>
          </w:p>
        </w:tc>
      </w:tr>
    </w:tbl>
    <w:p w14:paraId="3E39386A" w14:textId="77777777" w:rsidR="00BD2D49" w:rsidRDefault="00BD2D49" w:rsidP="00BD2D49">
      <w:pPr>
        <w:pStyle w:val="BodyText"/>
      </w:pPr>
    </w:p>
    <w:p w14:paraId="3436159F" w14:textId="77777777" w:rsidR="00BD2D49" w:rsidRDefault="00BD2D49" w:rsidP="00BD2D49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9027"/>
      </w:tblGrid>
      <w:tr w:rsidR="00BD2D49" w14:paraId="02F907B6" w14:textId="77777777" w:rsidTr="003B2726">
        <w:trPr>
          <w:trHeight w:val="116"/>
        </w:trPr>
        <w:tc>
          <w:tcPr>
            <w:tcW w:w="9027" w:type="dxa"/>
          </w:tcPr>
          <w:p w14:paraId="7F6443E4" w14:textId="570BAD0C" w:rsidR="00BD2D49" w:rsidRDefault="001835C3" w:rsidP="003B2726">
            <w:pPr>
              <w:pStyle w:val="ListBullet"/>
            </w:pPr>
            <w:r>
              <w:t xml:space="preserve">Our partnership with the University of Canberra </w:t>
            </w:r>
            <w:r w:rsidR="004F0921">
              <w:t xml:space="preserve">and their research regarding </w:t>
            </w:r>
            <w:proofErr w:type="spellStart"/>
            <w:r w:rsidR="004F0921">
              <w:t>well being</w:t>
            </w:r>
            <w:proofErr w:type="spellEnd"/>
            <w:r w:rsidR="004F0921">
              <w:t xml:space="preserve"> will be a significant part of this priority for us next year- this will be reflected in our Annual Action Plan.</w:t>
            </w:r>
          </w:p>
          <w:p w14:paraId="448D7CC9" w14:textId="77777777" w:rsidR="00BD2D49" w:rsidRDefault="00BD2D49" w:rsidP="003B2726">
            <w:pPr>
              <w:pStyle w:val="ListBullet2"/>
              <w:numPr>
                <w:ilvl w:val="0"/>
                <w:numId w:val="0"/>
              </w:numPr>
            </w:pPr>
          </w:p>
        </w:tc>
      </w:tr>
    </w:tbl>
    <w:p w14:paraId="41877BEA" w14:textId="77777777" w:rsidR="00557F65" w:rsidRDefault="00557F65" w:rsidP="009B454E">
      <w:pPr>
        <w:pStyle w:val="BodyText"/>
      </w:pPr>
    </w:p>
    <w:sectPr w:rsidR="00557F65" w:rsidSect="00C77B0A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55A95" w14:textId="77777777" w:rsidR="00CA0BAD" w:rsidRDefault="00CA0BAD" w:rsidP="00CA0BAD">
      <w:pPr>
        <w:spacing w:after="0" w:line="240" w:lineRule="auto"/>
      </w:pPr>
      <w:r>
        <w:separator/>
      </w:r>
    </w:p>
  </w:endnote>
  <w:endnote w:type="continuationSeparator" w:id="0">
    <w:p w14:paraId="1684B006" w14:textId="77777777" w:rsidR="00CA0BAD" w:rsidRDefault="00CA0BAD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2DC04EA5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C36A3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Monday, 14 December 2020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5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5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3382C" w14:textId="77777777" w:rsidR="00CA0BAD" w:rsidRDefault="00CA0BAD" w:rsidP="00CA0BAD">
      <w:pPr>
        <w:spacing w:after="0" w:line="240" w:lineRule="auto"/>
      </w:pPr>
      <w:r>
        <w:separator/>
      </w:r>
    </w:p>
  </w:footnote>
  <w:footnote w:type="continuationSeparator" w:id="0">
    <w:p w14:paraId="5BA1BBCA" w14:textId="77777777" w:rsidR="00CA0BAD" w:rsidRDefault="00CA0BAD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CA6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D141A"/>
    <w:multiLevelType w:val="hybridMultilevel"/>
    <w:tmpl w:val="EC449CCC"/>
    <w:lvl w:ilvl="0" w:tplc="B624163E">
      <w:start w:val="1"/>
      <w:numFmt w:val="decimal"/>
      <w:pStyle w:val="NumHeading2"/>
      <w:lvlText w:val="%1."/>
      <w:lvlJc w:val="left"/>
      <w:pPr>
        <w:ind w:left="362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4698F"/>
    <w:multiLevelType w:val="hybridMultilevel"/>
    <w:tmpl w:val="0B447634"/>
    <w:lvl w:ilvl="0" w:tplc="3DE04F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140395"/>
    <w:multiLevelType w:val="hybridMultilevel"/>
    <w:tmpl w:val="3326964A"/>
    <w:lvl w:ilvl="0" w:tplc="F0963B30">
      <w:start w:val="75"/>
      <w:numFmt w:val="bullet"/>
      <w:lvlText w:val=""/>
      <w:lvlJc w:val="left"/>
      <w:pPr>
        <w:ind w:left="786" w:hanging="360"/>
      </w:pPr>
      <w:rPr>
        <w:rFonts w:ascii="Symbol" w:eastAsiaTheme="minorHAnsi" w:hAnsi="Symbol" w:cs="Consola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B1F59F9"/>
    <w:multiLevelType w:val="hybridMultilevel"/>
    <w:tmpl w:val="CD4EE03E"/>
    <w:lvl w:ilvl="0" w:tplc="BA3E6D18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B731D"/>
    <w:multiLevelType w:val="hybridMultilevel"/>
    <w:tmpl w:val="CB063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4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0"/>
  </w:num>
  <w:num w:numId="18">
    <w:abstractNumId w:val="15"/>
  </w:num>
  <w:num w:numId="19">
    <w:abstractNumId w:val="13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57DAD"/>
    <w:rsid w:val="000C36A3"/>
    <w:rsid w:val="000F7E7C"/>
    <w:rsid w:val="001046D8"/>
    <w:rsid w:val="00107AE2"/>
    <w:rsid w:val="00115AA9"/>
    <w:rsid w:val="00127C5E"/>
    <w:rsid w:val="00132917"/>
    <w:rsid w:val="00161E50"/>
    <w:rsid w:val="00163579"/>
    <w:rsid w:val="001835C3"/>
    <w:rsid w:val="00183DE5"/>
    <w:rsid w:val="001B26EA"/>
    <w:rsid w:val="001B2E33"/>
    <w:rsid w:val="002145F7"/>
    <w:rsid w:val="0024781C"/>
    <w:rsid w:val="00263810"/>
    <w:rsid w:val="00266E77"/>
    <w:rsid w:val="00271528"/>
    <w:rsid w:val="00282D2C"/>
    <w:rsid w:val="002D760B"/>
    <w:rsid w:val="002E5819"/>
    <w:rsid w:val="002E7B12"/>
    <w:rsid w:val="002F2C6F"/>
    <w:rsid w:val="002F4184"/>
    <w:rsid w:val="00300F72"/>
    <w:rsid w:val="00334BBF"/>
    <w:rsid w:val="00342B3F"/>
    <w:rsid w:val="00365890"/>
    <w:rsid w:val="00365A1C"/>
    <w:rsid w:val="00373DC0"/>
    <w:rsid w:val="00376618"/>
    <w:rsid w:val="00377F0F"/>
    <w:rsid w:val="003A287A"/>
    <w:rsid w:val="003B5E3D"/>
    <w:rsid w:val="003C2864"/>
    <w:rsid w:val="003C69DC"/>
    <w:rsid w:val="003E1EFB"/>
    <w:rsid w:val="00435AB7"/>
    <w:rsid w:val="00435C6B"/>
    <w:rsid w:val="004361DC"/>
    <w:rsid w:val="00436626"/>
    <w:rsid w:val="00461D07"/>
    <w:rsid w:val="00481BD2"/>
    <w:rsid w:val="00492440"/>
    <w:rsid w:val="004C32E2"/>
    <w:rsid w:val="004D00F4"/>
    <w:rsid w:val="004D5E45"/>
    <w:rsid w:val="004F0921"/>
    <w:rsid w:val="005116B3"/>
    <w:rsid w:val="00520A86"/>
    <w:rsid w:val="0055770E"/>
    <w:rsid w:val="00557F65"/>
    <w:rsid w:val="005611F4"/>
    <w:rsid w:val="0057672E"/>
    <w:rsid w:val="0058339C"/>
    <w:rsid w:val="0059350F"/>
    <w:rsid w:val="005A4749"/>
    <w:rsid w:val="005C7432"/>
    <w:rsid w:val="005E2E01"/>
    <w:rsid w:val="005E35C2"/>
    <w:rsid w:val="005E76E4"/>
    <w:rsid w:val="005F3B55"/>
    <w:rsid w:val="00610A38"/>
    <w:rsid w:val="00631663"/>
    <w:rsid w:val="006536A1"/>
    <w:rsid w:val="006564E4"/>
    <w:rsid w:val="0066643F"/>
    <w:rsid w:val="00674E1D"/>
    <w:rsid w:val="006830C3"/>
    <w:rsid w:val="006A31D6"/>
    <w:rsid w:val="006A5062"/>
    <w:rsid w:val="006D2F6B"/>
    <w:rsid w:val="006F5A6F"/>
    <w:rsid w:val="007347A7"/>
    <w:rsid w:val="007375B4"/>
    <w:rsid w:val="00752390"/>
    <w:rsid w:val="00780B8B"/>
    <w:rsid w:val="007B0189"/>
    <w:rsid w:val="007B7D81"/>
    <w:rsid w:val="007D13D5"/>
    <w:rsid w:val="007D407C"/>
    <w:rsid w:val="008300DD"/>
    <w:rsid w:val="00837137"/>
    <w:rsid w:val="00846E51"/>
    <w:rsid w:val="008675A0"/>
    <w:rsid w:val="008679D5"/>
    <w:rsid w:val="00881335"/>
    <w:rsid w:val="00896B58"/>
    <w:rsid w:val="008A01DA"/>
    <w:rsid w:val="008F0A49"/>
    <w:rsid w:val="00915ADE"/>
    <w:rsid w:val="0093040B"/>
    <w:rsid w:val="00932E67"/>
    <w:rsid w:val="00937D6F"/>
    <w:rsid w:val="009952C9"/>
    <w:rsid w:val="00997CD0"/>
    <w:rsid w:val="009B454E"/>
    <w:rsid w:val="009B7107"/>
    <w:rsid w:val="009E2D26"/>
    <w:rsid w:val="00A112C4"/>
    <w:rsid w:val="00A1525D"/>
    <w:rsid w:val="00A317A0"/>
    <w:rsid w:val="00A967A3"/>
    <w:rsid w:val="00AB04C8"/>
    <w:rsid w:val="00AB3505"/>
    <w:rsid w:val="00AD7D38"/>
    <w:rsid w:val="00AE1CAD"/>
    <w:rsid w:val="00AE2FBD"/>
    <w:rsid w:val="00AE3C70"/>
    <w:rsid w:val="00AF0BBA"/>
    <w:rsid w:val="00B06296"/>
    <w:rsid w:val="00B077AF"/>
    <w:rsid w:val="00B10319"/>
    <w:rsid w:val="00B3658D"/>
    <w:rsid w:val="00B36AF4"/>
    <w:rsid w:val="00B41802"/>
    <w:rsid w:val="00B53B59"/>
    <w:rsid w:val="00B734D8"/>
    <w:rsid w:val="00B73FB1"/>
    <w:rsid w:val="00BD2D49"/>
    <w:rsid w:val="00C0648C"/>
    <w:rsid w:val="00C06492"/>
    <w:rsid w:val="00C1192E"/>
    <w:rsid w:val="00C36B48"/>
    <w:rsid w:val="00C63CC4"/>
    <w:rsid w:val="00C77B0A"/>
    <w:rsid w:val="00C91C8E"/>
    <w:rsid w:val="00CA0BAD"/>
    <w:rsid w:val="00CA26FB"/>
    <w:rsid w:val="00CF3EA3"/>
    <w:rsid w:val="00CF3F40"/>
    <w:rsid w:val="00D03B0C"/>
    <w:rsid w:val="00D21886"/>
    <w:rsid w:val="00D56F59"/>
    <w:rsid w:val="00D66148"/>
    <w:rsid w:val="00D731BD"/>
    <w:rsid w:val="00D835D9"/>
    <w:rsid w:val="00D915BC"/>
    <w:rsid w:val="00DA09ED"/>
    <w:rsid w:val="00DA4480"/>
    <w:rsid w:val="00DB037A"/>
    <w:rsid w:val="00DE43E6"/>
    <w:rsid w:val="00DE75EB"/>
    <w:rsid w:val="00DF0245"/>
    <w:rsid w:val="00DF695B"/>
    <w:rsid w:val="00E061B8"/>
    <w:rsid w:val="00E14A54"/>
    <w:rsid w:val="00E434FA"/>
    <w:rsid w:val="00E52851"/>
    <w:rsid w:val="00E62EE0"/>
    <w:rsid w:val="00EA1B8A"/>
    <w:rsid w:val="00EB70CE"/>
    <w:rsid w:val="00EE1C01"/>
    <w:rsid w:val="00EF2574"/>
    <w:rsid w:val="00F05C79"/>
    <w:rsid w:val="00F536D7"/>
    <w:rsid w:val="00F87A19"/>
    <w:rsid w:val="00F951AD"/>
    <w:rsid w:val="00FA6811"/>
    <w:rsid w:val="00FA6A61"/>
    <w:rsid w:val="00FB31F0"/>
    <w:rsid w:val="00FD7BB5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ind w:left="720"/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customStyle="1" w:styleId="NumHeading2">
    <w:name w:val="Num Heading 2"/>
    <w:next w:val="BodyText"/>
    <w:link w:val="NumHeading2Char"/>
    <w:qFormat/>
    <w:rsid w:val="00FD7BB5"/>
    <w:pPr>
      <w:numPr>
        <w:numId w:val="19"/>
      </w:numPr>
      <w:spacing w:before="240" w:after="120" w:line="240" w:lineRule="auto"/>
      <w:ind w:left="357" w:hanging="357"/>
    </w:pPr>
    <w:rPr>
      <w:rFonts w:asciiTheme="majorHAnsi" w:eastAsiaTheme="majorEastAsia" w:hAnsiTheme="majorHAnsi" w:cstheme="majorBidi"/>
      <w:color w:val="1F4E79"/>
      <w:sz w:val="28"/>
      <w:szCs w:val="28"/>
    </w:rPr>
  </w:style>
  <w:style w:type="character" w:customStyle="1" w:styleId="NumHeading2Char">
    <w:name w:val="Num Heading 2 Char"/>
    <w:basedOn w:val="DefaultParagraphFont"/>
    <w:link w:val="NumHeading2"/>
    <w:rsid w:val="00FD7BB5"/>
    <w:rPr>
      <w:rFonts w:asciiTheme="majorHAnsi" w:eastAsiaTheme="majorEastAsia" w:hAnsiTheme="majorHAnsi" w:cstheme="majorBidi"/>
      <w:color w:val="1F4E79"/>
      <w:sz w:val="28"/>
      <w:szCs w:val="28"/>
    </w:rPr>
  </w:style>
  <w:style w:type="paragraph" w:customStyle="1" w:styleId="Process">
    <w:name w:val="Process"/>
    <w:basedOn w:val="BodyText"/>
    <w:qFormat/>
    <w:rsid w:val="00FD7BB5"/>
    <w:pPr>
      <w:widowControl w:val="0"/>
      <w:autoSpaceDE w:val="0"/>
      <w:autoSpaceDN w:val="0"/>
      <w:spacing w:before="240" w:after="240"/>
      <w:jc w:val="center"/>
    </w:pPr>
    <w:rPr>
      <w:rFonts w:ascii="Calibri" w:eastAsia="Calibri" w:hAnsi="Calibri" w:cs="Calibri"/>
      <w:sz w:val="28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8B6DE0"/>
    <w:rsid w:val="008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Buesnel, Andrew</cp:lastModifiedBy>
  <cp:revision>3</cp:revision>
  <cp:lastPrinted>2020-11-26T22:27:00Z</cp:lastPrinted>
  <dcterms:created xsi:type="dcterms:W3CDTF">2020-12-14T08:40:00Z</dcterms:created>
  <dcterms:modified xsi:type="dcterms:W3CDTF">2020-12-14T08:43:00Z</dcterms:modified>
</cp:coreProperties>
</file>