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270A89A0" w:rsidR="00FE1945" w:rsidRPr="00563A3D" w:rsidRDefault="005D1142" w:rsidP="00FE1945">
          <w:pPr>
            <w:rPr>
              <w:rStyle w:val="SchoolName"/>
              <w:color w:val="1F4E79"/>
            </w:rPr>
          </w:pPr>
          <w:r>
            <w:rPr>
              <w:rStyle w:val="SchoolName"/>
              <w:color w:val="1F4E79"/>
            </w:rPr>
            <w:t>Dickson College</w:t>
          </w:r>
        </w:p>
      </w:sdtContent>
    </w:sdt>
    <w:p w14:paraId="63330FCF" w14:textId="13A2952A"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5D1142">
            <w:t>North Canberra/ Gungahlin</w:t>
          </w:r>
        </w:sdtContent>
      </w:sdt>
    </w:p>
    <w:p w14:paraId="38F253B0" w14:textId="675F4749" w:rsidR="00FE1945" w:rsidRDefault="00846E51" w:rsidP="00FE1945">
      <w:pPr>
        <w:pStyle w:val="Title"/>
        <w:jc w:val="left"/>
      </w:pPr>
      <w:r>
        <w:t>Impact</w:t>
      </w:r>
      <w:r w:rsidR="00FE1945" w:rsidRPr="005F3926">
        <w:t xml:space="preserve"> </w:t>
      </w:r>
      <w:r w:rsidR="00B10319">
        <w:t xml:space="preserve">Report </w:t>
      </w:r>
      <w:r w:rsidR="00FE1945">
        <w:t>20</w:t>
      </w:r>
      <w:r w:rsidR="005D1142">
        <w:t>21</w:t>
      </w:r>
    </w:p>
    <w:p w14:paraId="43815876" w14:textId="77777777" w:rsidR="00E434FA" w:rsidRPr="001B2E33" w:rsidRDefault="00E434FA" w:rsidP="001B2E33">
      <w:pPr>
        <w:pStyle w:val="Heading1"/>
      </w:pPr>
      <w:r w:rsidRPr="001B2E33">
        <w:t>The purpose of this document</w:t>
      </w:r>
    </w:p>
    <w:p w14:paraId="542B7252" w14:textId="06AD1E0A"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D4537E">
        <w:t>XX</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4C974366" w14:textId="4D210441" w:rsidR="00132917" w:rsidRPr="00FE5425" w:rsidRDefault="00AE2FBD" w:rsidP="0058339C">
      <w:pPr>
        <w:pStyle w:val="BodyText"/>
        <w:rPr>
          <w:sz w:val="16"/>
          <w:szCs w:val="16"/>
        </w:rPr>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0E4AE3ED" w14:textId="7F26DF78" w:rsidR="00846E51" w:rsidRPr="00132917" w:rsidRDefault="00300F72" w:rsidP="00132917">
      <w:pPr>
        <w:pStyle w:val="BodyText"/>
      </w:pPr>
      <w:r w:rsidRPr="00132917">
        <w:t xml:space="preserve">In </w:t>
      </w:r>
      <w:r w:rsidR="00D4537E">
        <w:t>20</w:t>
      </w:r>
      <w:r w:rsidR="00FD638C">
        <w:t>21</w:t>
      </w:r>
      <w:r w:rsidRPr="00132917">
        <w:t xml:space="preserve"> our school supported this </w:t>
      </w:r>
      <w:r w:rsidR="00E14A54">
        <w:t>S</w:t>
      </w:r>
      <w:r w:rsidRPr="00132917">
        <w:t xml:space="preserve">trategic </w:t>
      </w:r>
      <w:r w:rsidR="00E14A54">
        <w:t>I</w:t>
      </w:r>
      <w:r w:rsidRPr="00132917">
        <w:t xml:space="preserve">ndicator through – Priority </w:t>
      </w:r>
      <w:r w:rsidR="00FD638C">
        <w:t>1</w:t>
      </w:r>
      <w:r w:rsidRPr="00132917">
        <w:t xml:space="preserve"> (see reporting for detail):</w:t>
      </w:r>
    </w:p>
    <w:p w14:paraId="50532CB9" w14:textId="0352237F" w:rsidR="00497890" w:rsidRDefault="00497890" w:rsidP="00497890">
      <w:pPr>
        <w:pStyle w:val="ListBullet"/>
      </w:pPr>
      <w:r>
        <w:t>Develop a Data Plan to support improvement</w:t>
      </w:r>
    </w:p>
    <w:p w14:paraId="210A69A2" w14:textId="77777777" w:rsidR="005F1669" w:rsidRDefault="005F1669" w:rsidP="005F1669">
      <w:pPr>
        <w:pStyle w:val="ListBullet"/>
      </w:pPr>
      <w:r>
        <w:t>Continued implementation of PAT and formative assessment</w:t>
      </w:r>
    </w:p>
    <w:p w14:paraId="05831A13" w14:textId="77777777" w:rsidR="00300F72" w:rsidRPr="00FE5425" w:rsidRDefault="00300F72" w:rsidP="005F1669">
      <w:pPr>
        <w:pStyle w:val="ListBullet"/>
        <w:numPr>
          <w:ilvl w:val="0"/>
          <w:numId w:val="0"/>
        </w:numPr>
        <w:rPr>
          <w:sz w:val="16"/>
          <w:szCs w:val="16"/>
        </w:rPr>
      </w:pP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14162F1A" w14:textId="528432A6" w:rsidR="00300F72" w:rsidRPr="00132917" w:rsidRDefault="00300F72" w:rsidP="00132917">
      <w:pPr>
        <w:pStyle w:val="BodyText"/>
      </w:pPr>
      <w:r w:rsidRPr="00132917">
        <w:t xml:space="preserve">In </w:t>
      </w:r>
      <w:r w:rsidR="00D4537E">
        <w:t>20</w:t>
      </w:r>
      <w:r w:rsidR="00FD638C">
        <w:t>21</w:t>
      </w:r>
      <w:r w:rsidRPr="00132917">
        <w:t xml:space="preserve"> our school supported this </w:t>
      </w:r>
      <w:r w:rsidR="00E14A54">
        <w:t>S</w:t>
      </w:r>
      <w:r w:rsidRPr="00132917">
        <w:t xml:space="preserve">trategic </w:t>
      </w:r>
      <w:r w:rsidR="00E14A54">
        <w:t>I</w:t>
      </w:r>
      <w:r w:rsidRPr="00132917">
        <w:t xml:space="preserve">ndicator through – Priority </w:t>
      </w:r>
      <w:r w:rsidR="00774F8E">
        <w:t>1</w:t>
      </w:r>
      <w:r w:rsidRPr="00132917">
        <w:t xml:space="preserve"> (see reporting for detail):</w:t>
      </w:r>
    </w:p>
    <w:p w14:paraId="7E88D3BB" w14:textId="77777777" w:rsidR="005F1669" w:rsidRDefault="005F1669" w:rsidP="005F1669">
      <w:pPr>
        <w:pStyle w:val="ListBullet"/>
      </w:pPr>
      <w:r>
        <w:t>Establish a vision for Teaching and Learning at Dickson College</w:t>
      </w:r>
    </w:p>
    <w:p w14:paraId="3219AB53" w14:textId="45648CE4" w:rsidR="00300F72" w:rsidRDefault="00774F8E" w:rsidP="005F1669">
      <w:pPr>
        <w:pStyle w:val="ListBullet"/>
      </w:pPr>
      <w:r>
        <w:t>Teacher c</w:t>
      </w:r>
      <w:r w:rsidR="005F1669" w:rsidRPr="003E35AB">
        <w:t xml:space="preserve">ollaborative inquiry </w:t>
      </w:r>
      <w:r>
        <w:t>(PLC)</w:t>
      </w:r>
    </w:p>
    <w:p w14:paraId="49FCAD97" w14:textId="1FB3C238" w:rsidR="005F1669" w:rsidRDefault="005F1669" w:rsidP="005F1669">
      <w:pPr>
        <w:pStyle w:val="ListBullet2"/>
      </w:pPr>
      <w:r>
        <w:t>Continued schoolwide focus</w:t>
      </w:r>
    </w:p>
    <w:p w14:paraId="7D9C4455" w14:textId="616CC107" w:rsidR="005F1669" w:rsidRDefault="005F1669" w:rsidP="005F1669">
      <w:pPr>
        <w:pStyle w:val="ListParagraph"/>
        <w:numPr>
          <w:ilvl w:val="2"/>
          <w:numId w:val="16"/>
        </w:numPr>
      </w:pPr>
      <w:r>
        <w:t>Differentiated model for teachers</w:t>
      </w:r>
    </w:p>
    <w:p w14:paraId="6EF65FD8" w14:textId="6DAF66AC" w:rsidR="005F1669" w:rsidRDefault="005F1669" w:rsidP="005F1669">
      <w:pPr>
        <w:pStyle w:val="ListParagraph"/>
        <w:numPr>
          <w:ilvl w:val="2"/>
          <w:numId w:val="16"/>
        </w:numPr>
      </w:pPr>
      <w:r>
        <w:t xml:space="preserve">Link to UC Affiliated Schools </w:t>
      </w:r>
    </w:p>
    <w:p w14:paraId="21580D23" w14:textId="3951975A" w:rsidR="005F1669" w:rsidRPr="00300F72" w:rsidRDefault="005F1669" w:rsidP="00774F8E">
      <w:pPr>
        <w:pStyle w:val="ListBullet2"/>
      </w:pPr>
      <w:r>
        <w:t>Continued implementation of PAT and formative assessment</w:t>
      </w:r>
    </w:p>
    <w:p w14:paraId="283823B0" w14:textId="77777777" w:rsidR="00461D07" w:rsidRPr="0066643F" w:rsidRDefault="00461D07"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6B398A53" w14:textId="049116B6" w:rsidR="00300F72" w:rsidRPr="00132917" w:rsidRDefault="00300F72" w:rsidP="00132917">
      <w:pPr>
        <w:pStyle w:val="BodyText"/>
      </w:pPr>
      <w:r w:rsidRPr="00132917">
        <w:t xml:space="preserve">In </w:t>
      </w:r>
      <w:r w:rsidR="00D4537E">
        <w:t>20</w:t>
      </w:r>
      <w:r w:rsidR="00774F8E">
        <w:t>21</w:t>
      </w:r>
      <w:r w:rsidRPr="00132917">
        <w:t xml:space="preserve"> our school supported this </w:t>
      </w:r>
      <w:r w:rsidR="00E14A54">
        <w:t>S</w:t>
      </w:r>
      <w:r w:rsidRPr="00132917">
        <w:t xml:space="preserve">trategic </w:t>
      </w:r>
      <w:r w:rsidR="00E14A54">
        <w:t>I</w:t>
      </w:r>
      <w:r w:rsidRPr="00132917">
        <w:t xml:space="preserve">ndicator through – Priority </w:t>
      </w:r>
      <w:r w:rsidR="00774F8E">
        <w:t>1 &amp; 2</w:t>
      </w:r>
      <w:r w:rsidRPr="00132917">
        <w:t xml:space="preserve"> (see reporting for detail):</w:t>
      </w:r>
    </w:p>
    <w:p w14:paraId="07105BA2" w14:textId="77777777" w:rsidR="005F1669" w:rsidRPr="003E35AB" w:rsidRDefault="005F1669" w:rsidP="005F1669">
      <w:pPr>
        <w:pStyle w:val="ListBullet"/>
      </w:pPr>
      <w:r w:rsidRPr="003E35AB">
        <w:t>Contemporary learning environment</w:t>
      </w:r>
    </w:p>
    <w:p w14:paraId="152E24AA" w14:textId="298D752B" w:rsidR="005F1669" w:rsidRDefault="005F1669" w:rsidP="005F1669">
      <w:pPr>
        <w:pStyle w:val="ListBullet2"/>
      </w:pPr>
      <w:r>
        <w:t xml:space="preserve">Continue with implementation and development of </w:t>
      </w:r>
      <w:proofErr w:type="gramStart"/>
      <w:r>
        <w:t>College</w:t>
      </w:r>
      <w:proofErr w:type="gramEnd"/>
      <w:r>
        <w:t xml:space="preserve"> reporting</w:t>
      </w:r>
      <w:r w:rsidR="00774F8E">
        <w:t xml:space="preserve"> at Dickson</w:t>
      </w:r>
    </w:p>
    <w:p w14:paraId="6D1CBE58" w14:textId="51766DAB" w:rsidR="005F1669" w:rsidRDefault="005F1669" w:rsidP="005F1669">
      <w:pPr>
        <w:pStyle w:val="ListParagraph"/>
        <w:numPr>
          <w:ilvl w:val="2"/>
          <w:numId w:val="16"/>
        </w:numPr>
      </w:pPr>
      <w:r>
        <w:t>Link to UC Affiliated Schools Teachers as Researcher Project</w:t>
      </w:r>
    </w:p>
    <w:p w14:paraId="2641382B" w14:textId="77777777" w:rsidR="005F1669" w:rsidRDefault="005F1669" w:rsidP="005F1669">
      <w:pPr>
        <w:pStyle w:val="ListBullet2"/>
      </w:pPr>
      <w:r>
        <w:t>Development of graduate profile – 21</w:t>
      </w:r>
      <w:r w:rsidRPr="00482C03">
        <w:rPr>
          <w:vertAlign w:val="superscript"/>
        </w:rPr>
        <w:t>st</w:t>
      </w:r>
      <w:r>
        <w:t xml:space="preserve"> Century skills, </w:t>
      </w:r>
      <w:proofErr w:type="gramStart"/>
      <w:r>
        <w:t>capabilities</w:t>
      </w:r>
      <w:proofErr w:type="gramEnd"/>
      <w:r>
        <w:t xml:space="preserve"> and dispositions</w:t>
      </w:r>
    </w:p>
    <w:p w14:paraId="200F6B8B" w14:textId="0A9D8240" w:rsidR="0093040B" w:rsidRDefault="0093040B" w:rsidP="005F1669">
      <w:pPr>
        <w:pStyle w:val="ListBullet2"/>
        <w:numPr>
          <w:ilvl w:val="0"/>
          <w:numId w:val="0"/>
        </w:numPr>
        <w:ind w:left="714"/>
      </w:pPr>
    </w:p>
    <w:p w14:paraId="59777CE8" w14:textId="130E20DD" w:rsidR="00300F72" w:rsidRPr="001B26EA" w:rsidRDefault="00300F72" w:rsidP="001B26EA">
      <w:pPr>
        <w:pStyle w:val="ListBullet"/>
      </w:pPr>
      <w:r w:rsidRPr="001B26EA">
        <w:br w:type="page"/>
      </w:r>
    </w:p>
    <w:p w14:paraId="2B93A716" w14:textId="0A6ED895" w:rsidR="00B10319" w:rsidRDefault="004D5E45" w:rsidP="001B2E33">
      <w:pPr>
        <w:pStyle w:val="Heading1"/>
      </w:pPr>
      <w:r>
        <w:lastRenderedPageBreak/>
        <w:t>Reporting against our priorities</w:t>
      </w:r>
    </w:p>
    <w:p w14:paraId="6FDAB6DC" w14:textId="77777777" w:rsidR="00774F8E" w:rsidRPr="00FE5425" w:rsidRDefault="00837137" w:rsidP="00FE5425">
      <w:pPr>
        <w:pStyle w:val="Heading2"/>
        <w:tabs>
          <w:tab w:val="clear" w:pos="2410"/>
          <w:tab w:val="left" w:pos="1276"/>
        </w:tabs>
        <w:ind w:left="1276" w:hanging="1276"/>
        <w:rPr>
          <w:b/>
          <w:bCs/>
        </w:rPr>
      </w:pPr>
      <w:r w:rsidRPr="00FE5425">
        <w:t>Priority 1:</w:t>
      </w:r>
      <w:r w:rsidRPr="000F0410">
        <w:tab/>
      </w:r>
      <w:r w:rsidR="00774F8E" w:rsidRPr="00FE5425">
        <w:rPr>
          <w:b/>
          <w:bCs/>
        </w:rPr>
        <w:t xml:space="preserve">Increase students’ ability to demonstrate 21st Century skills </w:t>
      </w:r>
    </w:p>
    <w:p w14:paraId="34A61680" w14:textId="77777777" w:rsidR="00774F8E" w:rsidRPr="00D842A6" w:rsidRDefault="00774F8E" w:rsidP="00FE5425">
      <w:pPr>
        <w:spacing w:after="200" w:line="276" w:lineRule="auto"/>
        <w:ind w:left="556" w:firstLine="720"/>
        <w:rPr>
          <w:b/>
          <w:bCs/>
          <w:sz w:val="20"/>
          <w:szCs w:val="20"/>
        </w:rPr>
      </w:pPr>
      <w:r w:rsidRPr="00D842A6">
        <w:rPr>
          <w:rFonts w:ascii="Arial" w:eastAsia="Times New Roman" w:hAnsi="Arial" w:cs="Arial"/>
          <w:b/>
          <w:bCs/>
          <w:color w:val="1F4E79"/>
          <w:sz w:val="20"/>
          <w:szCs w:val="20"/>
        </w:rPr>
        <w:t>(4 Cs - Communication, Creativity, Critical Thinking, &amp; Collaboration)</w:t>
      </w:r>
    </w:p>
    <w:p w14:paraId="255A28BA" w14:textId="62B9FAA6" w:rsidR="004D5E45" w:rsidRPr="00837137" w:rsidRDefault="006D2F6B" w:rsidP="00774F8E">
      <w:pPr>
        <w:pStyle w:val="Heading2"/>
        <w:tabs>
          <w:tab w:val="clear" w:pos="2410"/>
          <w:tab w:val="left" w:pos="1276"/>
        </w:tabs>
        <w:ind w:left="1276" w:hanging="1276"/>
      </w:pPr>
      <w:r w:rsidRPr="00837137">
        <w:t>Targets or measures</w:t>
      </w:r>
    </w:p>
    <w:p w14:paraId="0ED94083" w14:textId="0FFB9D76" w:rsidR="000031B5" w:rsidRDefault="00481BD2" w:rsidP="0058339C">
      <w:pPr>
        <w:pStyle w:val="BodyText"/>
      </w:pPr>
      <w:r>
        <w:t xml:space="preserve">By the end of </w:t>
      </w:r>
      <w:r w:rsidR="00D4537E">
        <w:t>20</w:t>
      </w:r>
      <w:r w:rsidR="00774F8E">
        <w:t>25</w:t>
      </w:r>
      <w:r w:rsidR="000031B5">
        <w:t xml:space="preserve"> we will achieve:</w:t>
      </w:r>
    </w:p>
    <w:p w14:paraId="652D7675" w14:textId="77777777" w:rsidR="003C5D01" w:rsidRPr="00594EF3" w:rsidRDefault="003C5D01" w:rsidP="003C5D01">
      <w:pPr>
        <w:pStyle w:val="ListBullet"/>
      </w:pPr>
      <w:r>
        <w:t>G</w:t>
      </w:r>
      <w:r w:rsidRPr="00594EF3">
        <w:t xml:space="preserve">rowth in student performance on in AST writing task </w:t>
      </w:r>
    </w:p>
    <w:p w14:paraId="6B089D34" w14:textId="27969DFD" w:rsidR="003C5D01" w:rsidRDefault="003C5D01" w:rsidP="003C5D01">
      <w:pPr>
        <w:pStyle w:val="ListBullet"/>
      </w:pPr>
      <w:r w:rsidRPr="00594EF3">
        <w:t>Growth in Year 12 Scaled results in English</w:t>
      </w:r>
      <w:r>
        <w:t xml:space="preserve"> T</w:t>
      </w:r>
    </w:p>
    <w:p w14:paraId="5171681D" w14:textId="77777777" w:rsidR="003C5D01" w:rsidRPr="00594EF3" w:rsidRDefault="003C5D01" w:rsidP="003C5D01">
      <w:pPr>
        <w:pStyle w:val="ListBullet"/>
      </w:pPr>
      <w:r w:rsidRPr="00594EF3">
        <w:t xml:space="preserve">Growth in Year 12 Scaled results in </w:t>
      </w:r>
      <w:r>
        <w:t>Mathematics T</w:t>
      </w:r>
    </w:p>
    <w:p w14:paraId="0F739815" w14:textId="77777777" w:rsidR="003C5D01" w:rsidRDefault="003C5D01" w:rsidP="003C5D01">
      <w:pPr>
        <w:pStyle w:val="ListBullet"/>
      </w:pPr>
      <w:r w:rsidRPr="00594EF3">
        <w:t>Growth in GPA English across all courses</w:t>
      </w:r>
    </w:p>
    <w:p w14:paraId="314C6D2A" w14:textId="77777777" w:rsidR="003C5D01" w:rsidRPr="00594EF3" w:rsidRDefault="003C5D01" w:rsidP="003C5D01">
      <w:pPr>
        <w:pStyle w:val="ListBullet"/>
      </w:pPr>
      <w:r w:rsidRPr="00594EF3">
        <w:t xml:space="preserve">Growth in GPA </w:t>
      </w:r>
      <w:r>
        <w:t xml:space="preserve">Maths </w:t>
      </w:r>
      <w:r w:rsidRPr="00594EF3">
        <w:t>across all courses</w:t>
      </w:r>
    </w:p>
    <w:p w14:paraId="5837BBF7" w14:textId="50177FC6" w:rsidR="003C5D01" w:rsidRDefault="003C5D01" w:rsidP="003C5D01">
      <w:pPr>
        <w:pStyle w:val="ListBullet"/>
      </w:pPr>
      <w:r>
        <w:t>Growth in GPA across all courses</w:t>
      </w:r>
    </w:p>
    <w:p w14:paraId="1319DBFF" w14:textId="22A62BC9" w:rsidR="004D5E45" w:rsidRPr="00373DC0" w:rsidRDefault="004D5E45" w:rsidP="00837137">
      <w:pPr>
        <w:pStyle w:val="BodyText"/>
      </w:pPr>
      <w:r w:rsidRPr="00373DC0">
        <w:t xml:space="preserve">In </w:t>
      </w:r>
      <w:r w:rsidR="00D4537E">
        <w:t>20</w:t>
      </w:r>
      <w:r w:rsidR="00774F8E">
        <w:t>21</w:t>
      </w:r>
      <w:r w:rsidRPr="00373DC0">
        <w:t xml:space="preserve"> we </w:t>
      </w:r>
      <w:r w:rsidR="00997CD0">
        <w:t>implemented</w:t>
      </w:r>
      <w:r w:rsidRPr="00373DC0">
        <w:t xml:space="preserve"> this priority throug</w:t>
      </w:r>
      <w:r w:rsidR="00997CD0">
        <w:t xml:space="preserve">h the following </w:t>
      </w:r>
      <w:r w:rsidRPr="00373DC0">
        <w:t>strategies.</w:t>
      </w:r>
    </w:p>
    <w:p w14:paraId="6544F537" w14:textId="77777777" w:rsidR="003C5D01" w:rsidRDefault="003C5D01" w:rsidP="003C5D01">
      <w:pPr>
        <w:pStyle w:val="ListBullet"/>
      </w:pPr>
      <w:r>
        <w:t>Establish a vision for Teaching and Learning at Dickson College</w:t>
      </w:r>
    </w:p>
    <w:p w14:paraId="4704E057" w14:textId="25FEF4A3" w:rsidR="00CA2D33" w:rsidRDefault="00CA2D33" w:rsidP="00CA2D33">
      <w:pPr>
        <w:pStyle w:val="ListBullet"/>
      </w:pPr>
      <w:r>
        <w:t>Develop a Data Plan to support improvement</w:t>
      </w:r>
    </w:p>
    <w:p w14:paraId="6403B9E2" w14:textId="717481E4" w:rsidR="009B454E" w:rsidRDefault="00CA2D33" w:rsidP="009B454E">
      <w:pPr>
        <w:pStyle w:val="ListBullet"/>
      </w:pPr>
      <w:r w:rsidRPr="003E35AB">
        <w:t>Collaborative inquiry into feedback to students</w:t>
      </w:r>
      <w:r>
        <w:t xml:space="preserve"> (PLC)</w:t>
      </w:r>
    </w:p>
    <w:p w14:paraId="7DFF073D" w14:textId="31A5A098"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10768" w:type="dxa"/>
        <w:jc w:val="center"/>
        <w:tblCellMar>
          <w:top w:w="57" w:type="dxa"/>
          <w:left w:w="57" w:type="dxa"/>
          <w:bottom w:w="57" w:type="dxa"/>
          <w:right w:w="57" w:type="dxa"/>
        </w:tblCellMar>
        <w:tblLook w:val="04A0" w:firstRow="1" w:lastRow="0" w:firstColumn="1" w:lastColumn="0" w:noHBand="0" w:noVBand="1"/>
      </w:tblPr>
      <w:tblGrid>
        <w:gridCol w:w="4297"/>
        <w:gridCol w:w="790"/>
        <w:gridCol w:w="720"/>
        <w:gridCol w:w="851"/>
        <w:gridCol w:w="708"/>
        <w:gridCol w:w="851"/>
        <w:gridCol w:w="850"/>
        <w:gridCol w:w="851"/>
        <w:gridCol w:w="850"/>
      </w:tblGrid>
      <w:tr w:rsidR="00A00CF6" w14:paraId="11CF2626" w14:textId="77777777" w:rsidTr="00A00CF6">
        <w:trPr>
          <w:jc w:val="center"/>
        </w:trPr>
        <w:tc>
          <w:tcPr>
            <w:tcW w:w="4297" w:type="dxa"/>
            <w:shd w:val="clear" w:color="auto" w:fill="auto"/>
          </w:tcPr>
          <w:p w14:paraId="2744B2CC" w14:textId="77777777" w:rsidR="00A00CF6" w:rsidRPr="00D03B0C" w:rsidRDefault="00A00CF6" w:rsidP="00D03B0C">
            <w:pPr>
              <w:rPr>
                <w:b/>
              </w:rPr>
            </w:pPr>
            <w:r w:rsidRPr="00D03B0C">
              <w:rPr>
                <w:b/>
              </w:rPr>
              <w:t>Targets or Measures</w:t>
            </w:r>
          </w:p>
        </w:tc>
        <w:tc>
          <w:tcPr>
            <w:tcW w:w="1510" w:type="dxa"/>
            <w:gridSpan w:val="2"/>
            <w:shd w:val="clear" w:color="auto" w:fill="auto"/>
          </w:tcPr>
          <w:p w14:paraId="35503C30" w14:textId="738A8A93" w:rsidR="00A00CF6" w:rsidRPr="00D03B0C" w:rsidRDefault="00A00CF6" w:rsidP="00D56F59">
            <w:pPr>
              <w:jc w:val="center"/>
              <w:rPr>
                <w:b/>
              </w:rPr>
            </w:pPr>
            <w:r w:rsidRPr="00D03B0C">
              <w:rPr>
                <w:b/>
              </w:rPr>
              <w:t>Base</w:t>
            </w:r>
            <w:r w:rsidR="00327C67">
              <w:rPr>
                <w:b/>
              </w:rPr>
              <w:t xml:space="preserve"> – 2020</w:t>
            </w:r>
          </w:p>
        </w:tc>
        <w:tc>
          <w:tcPr>
            <w:tcW w:w="1559" w:type="dxa"/>
            <w:gridSpan w:val="2"/>
          </w:tcPr>
          <w:p w14:paraId="42366ADC" w14:textId="4D97DCB3" w:rsidR="00A00CF6" w:rsidRPr="00D03B0C" w:rsidRDefault="00A00CF6" w:rsidP="00D56F59">
            <w:pPr>
              <w:jc w:val="center"/>
              <w:rPr>
                <w:b/>
              </w:rPr>
            </w:pPr>
            <w:r>
              <w:rPr>
                <w:b/>
              </w:rPr>
              <w:t>Y1 - 2021</w:t>
            </w:r>
          </w:p>
        </w:tc>
        <w:tc>
          <w:tcPr>
            <w:tcW w:w="851" w:type="dxa"/>
            <w:shd w:val="clear" w:color="auto" w:fill="auto"/>
          </w:tcPr>
          <w:p w14:paraId="3CAE587B" w14:textId="4610B4CC" w:rsidR="00A00CF6" w:rsidRPr="00D03B0C" w:rsidRDefault="00A00CF6" w:rsidP="00D56F59">
            <w:pPr>
              <w:jc w:val="center"/>
              <w:rPr>
                <w:b/>
              </w:rPr>
            </w:pPr>
            <w:r>
              <w:rPr>
                <w:b/>
              </w:rPr>
              <w:t>Year 2</w:t>
            </w:r>
          </w:p>
        </w:tc>
        <w:tc>
          <w:tcPr>
            <w:tcW w:w="850" w:type="dxa"/>
            <w:shd w:val="clear" w:color="auto" w:fill="auto"/>
          </w:tcPr>
          <w:p w14:paraId="0785495E" w14:textId="77777777" w:rsidR="00A00CF6" w:rsidRPr="00D03B0C" w:rsidRDefault="00A00CF6" w:rsidP="00D56F59">
            <w:pPr>
              <w:jc w:val="center"/>
              <w:rPr>
                <w:b/>
              </w:rPr>
            </w:pPr>
            <w:r w:rsidRPr="00D03B0C">
              <w:rPr>
                <w:b/>
              </w:rPr>
              <w:t>Year 3</w:t>
            </w:r>
          </w:p>
        </w:tc>
        <w:tc>
          <w:tcPr>
            <w:tcW w:w="851" w:type="dxa"/>
            <w:shd w:val="clear" w:color="auto" w:fill="auto"/>
          </w:tcPr>
          <w:p w14:paraId="1F5C5718" w14:textId="77777777" w:rsidR="00A00CF6" w:rsidRPr="00D03B0C" w:rsidRDefault="00A00CF6" w:rsidP="00D56F59">
            <w:pPr>
              <w:jc w:val="center"/>
              <w:rPr>
                <w:b/>
              </w:rPr>
            </w:pPr>
            <w:r w:rsidRPr="00D03B0C">
              <w:rPr>
                <w:b/>
              </w:rPr>
              <w:t>Year 4</w:t>
            </w:r>
          </w:p>
        </w:tc>
        <w:tc>
          <w:tcPr>
            <w:tcW w:w="850" w:type="dxa"/>
            <w:shd w:val="clear" w:color="auto" w:fill="auto"/>
          </w:tcPr>
          <w:p w14:paraId="3485F32F" w14:textId="77777777" w:rsidR="00A00CF6" w:rsidRPr="00D03B0C" w:rsidRDefault="00A00CF6" w:rsidP="00D56F59">
            <w:pPr>
              <w:jc w:val="center"/>
              <w:rPr>
                <w:b/>
              </w:rPr>
            </w:pPr>
            <w:r w:rsidRPr="00D03B0C">
              <w:rPr>
                <w:b/>
              </w:rPr>
              <w:t>Year 5</w:t>
            </w:r>
          </w:p>
        </w:tc>
      </w:tr>
      <w:tr w:rsidR="00A00CF6" w14:paraId="3B6F6B79" w14:textId="77777777" w:rsidTr="00A00CF6">
        <w:trPr>
          <w:jc w:val="center"/>
        </w:trPr>
        <w:tc>
          <w:tcPr>
            <w:tcW w:w="4297" w:type="dxa"/>
            <w:shd w:val="clear" w:color="auto" w:fill="auto"/>
          </w:tcPr>
          <w:p w14:paraId="52F72BA3" w14:textId="1E35F5D1" w:rsidR="00A00CF6" w:rsidRPr="00E07B2C" w:rsidRDefault="00A00CF6" w:rsidP="00E07B2C">
            <w:pPr>
              <w:pStyle w:val="BodyText"/>
              <w:contextualSpacing/>
              <w:rPr>
                <w:color w:val="000000" w:themeColor="text1"/>
              </w:rPr>
            </w:pPr>
            <w:r>
              <w:rPr>
                <w:color w:val="000000" w:themeColor="text1"/>
              </w:rPr>
              <w:t>G</w:t>
            </w:r>
            <w:r w:rsidRPr="00594EF3">
              <w:rPr>
                <w:color w:val="000000" w:themeColor="text1"/>
              </w:rPr>
              <w:t xml:space="preserve">rowth in student performance on in AST writing task </w:t>
            </w:r>
          </w:p>
        </w:tc>
        <w:tc>
          <w:tcPr>
            <w:tcW w:w="1510" w:type="dxa"/>
            <w:gridSpan w:val="2"/>
            <w:shd w:val="clear" w:color="auto" w:fill="auto"/>
          </w:tcPr>
          <w:p w14:paraId="4466F1D5" w14:textId="3C39EC96" w:rsidR="00A00CF6" w:rsidRDefault="00A00CF6" w:rsidP="00D03B0C">
            <w:r>
              <w:t>142.4</w:t>
            </w:r>
          </w:p>
        </w:tc>
        <w:tc>
          <w:tcPr>
            <w:tcW w:w="1559" w:type="dxa"/>
            <w:gridSpan w:val="2"/>
          </w:tcPr>
          <w:p w14:paraId="3571C78F" w14:textId="6221C3F1" w:rsidR="00A00CF6" w:rsidRPr="00D03B0C" w:rsidRDefault="00A00CF6" w:rsidP="00D03B0C">
            <w:r>
              <w:t>146.2</w:t>
            </w:r>
          </w:p>
        </w:tc>
        <w:tc>
          <w:tcPr>
            <w:tcW w:w="851" w:type="dxa"/>
            <w:shd w:val="clear" w:color="auto" w:fill="auto"/>
          </w:tcPr>
          <w:p w14:paraId="69018766" w14:textId="77777777" w:rsidR="00A00CF6" w:rsidRPr="00D03B0C" w:rsidRDefault="00A00CF6" w:rsidP="00D03B0C"/>
        </w:tc>
        <w:tc>
          <w:tcPr>
            <w:tcW w:w="850" w:type="dxa"/>
            <w:shd w:val="clear" w:color="auto" w:fill="auto"/>
          </w:tcPr>
          <w:p w14:paraId="7AB434B5" w14:textId="77777777" w:rsidR="00A00CF6" w:rsidRPr="00D03B0C" w:rsidRDefault="00A00CF6" w:rsidP="00D03B0C"/>
        </w:tc>
        <w:tc>
          <w:tcPr>
            <w:tcW w:w="851" w:type="dxa"/>
            <w:shd w:val="clear" w:color="auto" w:fill="auto"/>
          </w:tcPr>
          <w:p w14:paraId="6E571018" w14:textId="77777777" w:rsidR="00A00CF6" w:rsidRPr="00D03B0C" w:rsidRDefault="00A00CF6" w:rsidP="00D03B0C"/>
        </w:tc>
        <w:tc>
          <w:tcPr>
            <w:tcW w:w="850" w:type="dxa"/>
            <w:shd w:val="clear" w:color="auto" w:fill="auto"/>
          </w:tcPr>
          <w:p w14:paraId="1D114ACD" w14:textId="77777777" w:rsidR="00A00CF6" w:rsidRPr="00D03B0C" w:rsidRDefault="00A00CF6" w:rsidP="00D03B0C"/>
        </w:tc>
      </w:tr>
      <w:tr w:rsidR="00A00CF6" w14:paraId="3E447EBE" w14:textId="77777777" w:rsidTr="00A00CF6">
        <w:trPr>
          <w:jc w:val="center"/>
        </w:trPr>
        <w:tc>
          <w:tcPr>
            <w:tcW w:w="4297" w:type="dxa"/>
            <w:shd w:val="clear" w:color="auto" w:fill="auto"/>
          </w:tcPr>
          <w:p w14:paraId="3C7AC1FF" w14:textId="537A5107" w:rsidR="00A00CF6" w:rsidRPr="00D03B0C" w:rsidRDefault="00A00CF6" w:rsidP="00A35C79">
            <w:pPr>
              <w:pStyle w:val="ListBullet"/>
              <w:numPr>
                <w:ilvl w:val="0"/>
                <w:numId w:val="0"/>
              </w:numPr>
              <w:spacing w:after="160" w:line="259" w:lineRule="auto"/>
              <w:ind w:left="360" w:hanging="360"/>
            </w:pPr>
            <w:r w:rsidRPr="00594EF3">
              <w:t>Growth in Year 12 Scaled results in English</w:t>
            </w:r>
            <w:r>
              <w:t xml:space="preserve"> T</w:t>
            </w:r>
          </w:p>
        </w:tc>
        <w:tc>
          <w:tcPr>
            <w:tcW w:w="1510" w:type="dxa"/>
            <w:gridSpan w:val="2"/>
            <w:shd w:val="clear" w:color="auto" w:fill="auto"/>
          </w:tcPr>
          <w:p w14:paraId="21A213AD" w14:textId="02A180A1" w:rsidR="00A00CF6" w:rsidRDefault="00A00CF6" w:rsidP="00D03B0C">
            <w:r>
              <w:t>154.4</w:t>
            </w:r>
          </w:p>
        </w:tc>
        <w:tc>
          <w:tcPr>
            <w:tcW w:w="1559" w:type="dxa"/>
            <w:gridSpan w:val="2"/>
          </w:tcPr>
          <w:p w14:paraId="2AFC093D" w14:textId="3C5846D4" w:rsidR="00A00CF6" w:rsidRPr="00D03B0C" w:rsidRDefault="00A00CF6" w:rsidP="00D03B0C">
            <w:r>
              <w:t>153.2</w:t>
            </w:r>
          </w:p>
        </w:tc>
        <w:tc>
          <w:tcPr>
            <w:tcW w:w="851" w:type="dxa"/>
            <w:shd w:val="clear" w:color="auto" w:fill="auto"/>
          </w:tcPr>
          <w:p w14:paraId="21FB2E79" w14:textId="77777777" w:rsidR="00A00CF6" w:rsidRPr="00D03B0C" w:rsidRDefault="00A00CF6" w:rsidP="00D03B0C"/>
        </w:tc>
        <w:tc>
          <w:tcPr>
            <w:tcW w:w="850" w:type="dxa"/>
            <w:shd w:val="clear" w:color="auto" w:fill="auto"/>
          </w:tcPr>
          <w:p w14:paraId="3C328C1C" w14:textId="77777777" w:rsidR="00A00CF6" w:rsidRPr="00D03B0C" w:rsidRDefault="00A00CF6" w:rsidP="00D03B0C"/>
        </w:tc>
        <w:tc>
          <w:tcPr>
            <w:tcW w:w="851" w:type="dxa"/>
            <w:shd w:val="clear" w:color="auto" w:fill="auto"/>
          </w:tcPr>
          <w:p w14:paraId="7A35D1D4" w14:textId="77777777" w:rsidR="00A00CF6" w:rsidRPr="00D03B0C" w:rsidRDefault="00A00CF6" w:rsidP="00D03B0C"/>
        </w:tc>
        <w:tc>
          <w:tcPr>
            <w:tcW w:w="850" w:type="dxa"/>
            <w:shd w:val="clear" w:color="auto" w:fill="auto"/>
          </w:tcPr>
          <w:p w14:paraId="7DBFB30A" w14:textId="77777777" w:rsidR="00A00CF6" w:rsidRPr="00D03B0C" w:rsidRDefault="00A00CF6" w:rsidP="00D03B0C"/>
        </w:tc>
      </w:tr>
      <w:tr w:rsidR="00A00CF6" w14:paraId="0BA41928" w14:textId="77777777" w:rsidTr="00A00CF6">
        <w:trPr>
          <w:jc w:val="center"/>
        </w:trPr>
        <w:tc>
          <w:tcPr>
            <w:tcW w:w="4297" w:type="dxa"/>
            <w:shd w:val="clear" w:color="auto" w:fill="auto"/>
          </w:tcPr>
          <w:p w14:paraId="3D5042F4" w14:textId="168355DC" w:rsidR="00A00CF6" w:rsidRPr="00D03B0C" w:rsidRDefault="00A00CF6" w:rsidP="00A35C79">
            <w:pPr>
              <w:pStyle w:val="ListBullet"/>
              <w:numPr>
                <w:ilvl w:val="0"/>
                <w:numId w:val="0"/>
              </w:numPr>
            </w:pPr>
            <w:r w:rsidRPr="00594EF3">
              <w:t>Growth in Year 12 Scaled results</w:t>
            </w:r>
            <w:r>
              <w:t xml:space="preserve"> in Mathematics T</w:t>
            </w:r>
          </w:p>
        </w:tc>
        <w:tc>
          <w:tcPr>
            <w:tcW w:w="1510" w:type="dxa"/>
            <w:gridSpan w:val="2"/>
            <w:shd w:val="clear" w:color="auto" w:fill="auto"/>
          </w:tcPr>
          <w:p w14:paraId="72FAF7DF" w14:textId="5D01D080" w:rsidR="00A00CF6" w:rsidRDefault="00A00CF6" w:rsidP="00D03B0C">
            <w:r>
              <w:t>157.6</w:t>
            </w:r>
          </w:p>
        </w:tc>
        <w:tc>
          <w:tcPr>
            <w:tcW w:w="1559" w:type="dxa"/>
            <w:gridSpan w:val="2"/>
          </w:tcPr>
          <w:p w14:paraId="749813D6" w14:textId="61D99376" w:rsidR="00A00CF6" w:rsidRPr="00D03B0C" w:rsidRDefault="00A00CF6" w:rsidP="00D03B0C">
            <w:r>
              <w:t>155.5</w:t>
            </w:r>
          </w:p>
        </w:tc>
        <w:tc>
          <w:tcPr>
            <w:tcW w:w="851" w:type="dxa"/>
            <w:shd w:val="clear" w:color="auto" w:fill="auto"/>
          </w:tcPr>
          <w:p w14:paraId="093DE804" w14:textId="77777777" w:rsidR="00A00CF6" w:rsidRPr="00D03B0C" w:rsidRDefault="00A00CF6" w:rsidP="00D03B0C"/>
        </w:tc>
        <w:tc>
          <w:tcPr>
            <w:tcW w:w="850" w:type="dxa"/>
            <w:shd w:val="clear" w:color="auto" w:fill="auto"/>
          </w:tcPr>
          <w:p w14:paraId="26FA8AE4" w14:textId="77777777" w:rsidR="00A00CF6" w:rsidRPr="00D03B0C" w:rsidRDefault="00A00CF6" w:rsidP="00D03B0C"/>
        </w:tc>
        <w:tc>
          <w:tcPr>
            <w:tcW w:w="851" w:type="dxa"/>
            <w:shd w:val="clear" w:color="auto" w:fill="auto"/>
          </w:tcPr>
          <w:p w14:paraId="74AF1176" w14:textId="77777777" w:rsidR="00A00CF6" w:rsidRPr="00D03B0C" w:rsidRDefault="00A00CF6" w:rsidP="00D03B0C"/>
        </w:tc>
        <w:tc>
          <w:tcPr>
            <w:tcW w:w="850" w:type="dxa"/>
            <w:shd w:val="clear" w:color="auto" w:fill="auto"/>
          </w:tcPr>
          <w:p w14:paraId="7B3DC464" w14:textId="77777777" w:rsidR="00A00CF6" w:rsidRPr="00D03B0C" w:rsidRDefault="00A00CF6" w:rsidP="00D03B0C"/>
        </w:tc>
      </w:tr>
      <w:tr w:rsidR="00A00CF6" w14:paraId="2327346E" w14:textId="77777777" w:rsidTr="00A00CF6">
        <w:trPr>
          <w:jc w:val="center"/>
        </w:trPr>
        <w:tc>
          <w:tcPr>
            <w:tcW w:w="4297" w:type="dxa"/>
            <w:shd w:val="clear" w:color="auto" w:fill="auto"/>
          </w:tcPr>
          <w:p w14:paraId="16B949E5" w14:textId="4847D840" w:rsidR="00A00CF6" w:rsidRPr="00594EF3" w:rsidRDefault="00954DF1" w:rsidP="00A35C79">
            <w:pPr>
              <w:pStyle w:val="ListBullet"/>
              <w:numPr>
                <w:ilvl w:val="0"/>
                <w:numId w:val="0"/>
              </w:numPr>
            </w:pPr>
            <w:r>
              <w:t xml:space="preserve">Growth in </w:t>
            </w:r>
            <w:r w:rsidR="00A00CF6" w:rsidRPr="00594EF3">
              <w:t>GPA across all courses</w:t>
            </w:r>
          </w:p>
        </w:tc>
        <w:tc>
          <w:tcPr>
            <w:tcW w:w="790" w:type="dxa"/>
            <w:shd w:val="clear" w:color="auto" w:fill="auto"/>
          </w:tcPr>
          <w:p w14:paraId="5D54997A" w14:textId="71343A25" w:rsidR="00A00CF6" w:rsidRDefault="00327C67" w:rsidP="00D03B0C">
            <w:r>
              <w:t>S1</w:t>
            </w:r>
          </w:p>
        </w:tc>
        <w:tc>
          <w:tcPr>
            <w:tcW w:w="720" w:type="dxa"/>
          </w:tcPr>
          <w:p w14:paraId="34D97925" w14:textId="68773357" w:rsidR="00A00CF6" w:rsidRDefault="00327C67" w:rsidP="00D03B0C">
            <w:r>
              <w:t>S2</w:t>
            </w:r>
          </w:p>
        </w:tc>
        <w:tc>
          <w:tcPr>
            <w:tcW w:w="851" w:type="dxa"/>
          </w:tcPr>
          <w:p w14:paraId="1AFA936F" w14:textId="21041655" w:rsidR="00A00CF6" w:rsidRDefault="00A00CF6" w:rsidP="00D03B0C">
            <w:r>
              <w:t>S1</w:t>
            </w:r>
          </w:p>
        </w:tc>
        <w:tc>
          <w:tcPr>
            <w:tcW w:w="708" w:type="dxa"/>
            <w:shd w:val="clear" w:color="auto" w:fill="auto"/>
          </w:tcPr>
          <w:p w14:paraId="1190BB82" w14:textId="0A923223" w:rsidR="00A00CF6" w:rsidRDefault="00A00CF6" w:rsidP="00D03B0C">
            <w:r>
              <w:t>S2</w:t>
            </w:r>
          </w:p>
        </w:tc>
        <w:tc>
          <w:tcPr>
            <w:tcW w:w="851" w:type="dxa"/>
            <w:shd w:val="clear" w:color="auto" w:fill="auto"/>
          </w:tcPr>
          <w:p w14:paraId="78762A10" w14:textId="77777777" w:rsidR="00A00CF6" w:rsidRPr="00D03B0C" w:rsidRDefault="00A00CF6" w:rsidP="00D03B0C"/>
        </w:tc>
        <w:tc>
          <w:tcPr>
            <w:tcW w:w="850" w:type="dxa"/>
            <w:shd w:val="clear" w:color="auto" w:fill="auto"/>
          </w:tcPr>
          <w:p w14:paraId="68389EB9" w14:textId="77777777" w:rsidR="00A00CF6" w:rsidRPr="00D03B0C" w:rsidRDefault="00A00CF6" w:rsidP="00D03B0C"/>
        </w:tc>
        <w:tc>
          <w:tcPr>
            <w:tcW w:w="851" w:type="dxa"/>
            <w:shd w:val="clear" w:color="auto" w:fill="auto"/>
          </w:tcPr>
          <w:p w14:paraId="5F2E033C" w14:textId="77777777" w:rsidR="00A00CF6" w:rsidRPr="00D03B0C" w:rsidRDefault="00A00CF6" w:rsidP="00D03B0C"/>
        </w:tc>
        <w:tc>
          <w:tcPr>
            <w:tcW w:w="850" w:type="dxa"/>
            <w:shd w:val="clear" w:color="auto" w:fill="auto"/>
          </w:tcPr>
          <w:p w14:paraId="033F0172" w14:textId="77777777" w:rsidR="00A00CF6" w:rsidRPr="00D03B0C" w:rsidRDefault="00A00CF6" w:rsidP="00D03B0C"/>
        </w:tc>
      </w:tr>
      <w:tr w:rsidR="00A00CF6" w14:paraId="0EC1C9FC" w14:textId="77777777" w:rsidTr="00A00CF6">
        <w:trPr>
          <w:jc w:val="center"/>
        </w:trPr>
        <w:tc>
          <w:tcPr>
            <w:tcW w:w="4297" w:type="dxa"/>
            <w:shd w:val="clear" w:color="auto" w:fill="auto"/>
          </w:tcPr>
          <w:p w14:paraId="3DB669D6" w14:textId="6E9D5580" w:rsidR="00A00CF6" w:rsidRPr="00594EF3" w:rsidRDefault="00954DF1" w:rsidP="00A00CF6">
            <w:pPr>
              <w:pStyle w:val="ListBullet"/>
              <w:numPr>
                <w:ilvl w:val="0"/>
                <w:numId w:val="0"/>
              </w:numPr>
              <w:jc w:val="right"/>
            </w:pPr>
            <w:r>
              <w:t>Whole College</w:t>
            </w:r>
          </w:p>
        </w:tc>
        <w:tc>
          <w:tcPr>
            <w:tcW w:w="790" w:type="dxa"/>
            <w:shd w:val="clear" w:color="auto" w:fill="auto"/>
          </w:tcPr>
          <w:p w14:paraId="1A070592" w14:textId="19446570" w:rsidR="00A00CF6" w:rsidRDefault="00954DF1" w:rsidP="00D03B0C">
            <w:r>
              <w:t>3.19</w:t>
            </w:r>
          </w:p>
        </w:tc>
        <w:tc>
          <w:tcPr>
            <w:tcW w:w="720" w:type="dxa"/>
          </w:tcPr>
          <w:p w14:paraId="7F85F193" w14:textId="4FD081FE" w:rsidR="00A00CF6" w:rsidRDefault="00954DF1" w:rsidP="00D03B0C">
            <w:r>
              <w:t>3.25</w:t>
            </w:r>
          </w:p>
        </w:tc>
        <w:tc>
          <w:tcPr>
            <w:tcW w:w="851" w:type="dxa"/>
          </w:tcPr>
          <w:p w14:paraId="2A1791C0" w14:textId="12FBFE3F" w:rsidR="00A00CF6" w:rsidRDefault="00954DF1" w:rsidP="00D03B0C">
            <w:r>
              <w:t>3.16</w:t>
            </w:r>
          </w:p>
        </w:tc>
        <w:tc>
          <w:tcPr>
            <w:tcW w:w="708" w:type="dxa"/>
            <w:shd w:val="clear" w:color="auto" w:fill="auto"/>
          </w:tcPr>
          <w:p w14:paraId="1A6D68D0" w14:textId="1023BD2C" w:rsidR="00A00CF6" w:rsidRDefault="00954DF1" w:rsidP="00D03B0C">
            <w:r>
              <w:t>3.25</w:t>
            </w:r>
          </w:p>
        </w:tc>
        <w:tc>
          <w:tcPr>
            <w:tcW w:w="851" w:type="dxa"/>
            <w:shd w:val="clear" w:color="auto" w:fill="auto"/>
          </w:tcPr>
          <w:p w14:paraId="725AC4EF" w14:textId="77777777" w:rsidR="00A00CF6" w:rsidRPr="00D03B0C" w:rsidRDefault="00A00CF6" w:rsidP="00D03B0C"/>
        </w:tc>
        <w:tc>
          <w:tcPr>
            <w:tcW w:w="850" w:type="dxa"/>
            <w:shd w:val="clear" w:color="auto" w:fill="auto"/>
          </w:tcPr>
          <w:p w14:paraId="1F41E8B5" w14:textId="77777777" w:rsidR="00A00CF6" w:rsidRPr="00D03B0C" w:rsidRDefault="00A00CF6" w:rsidP="00D03B0C"/>
        </w:tc>
        <w:tc>
          <w:tcPr>
            <w:tcW w:w="851" w:type="dxa"/>
            <w:shd w:val="clear" w:color="auto" w:fill="auto"/>
          </w:tcPr>
          <w:p w14:paraId="3E89202D" w14:textId="77777777" w:rsidR="00A00CF6" w:rsidRPr="00D03B0C" w:rsidRDefault="00A00CF6" w:rsidP="00D03B0C"/>
        </w:tc>
        <w:tc>
          <w:tcPr>
            <w:tcW w:w="850" w:type="dxa"/>
            <w:shd w:val="clear" w:color="auto" w:fill="auto"/>
          </w:tcPr>
          <w:p w14:paraId="2DA42F92" w14:textId="77777777" w:rsidR="00A00CF6" w:rsidRPr="00D03B0C" w:rsidRDefault="00A00CF6" w:rsidP="00D03B0C"/>
        </w:tc>
      </w:tr>
      <w:tr w:rsidR="00954DF1" w14:paraId="63EEB7C9" w14:textId="77777777" w:rsidTr="00E80822">
        <w:trPr>
          <w:jc w:val="center"/>
        </w:trPr>
        <w:tc>
          <w:tcPr>
            <w:tcW w:w="4297" w:type="dxa"/>
            <w:shd w:val="clear" w:color="auto" w:fill="auto"/>
          </w:tcPr>
          <w:p w14:paraId="2915F284" w14:textId="5CAA4D94" w:rsidR="00954DF1" w:rsidRDefault="00954DF1" w:rsidP="00A00CF6">
            <w:pPr>
              <w:pStyle w:val="ListBullet"/>
              <w:numPr>
                <w:ilvl w:val="0"/>
                <w:numId w:val="0"/>
              </w:numPr>
              <w:jc w:val="right"/>
            </w:pPr>
            <w:r>
              <w:t>Year 11</w:t>
            </w:r>
          </w:p>
        </w:tc>
        <w:tc>
          <w:tcPr>
            <w:tcW w:w="790" w:type="dxa"/>
            <w:shd w:val="clear" w:color="auto" w:fill="FFFFFF" w:themeFill="background1"/>
          </w:tcPr>
          <w:p w14:paraId="4A0573D1" w14:textId="3554F795" w:rsidR="00954DF1" w:rsidRDefault="00954DF1" w:rsidP="00D03B0C">
            <w:r>
              <w:t>3.12</w:t>
            </w:r>
          </w:p>
        </w:tc>
        <w:tc>
          <w:tcPr>
            <w:tcW w:w="720" w:type="dxa"/>
            <w:shd w:val="clear" w:color="auto" w:fill="FFFFFF" w:themeFill="background1"/>
          </w:tcPr>
          <w:p w14:paraId="4E38E5CD" w14:textId="60778EEE" w:rsidR="00954DF1" w:rsidRDefault="00954DF1" w:rsidP="00D03B0C">
            <w:r>
              <w:t>3.15</w:t>
            </w:r>
          </w:p>
        </w:tc>
        <w:tc>
          <w:tcPr>
            <w:tcW w:w="851" w:type="dxa"/>
          </w:tcPr>
          <w:p w14:paraId="77D4D13F" w14:textId="1ECF6F4B" w:rsidR="00954DF1" w:rsidRDefault="00954DF1" w:rsidP="00D03B0C">
            <w:r>
              <w:t>3.12</w:t>
            </w:r>
          </w:p>
        </w:tc>
        <w:tc>
          <w:tcPr>
            <w:tcW w:w="708" w:type="dxa"/>
            <w:shd w:val="clear" w:color="auto" w:fill="auto"/>
          </w:tcPr>
          <w:p w14:paraId="3A6C4DAE" w14:textId="540B9159" w:rsidR="00954DF1" w:rsidRDefault="00954DF1" w:rsidP="00D03B0C">
            <w:r>
              <w:t>3.22</w:t>
            </w:r>
          </w:p>
        </w:tc>
        <w:tc>
          <w:tcPr>
            <w:tcW w:w="851" w:type="dxa"/>
            <w:shd w:val="clear" w:color="auto" w:fill="auto"/>
          </w:tcPr>
          <w:p w14:paraId="67ECE659" w14:textId="77777777" w:rsidR="00954DF1" w:rsidRPr="00D03B0C" w:rsidRDefault="00954DF1" w:rsidP="00D03B0C"/>
        </w:tc>
        <w:tc>
          <w:tcPr>
            <w:tcW w:w="850" w:type="dxa"/>
            <w:shd w:val="clear" w:color="auto" w:fill="auto"/>
          </w:tcPr>
          <w:p w14:paraId="064DD1E2" w14:textId="77777777" w:rsidR="00954DF1" w:rsidRPr="00D03B0C" w:rsidRDefault="00954DF1" w:rsidP="00D03B0C"/>
        </w:tc>
        <w:tc>
          <w:tcPr>
            <w:tcW w:w="851" w:type="dxa"/>
            <w:shd w:val="clear" w:color="auto" w:fill="auto"/>
          </w:tcPr>
          <w:p w14:paraId="72796DA4" w14:textId="77777777" w:rsidR="00954DF1" w:rsidRPr="00D03B0C" w:rsidRDefault="00954DF1" w:rsidP="00D03B0C"/>
        </w:tc>
        <w:tc>
          <w:tcPr>
            <w:tcW w:w="850" w:type="dxa"/>
            <w:shd w:val="clear" w:color="auto" w:fill="auto"/>
          </w:tcPr>
          <w:p w14:paraId="377022AA" w14:textId="77777777" w:rsidR="00954DF1" w:rsidRPr="00D03B0C" w:rsidRDefault="00954DF1" w:rsidP="00D03B0C"/>
        </w:tc>
      </w:tr>
      <w:tr w:rsidR="00A00CF6" w14:paraId="5E0F51E4" w14:textId="77777777" w:rsidTr="00E80822">
        <w:trPr>
          <w:jc w:val="center"/>
        </w:trPr>
        <w:tc>
          <w:tcPr>
            <w:tcW w:w="4297" w:type="dxa"/>
            <w:shd w:val="clear" w:color="auto" w:fill="auto"/>
          </w:tcPr>
          <w:p w14:paraId="5369A535" w14:textId="5FFB9978" w:rsidR="00A00CF6" w:rsidRPr="00594EF3" w:rsidRDefault="00A00CF6" w:rsidP="00A00CF6">
            <w:pPr>
              <w:pStyle w:val="ListBullet"/>
              <w:numPr>
                <w:ilvl w:val="0"/>
                <w:numId w:val="0"/>
              </w:numPr>
              <w:jc w:val="right"/>
            </w:pPr>
            <w:r>
              <w:t>Year 12</w:t>
            </w:r>
          </w:p>
        </w:tc>
        <w:tc>
          <w:tcPr>
            <w:tcW w:w="790" w:type="dxa"/>
            <w:shd w:val="clear" w:color="auto" w:fill="auto"/>
          </w:tcPr>
          <w:p w14:paraId="16F3B20E" w14:textId="67549C6D" w:rsidR="00A00CF6" w:rsidRDefault="00954DF1" w:rsidP="00D03B0C">
            <w:r>
              <w:t>3.29</w:t>
            </w:r>
          </w:p>
        </w:tc>
        <w:tc>
          <w:tcPr>
            <w:tcW w:w="720" w:type="dxa"/>
          </w:tcPr>
          <w:p w14:paraId="7C97291F" w14:textId="2F6D287A" w:rsidR="00A00CF6" w:rsidRDefault="00954DF1" w:rsidP="00D03B0C">
            <w:r>
              <w:t>3.40</w:t>
            </w:r>
          </w:p>
        </w:tc>
        <w:tc>
          <w:tcPr>
            <w:tcW w:w="851" w:type="dxa"/>
            <w:shd w:val="clear" w:color="auto" w:fill="FFFFFF" w:themeFill="background1"/>
          </w:tcPr>
          <w:p w14:paraId="4498BA80" w14:textId="7395A00F" w:rsidR="00A00CF6" w:rsidRDefault="00954DF1" w:rsidP="00D03B0C">
            <w:r>
              <w:t>3.20</w:t>
            </w:r>
          </w:p>
        </w:tc>
        <w:tc>
          <w:tcPr>
            <w:tcW w:w="708" w:type="dxa"/>
            <w:shd w:val="clear" w:color="auto" w:fill="FFFFFF" w:themeFill="background1"/>
          </w:tcPr>
          <w:p w14:paraId="1E0287B9" w14:textId="03CC2C46" w:rsidR="00A00CF6" w:rsidRDefault="00954DF1" w:rsidP="00D03B0C">
            <w:r>
              <w:t>3.28</w:t>
            </w:r>
          </w:p>
        </w:tc>
        <w:tc>
          <w:tcPr>
            <w:tcW w:w="851" w:type="dxa"/>
            <w:shd w:val="clear" w:color="auto" w:fill="auto"/>
          </w:tcPr>
          <w:p w14:paraId="621D865E" w14:textId="77777777" w:rsidR="00A00CF6" w:rsidRPr="00D03B0C" w:rsidRDefault="00A00CF6" w:rsidP="00D03B0C"/>
        </w:tc>
        <w:tc>
          <w:tcPr>
            <w:tcW w:w="850" w:type="dxa"/>
            <w:shd w:val="clear" w:color="auto" w:fill="auto"/>
          </w:tcPr>
          <w:p w14:paraId="21B8ACE6" w14:textId="77777777" w:rsidR="00A00CF6" w:rsidRPr="00D03B0C" w:rsidRDefault="00A00CF6" w:rsidP="00D03B0C"/>
        </w:tc>
        <w:tc>
          <w:tcPr>
            <w:tcW w:w="851" w:type="dxa"/>
            <w:shd w:val="clear" w:color="auto" w:fill="auto"/>
          </w:tcPr>
          <w:p w14:paraId="44CDCAD9" w14:textId="77777777" w:rsidR="00A00CF6" w:rsidRPr="00D03B0C" w:rsidRDefault="00A00CF6" w:rsidP="00D03B0C"/>
        </w:tc>
        <w:tc>
          <w:tcPr>
            <w:tcW w:w="850" w:type="dxa"/>
            <w:shd w:val="clear" w:color="auto" w:fill="auto"/>
          </w:tcPr>
          <w:p w14:paraId="25EBB1C3" w14:textId="77777777" w:rsidR="00A00CF6" w:rsidRPr="00D03B0C" w:rsidRDefault="00A00CF6" w:rsidP="00D03B0C"/>
        </w:tc>
      </w:tr>
    </w:tbl>
    <w:p w14:paraId="39A7990B" w14:textId="0C99464A" w:rsidR="00F72EA8" w:rsidRPr="00F72EA8" w:rsidRDefault="008A01DA" w:rsidP="00F72EA8">
      <w:pPr>
        <w:pStyle w:val="Heading4"/>
      </w:pPr>
      <w:r>
        <w:t>Perception Data</w:t>
      </w:r>
    </w:p>
    <w:tbl>
      <w:tblPr>
        <w:tblStyle w:val="TableGrid"/>
        <w:tblW w:w="10744" w:type="dxa"/>
        <w:jc w:val="center"/>
        <w:tblCellMar>
          <w:top w:w="57" w:type="dxa"/>
          <w:left w:w="57" w:type="dxa"/>
          <w:bottom w:w="57" w:type="dxa"/>
          <w:right w:w="57" w:type="dxa"/>
        </w:tblCellMar>
        <w:tblLook w:val="04A0" w:firstRow="1" w:lastRow="0" w:firstColumn="1" w:lastColumn="0" w:noHBand="0" w:noVBand="1"/>
      </w:tblPr>
      <w:tblGrid>
        <w:gridCol w:w="4306"/>
        <w:gridCol w:w="643"/>
        <w:gridCol w:w="776"/>
        <w:gridCol w:w="649"/>
        <w:gridCol w:w="851"/>
        <w:gridCol w:w="1167"/>
        <w:gridCol w:w="784"/>
        <w:gridCol w:w="784"/>
        <w:gridCol w:w="784"/>
      </w:tblGrid>
      <w:tr w:rsidR="00EC2E1C" w14:paraId="4EF7DD9F" w14:textId="77777777" w:rsidTr="00EC2E1C">
        <w:trPr>
          <w:trHeight w:val="435"/>
          <w:jc w:val="center"/>
        </w:trPr>
        <w:tc>
          <w:tcPr>
            <w:tcW w:w="4306" w:type="dxa"/>
            <w:shd w:val="clear" w:color="auto" w:fill="auto"/>
          </w:tcPr>
          <w:p w14:paraId="13269C94" w14:textId="77777777" w:rsidR="00EC2E1C" w:rsidRPr="006D2F6B" w:rsidRDefault="00EC2E1C" w:rsidP="00D03B0C">
            <w:pPr>
              <w:rPr>
                <w:b/>
              </w:rPr>
            </w:pPr>
            <w:r w:rsidRPr="006D2F6B">
              <w:rPr>
                <w:b/>
              </w:rPr>
              <w:t>Targets or Measures</w:t>
            </w:r>
          </w:p>
        </w:tc>
        <w:tc>
          <w:tcPr>
            <w:tcW w:w="1419" w:type="dxa"/>
            <w:gridSpan w:val="2"/>
            <w:shd w:val="clear" w:color="auto" w:fill="auto"/>
          </w:tcPr>
          <w:p w14:paraId="4B51A1C5" w14:textId="528E1A88" w:rsidR="00EC2E1C" w:rsidRPr="006D2F6B" w:rsidRDefault="00EC2E1C" w:rsidP="00EC2E1C">
            <w:pPr>
              <w:jc w:val="center"/>
              <w:rPr>
                <w:b/>
              </w:rPr>
            </w:pPr>
            <w:r>
              <w:rPr>
                <w:b/>
              </w:rPr>
              <w:t>Base - 2020</w:t>
            </w:r>
          </w:p>
        </w:tc>
        <w:tc>
          <w:tcPr>
            <w:tcW w:w="1500" w:type="dxa"/>
            <w:gridSpan w:val="2"/>
            <w:shd w:val="clear" w:color="auto" w:fill="auto"/>
          </w:tcPr>
          <w:p w14:paraId="15B7F1C3" w14:textId="08C597FF" w:rsidR="00EC2E1C" w:rsidRPr="006D2F6B" w:rsidRDefault="00EC2E1C" w:rsidP="00EC2E1C">
            <w:pPr>
              <w:jc w:val="center"/>
              <w:rPr>
                <w:b/>
              </w:rPr>
            </w:pPr>
            <w:r w:rsidRPr="006D2F6B">
              <w:rPr>
                <w:b/>
              </w:rPr>
              <w:t xml:space="preserve">Year </w:t>
            </w:r>
            <w:r>
              <w:rPr>
                <w:b/>
              </w:rPr>
              <w:t>1 - 2021</w:t>
            </w:r>
          </w:p>
        </w:tc>
        <w:tc>
          <w:tcPr>
            <w:tcW w:w="1167" w:type="dxa"/>
            <w:shd w:val="clear" w:color="auto" w:fill="auto"/>
          </w:tcPr>
          <w:p w14:paraId="4CC28E98" w14:textId="77777777" w:rsidR="00EC2E1C" w:rsidRPr="006D2F6B" w:rsidRDefault="00EC2E1C" w:rsidP="00D56F59">
            <w:pPr>
              <w:jc w:val="center"/>
              <w:rPr>
                <w:b/>
              </w:rPr>
            </w:pPr>
            <w:r w:rsidRPr="006D2F6B">
              <w:rPr>
                <w:b/>
              </w:rPr>
              <w:t>Year 2</w:t>
            </w:r>
          </w:p>
        </w:tc>
        <w:tc>
          <w:tcPr>
            <w:tcW w:w="784" w:type="dxa"/>
            <w:shd w:val="clear" w:color="auto" w:fill="auto"/>
          </w:tcPr>
          <w:p w14:paraId="5EE5455E" w14:textId="77777777" w:rsidR="00EC2E1C" w:rsidRPr="006D2F6B" w:rsidRDefault="00EC2E1C" w:rsidP="00D56F59">
            <w:pPr>
              <w:jc w:val="center"/>
              <w:rPr>
                <w:b/>
              </w:rPr>
            </w:pPr>
            <w:r w:rsidRPr="006D2F6B">
              <w:rPr>
                <w:b/>
              </w:rPr>
              <w:t>Year 3</w:t>
            </w:r>
          </w:p>
        </w:tc>
        <w:tc>
          <w:tcPr>
            <w:tcW w:w="784" w:type="dxa"/>
            <w:shd w:val="clear" w:color="auto" w:fill="auto"/>
          </w:tcPr>
          <w:p w14:paraId="1CA3136C" w14:textId="77777777" w:rsidR="00EC2E1C" w:rsidRPr="006D2F6B" w:rsidRDefault="00EC2E1C" w:rsidP="00D56F59">
            <w:pPr>
              <w:jc w:val="center"/>
              <w:rPr>
                <w:b/>
              </w:rPr>
            </w:pPr>
            <w:r w:rsidRPr="006D2F6B">
              <w:rPr>
                <w:b/>
              </w:rPr>
              <w:t>Year 4</w:t>
            </w:r>
          </w:p>
        </w:tc>
        <w:tc>
          <w:tcPr>
            <w:tcW w:w="784" w:type="dxa"/>
            <w:shd w:val="clear" w:color="auto" w:fill="auto"/>
          </w:tcPr>
          <w:p w14:paraId="372CDBC5" w14:textId="77777777" w:rsidR="00EC2E1C" w:rsidRPr="006D2F6B" w:rsidRDefault="00EC2E1C" w:rsidP="00D56F59">
            <w:pPr>
              <w:jc w:val="center"/>
              <w:rPr>
                <w:b/>
              </w:rPr>
            </w:pPr>
            <w:r w:rsidRPr="006D2F6B">
              <w:rPr>
                <w:b/>
              </w:rPr>
              <w:t>Year 5</w:t>
            </w:r>
          </w:p>
        </w:tc>
      </w:tr>
      <w:tr w:rsidR="00EC2E1C" w14:paraId="63F12F11" w14:textId="77777777" w:rsidTr="00EC2E1C">
        <w:trPr>
          <w:jc w:val="center"/>
        </w:trPr>
        <w:tc>
          <w:tcPr>
            <w:tcW w:w="4306" w:type="dxa"/>
            <w:shd w:val="clear" w:color="auto" w:fill="auto"/>
          </w:tcPr>
          <w:p w14:paraId="2A8F9015" w14:textId="77777777" w:rsidR="00EC2E1C" w:rsidRPr="006D2F6B" w:rsidRDefault="00EC2E1C" w:rsidP="00D03B0C">
            <w:pPr>
              <w:rPr>
                <w:b/>
              </w:rPr>
            </w:pPr>
          </w:p>
        </w:tc>
        <w:tc>
          <w:tcPr>
            <w:tcW w:w="643" w:type="dxa"/>
            <w:shd w:val="clear" w:color="auto" w:fill="auto"/>
          </w:tcPr>
          <w:p w14:paraId="60974979" w14:textId="3AB2811B" w:rsidR="00EC2E1C" w:rsidRDefault="00EC2E1C" w:rsidP="00D56F59">
            <w:pPr>
              <w:jc w:val="center"/>
              <w:rPr>
                <w:b/>
              </w:rPr>
            </w:pPr>
            <w:r>
              <w:rPr>
                <w:b/>
              </w:rPr>
              <w:t>DC</w:t>
            </w:r>
          </w:p>
        </w:tc>
        <w:tc>
          <w:tcPr>
            <w:tcW w:w="776" w:type="dxa"/>
            <w:shd w:val="clear" w:color="auto" w:fill="auto"/>
          </w:tcPr>
          <w:p w14:paraId="26EA8A9D" w14:textId="0EF756E4" w:rsidR="00EC2E1C" w:rsidRDefault="00EC2E1C" w:rsidP="00D56F59">
            <w:pPr>
              <w:jc w:val="center"/>
              <w:rPr>
                <w:b/>
              </w:rPr>
            </w:pPr>
            <w:r>
              <w:rPr>
                <w:b/>
              </w:rPr>
              <w:t>System</w:t>
            </w:r>
          </w:p>
        </w:tc>
        <w:tc>
          <w:tcPr>
            <w:tcW w:w="649" w:type="dxa"/>
            <w:shd w:val="clear" w:color="auto" w:fill="auto"/>
          </w:tcPr>
          <w:p w14:paraId="0ED472D8" w14:textId="6C199BDD" w:rsidR="00EC2E1C" w:rsidRPr="006D2F6B" w:rsidRDefault="00EC2E1C" w:rsidP="00D56F59">
            <w:pPr>
              <w:jc w:val="center"/>
              <w:rPr>
                <w:b/>
              </w:rPr>
            </w:pPr>
            <w:r>
              <w:rPr>
                <w:b/>
              </w:rPr>
              <w:t>DC</w:t>
            </w:r>
          </w:p>
        </w:tc>
        <w:tc>
          <w:tcPr>
            <w:tcW w:w="851" w:type="dxa"/>
            <w:shd w:val="clear" w:color="auto" w:fill="auto"/>
          </w:tcPr>
          <w:p w14:paraId="074678BA" w14:textId="0494CC17" w:rsidR="00EC2E1C" w:rsidRDefault="00EC2E1C" w:rsidP="00D56F59">
            <w:pPr>
              <w:jc w:val="center"/>
              <w:rPr>
                <w:b/>
              </w:rPr>
            </w:pPr>
            <w:r>
              <w:rPr>
                <w:b/>
              </w:rPr>
              <w:t>System</w:t>
            </w:r>
          </w:p>
        </w:tc>
        <w:tc>
          <w:tcPr>
            <w:tcW w:w="1167" w:type="dxa"/>
            <w:shd w:val="clear" w:color="auto" w:fill="auto"/>
          </w:tcPr>
          <w:p w14:paraId="35922A26" w14:textId="77777777" w:rsidR="00EC2E1C" w:rsidRPr="006D2F6B" w:rsidRDefault="00EC2E1C" w:rsidP="00D56F59">
            <w:pPr>
              <w:jc w:val="center"/>
              <w:rPr>
                <w:b/>
              </w:rPr>
            </w:pPr>
          </w:p>
        </w:tc>
        <w:tc>
          <w:tcPr>
            <w:tcW w:w="784" w:type="dxa"/>
            <w:shd w:val="clear" w:color="auto" w:fill="auto"/>
          </w:tcPr>
          <w:p w14:paraId="4367BE95" w14:textId="77777777" w:rsidR="00EC2E1C" w:rsidRPr="006D2F6B" w:rsidRDefault="00EC2E1C" w:rsidP="00D56F59">
            <w:pPr>
              <w:jc w:val="center"/>
              <w:rPr>
                <w:b/>
              </w:rPr>
            </w:pPr>
          </w:p>
        </w:tc>
        <w:tc>
          <w:tcPr>
            <w:tcW w:w="784" w:type="dxa"/>
            <w:shd w:val="clear" w:color="auto" w:fill="auto"/>
          </w:tcPr>
          <w:p w14:paraId="7E073E9B" w14:textId="77777777" w:rsidR="00EC2E1C" w:rsidRPr="006D2F6B" w:rsidRDefault="00EC2E1C" w:rsidP="00D56F59">
            <w:pPr>
              <w:jc w:val="center"/>
              <w:rPr>
                <w:b/>
              </w:rPr>
            </w:pPr>
          </w:p>
        </w:tc>
        <w:tc>
          <w:tcPr>
            <w:tcW w:w="784" w:type="dxa"/>
            <w:shd w:val="clear" w:color="auto" w:fill="auto"/>
          </w:tcPr>
          <w:p w14:paraId="76F9B066" w14:textId="77777777" w:rsidR="00EC2E1C" w:rsidRPr="006D2F6B" w:rsidRDefault="00EC2E1C" w:rsidP="00D56F59">
            <w:pPr>
              <w:jc w:val="center"/>
              <w:rPr>
                <w:b/>
              </w:rPr>
            </w:pPr>
          </w:p>
        </w:tc>
      </w:tr>
      <w:tr w:rsidR="00336EBC" w14:paraId="1F17A2EF" w14:textId="77777777" w:rsidTr="00EC2E1C">
        <w:trPr>
          <w:jc w:val="center"/>
        </w:trPr>
        <w:tc>
          <w:tcPr>
            <w:tcW w:w="4306" w:type="dxa"/>
            <w:shd w:val="clear" w:color="auto" w:fill="auto"/>
          </w:tcPr>
          <w:p w14:paraId="6087A636" w14:textId="2DB5D477" w:rsidR="00336EBC" w:rsidRPr="00AC61FB" w:rsidRDefault="00336EBC" w:rsidP="00D03B0C">
            <w:pPr>
              <w:pStyle w:val="PlainText"/>
            </w:pPr>
            <w:r w:rsidRPr="00AC61FB">
              <w:t>Academic Emphasis</w:t>
            </w:r>
          </w:p>
          <w:p w14:paraId="33A49360" w14:textId="2CAFEC8C" w:rsidR="00336EBC" w:rsidRPr="00AC61FB" w:rsidRDefault="00336EBC" w:rsidP="00D03B0C">
            <w:pPr>
              <w:pStyle w:val="PlainText"/>
              <w:rPr>
                <w:i/>
                <w:iCs/>
              </w:rPr>
            </w:pPr>
            <w:r w:rsidRPr="00AC61FB">
              <w:rPr>
                <w:i/>
                <w:iCs/>
              </w:rPr>
              <w:t>Students</w:t>
            </w:r>
          </w:p>
          <w:p w14:paraId="7C0FDFD7" w14:textId="3B8B0F27" w:rsidR="00336EBC" w:rsidRPr="006D2F6B" w:rsidRDefault="00336EBC" w:rsidP="00D03B0C">
            <w:pPr>
              <w:pStyle w:val="PlainText"/>
            </w:pPr>
            <w:r w:rsidRPr="00AC61FB">
              <w:rPr>
                <w:i/>
                <w:iCs/>
              </w:rPr>
              <w:t>Parents</w:t>
            </w:r>
          </w:p>
        </w:tc>
        <w:tc>
          <w:tcPr>
            <w:tcW w:w="643" w:type="dxa"/>
            <w:shd w:val="clear" w:color="auto" w:fill="auto"/>
          </w:tcPr>
          <w:p w14:paraId="3955C502" w14:textId="77777777" w:rsidR="00336EBC" w:rsidRDefault="00336EBC" w:rsidP="00D03B0C"/>
          <w:p w14:paraId="4D17E9C2" w14:textId="6674E48E" w:rsidR="00336EBC" w:rsidRDefault="00F86837" w:rsidP="00D03B0C">
            <w:r>
              <w:t>3.8</w:t>
            </w:r>
          </w:p>
          <w:p w14:paraId="5DF9D332" w14:textId="3CFA5CE5" w:rsidR="00336EBC" w:rsidRDefault="00336EBC" w:rsidP="00D03B0C">
            <w:r>
              <w:t>3.</w:t>
            </w:r>
            <w:r w:rsidR="00F86837">
              <w:t>6</w:t>
            </w:r>
          </w:p>
        </w:tc>
        <w:tc>
          <w:tcPr>
            <w:tcW w:w="776" w:type="dxa"/>
            <w:shd w:val="clear" w:color="auto" w:fill="auto"/>
          </w:tcPr>
          <w:p w14:paraId="54501326" w14:textId="77777777" w:rsidR="00336EBC" w:rsidRDefault="00336EBC" w:rsidP="00D03B0C"/>
          <w:p w14:paraId="51423EAF" w14:textId="66EDA9EF" w:rsidR="00F86837" w:rsidRDefault="00F86837" w:rsidP="00D03B0C">
            <w:r>
              <w:t>3.9</w:t>
            </w:r>
          </w:p>
          <w:p w14:paraId="080B28F4" w14:textId="13A53077" w:rsidR="00F86837" w:rsidRPr="006D2F6B" w:rsidRDefault="00F86837" w:rsidP="00D03B0C">
            <w:r>
              <w:t>3.8</w:t>
            </w:r>
          </w:p>
        </w:tc>
        <w:tc>
          <w:tcPr>
            <w:tcW w:w="649" w:type="dxa"/>
            <w:shd w:val="clear" w:color="auto" w:fill="auto"/>
          </w:tcPr>
          <w:p w14:paraId="33E9DB5F" w14:textId="77777777" w:rsidR="00336EBC" w:rsidRDefault="00336EBC" w:rsidP="00D03B0C"/>
          <w:p w14:paraId="3B3D1E89" w14:textId="6B35637A" w:rsidR="00336EBC" w:rsidRDefault="00F86837" w:rsidP="00D03B0C">
            <w:r>
              <w:t>3.8</w:t>
            </w:r>
          </w:p>
          <w:p w14:paraId="58C423F0" w14:textId="6EF48748" w:rsidR="00336EBC" w:rsidRDefault="00F86837" w:rsidP="00D03B0C">
            <w:r>
              <w:t>3.8</w:t>
            </w:r>
          </w:p>
        </w:tc>
        <w:tc>
          <w:tcPr>
            <w:tcW w:w="851" w:type="dxa"/>
            <w:shd w:val="clear" w:color="auto" w:fill="auto"/>
          </w:tcPr>
          <w:p w14:paraId="138E5C38" w14:textId="77777777" w:rsidR="00336EBC" w:rsidRDefault="00336EBC" w:rsidP="00D03B0C"/>
          <w:p w14:paraId="2EA3C1ED" w14:textId="06AEA581" w:rsidR="00F86837" w:rsidRDefault="00F86837" w:rsidP="00D03B0C">
            <w:r>
              <w:t>3.9</w:t>
            </w:r>
          </w:p>
          <w:p w14:paraId="2F2ED735" w14:textId="45833853" w:rsidR="00F86837" w:rsidRPr="006D2F6B" w:rsidRDefault="00F86837" w:rsidP="00D03B0C">
            <w:r>
              <w:t>3.8</w:t>
            </w:r>
          </w:p>
        </w:tc>
        <w:tc>
          <w:tcPr>
            <w:tcW w:w="1167" w:type="dxa"/>
            <w:shd w:val="clear" w:color="auto" w:fill="auto"/>
          </w:tcPr>
          <w:p w14:paraId="3302D96E" w14:textId="77777777" w:rsidR="00336EBC" w:rsidRPr="006D2F6B" w:rsidRDefault="00336EBC" w:rsidP="00D03B0C"/>
        </w:tc>
        <w:tc>
          <w:tcPr>
            <w:tcW w:w="784" w:type="dxa"/>
            <w:shd w:val="clear" w:color="auto" w:fill="auto"/>
          </w:tcPr>
          <w:p w14:paraId="0F5C2E40" w14:textId="77777777" w:rsidR="00336EBC" w:rsidRPr="006D2F6B" w:rsidRDefault="00336EBC" w:rsidP="00D03B0C"/>
        </w:tc>
        <w:tc>
          <w:tcPr>
            <w:tcW w:w="784" w:type="dxa"/>
            <w:shd w:val="clear" w:color="auto" w:fill="auto"/>
          </w:tcPr>
          <w:p w14:paraId="5E670632" w14:textId="77777777" w:rsidR="00336EBC" w:rsidRPr="006D2F6B" w:rsidRDefault="00336EBC" w:rsidP="00D03B0C"/>
        </w:tc>
        <w:tc>
          <w:tcPr>
            <w:tcW w:w="784" w:type="dxa"/>
            <w:shd w:val="clear" w:color="auto" w:fill="auto"/>
          </w:tcPr>
          <w:p w14:paraId="316587CD" w14:textId="77777777" w:rsidR="00336EBC" w:rsidRPr="006D2F6B" w:rsidRDefault="00336EBC" w:rsidP="00D03B0C"/>
        </w:tc>
      </w:tr>
      <w:tr w:rsidR="00336EBC" w14:paraId="2B179974" w14:textId="77777777" w:rsidTr="00EC2E1C">
        <w:trPr>
          <w:jc w:val="center"/>
        </w:trPr>
        <w:tc>
          <w:tcPr>
            <w:tcW w:w="4306" w:type="dxa"/>
            <w:shd w:val="clear" w:color="auto" w:fill="auto"/>
          </w:tcPr>
          <w:p w14:paraId="734B3DD0" w14:textId="755B91CC" w:rsidR="00336EBC" w:rsidRPr="00AC61FB" w:rsidRDefault="00336EBC" w:rsidP="00D03B0C">
            <w:pPr>
              <w:pStyle w:val="PlainText"/>
            </w:pPr>
            <w:r w:rsidRPr="00AC61FB">
              <w:t>School Identification</w:t>
            </w:r>
          </w:p>
        </w:tc>
        <w:tc>
          <w:tcPr>
            <w:tcW w:w="643" w:type="dxa"/>
            <w:shd w:val="clear" w:color="auto" w:fill="auto"/>
          </w:tcPr>
          <w:p w14:paraId="174D5362" w14:textId="77777777" w:rsidR="00336EBC" w:rsidRPr="006D2F6B" w:rsidRDefault="00336EBC" w:rsidP="00D03B0C">
            <w:r>
              <w:t>3.6</w:t>
            </w:r>
          </w:p>
        </w:tc>
        <w:tc>
          <w:tcPr>
            <w:tcW w:w="776" w:type="dxa"/>
            <w:shd w:val="clear" w:color="auto" w:fill="auto"/>
          </w:tcPr>
          <w:p w14:paraId="288F3931" w14:textId="72A63EB9" w:rsidR="00336EBC" w:rsidRPr="006D2F6B" w:rsidRDefault="00F86837" w:rsidP="00D03B0C">
            <w:r>
              <w:t>3.7</w:t>
            </w:r>
          </w:p>
        </w:tc>
        <w:tc>
          <w:tcPr>
            <w:tcW w:w="649" w:type="dxa"/>
            <w:shd w:val="clear" w:color="auto" w:fill="auto"/>
          </w:tcPr>
          <w:p w14:paraId="32E2A274" w14:textId="77777777" w:rsidR="00336EBC" w:rsidRPr="006D2F6B" w:rsidRDefault="00336EBC" w:rsidP="00D03B0C">
            <w:r>
              <w:t>3.5</w:t>
            </w:r>
          </w:p>
        </w:tc>
        <w:tc>
          <w:tcPr>
            <w:tcW w:w="851" w:type="dxa"/>
            <w:shd w:val="clear" w:color="auto" w:fill="auto"/>
          </w:tcPr>
          <w:p w14:paraId="1991E48B" w14:textId="77DD144F" w:rsidR="00336EBC" w:rsidRPr="006D2F6B" w:rsidRDefault="00F86837" w:rsidP="00D03B0C">
            <w:r>
              <w:t>3.5</w:t>
            </w:r>
          </w:p>
        </w:tc>
        <w:tc>
          <w:tcPr>
            <w:tcW w:w="1167" w:type="dxa"/>
            <w:shd w:val="clear" w:color="auto" w:fill="auto"/>
          </w:tcPr>
          <w:p w14:paraId="0CF976E0" w14:textId="77777777" w:rsidR="00336EBC" w:rsidRPr="006D2F6B" w:rsidRDefault="00336EBC" w:rsidP="00D03B0C"/>
        </w:tc>
        <w:tc>
          <w:tcPr>
            <w:tcW w:w="784" w:type="dxa"/>
            <w:shd w:val="clear" w:color="auto" w:fill="auto"/>
          </w:tcPr>
          <w:p w14:paraId="595222B3" w14:textId="77777777" w:rsidR="00336EBC" w:rsidRPr="006D2F6B" w:rsidRDefault="00336EBC" w:rsidP="00D03B0C"/>
        </w:tc>
        <w:tc>
          <w:tcPr>
            <w:tcW w:w="784" w:type="dxa"/>
            <w:shd w:val="clear" w:color="auto" w:fill="auto"/>
          </w:tcPr>
          <w:p w14:paraId="3F0A1720" w14:textId="77777777" w:rsidR="00336EBC" w:rsidRPr="006D2F6B" w:rsidRDefault="00336EBC" w:rsidP="00D03B0C"/>
        </w:tc>
        <w:tc>
          <w:tcPr>
            <w:tcW w:w="784" w:type="dxa"/>
            <w:shd w:val="clear" w:color="auto" w:fill="auto"/>
          </w:tcPr>
          <w:p w14:paraId="01260843" w14:textId="77777777" w:rsidR="00336EBC" w:rsidRPr="006D2F6B" w:rsidRDefault="00336EBC" w:rsidP="00D03B0C"/>
        </w:tc>
      </w:tr>
      <w:tr w:rsidR="00336EBC" w14:paraId="38F74B11" w14:textId="77777777" w:rsidTr="00EC2E1C">
        <w:trPr>
          <w:jc w:val="center"/>
        </w:trPr>
        <w:tc>
          <w:tcPr>
            <w:tcW w:w="4306" w:type="dxa"/>
            <w:shd w:val="clear" w:color="auto" w:fill="auto"/>
          </w:tcPr>
          <w:p w14:paraId="46E092F7" w14:textId="11E82CB0" w:rsidR="00336EBC" w:rsidRPr="00AC61FB" w:rsidRDefault="00336EBC" w:rsidP="00704E3D">
            <w:r w:rsidRPr="00AC61FB">
              <w:t>Emotional Engagement</w:t>
            </w:r>
          </w:p>
        </w:tc>
        <w:tc>
          <w:tcPr>
            <w:tcW w:w="643" w:type="dxa"/>
            <w:shd w:val="clear" w:color="auto" w:fill="auto"/>
          </w:tcPr>
          <w:p w14:paraId="13156834" w14:textId="77777777" w:rsidR="00336EBC" w:rsidRPr="006D2F6B" w:rsidRDefault="00336EBC" w:rsidP="00D03B0C">
            <w:r>
              <w:t>3.9</w:t>
            </w:r>
          </w:p>
        </w:tc>
        <w:tc>
          <w:tcPr>
            <w:tcW w:w="776" w:type="dxa"/>
            <w:shd w:val="clear" w:color="auto" w:fill="auto"/>
          </w:tcPr>
          <w:p w14:paraId="3072EA45" w14:textId="5AC84A0E" w:rsidR="00336EBC" w:rsidRPr="006D2F6B" w:rsidRDefault="00916761" w:rsidP="00D03B0C">
            <w:r>
              <w:t>3.9</w:t>
            </w:r>
          </w:p>
        </w:tc>
        <w:tc>
          <w:tcPr>
            <w:tcW w:w="649" w:type="dxa"/>
            <w:shd w:val="clear" w:color="auto" w:fill="auto"/>
          </w:tcPr>
          <w:p w14:paraId="21C72E1F" w14:textId="77777777" w:rsidR="00336EBC" w:rsidRPr="006D2F6B" w:rsidRDefault="00336EBC" w:rsidP="00D03B0C">
            <w:r>
              <w:t>3.8</w:t>
            </w:r>
          </w:p>
        </w:tc>
        <w:tc>
          <w:tcPr>
            <w:tcW w:w="851" w:type="dxa"/>
            <w:shd w:val="clear" w:color="auto" w:fill="auto"/>
          </w:tcPr>
          <w:p w14:paraId="4392190E" w14:textId="273AA840" w:rsidR="00336EBC" w:rsidRPr="006D2F6B" w:rsidRDefault="00916761" w:rsidP="00D03B0C">
            <w:r>
              <w:t>3.8</w:t>
            </w:r>
          </w:p>
        </w:tc>
        <w:tc>
          <w:tcPr>
            <w:tcW w:w="1167" w:type="dxa"/>
            <w:shd w:val="clear" w:color="auto" w:fill="auto"/>
          </w:tcPr>
          <w:p w14:paraId="56D80C92" w14:textId="77777777" w:rsidR="00336EBC" w:rsidRPr="006D2F6B" w:rsidRDefault="00336EBC" w:rsidP="00D03B0C"/>
        </w:tc>
        <w:tc>
          <w:tcPr>
            <w:tcW w:w="784" w:type="dxa"/>
            <w:shd w:val="clear" w:color="auto" w:fill="auto"/>
          </w:tcPr>
          <w:p w14:paraId="396718C1" w14:textId="77777777" w:rsidR="00336EBC" w:rsidRPr="006D2F6B" w:rsidRDefault="00336EBC" w:rsidP="00D03B0C"/>
        </w:tc>
        <w:tc>
          <w:tcPr>
            <w:tcW w:w="784" w:type="dxa"/>
            <w:shd w:val="clear" w:color="auto" w:fill="auto"/>
          </w:tcPr>
          <w:p w14:paraId="432D642D" w14:textId="77777777" w:rsidR="00336EBC" w:rsidRPr="006D2F6B" w:rsidRDefault="00336EBC" w:rsidP="00D03B0C"/>
        </w:tc>
        <w:tc>
          <w:tcPr>
            <w:tcW w:w="784" w:type="dxa"/>
            <w:shd w:val="clear" w:color="auto" w:fill="auto"/>
          </w:tcPr>
          <w:p w14:paraId="3F68F7CD" w14:textId="77777777" w:rsidR="00336EBC" w:rsidRPr="006D2F6B" w:rsidRDefault="00336EBC" w:rsidP="00D03B0C"/>
        </w:tc>
      </w:tr>
    </w:tbl>
    <w:p w14:paraId="400C06C0" w14:textId="713C6BA7" w:rsidR="00F72EA8" w:rsidRDefault="00F72EA8" w:rsidP="00AC61FB">
      <w:pPr>
        <w:rPr>
          <w:b/>
          <w:bCs/>
        </w:rPr>
      </w:pPr>
      <w:r w:rsidRPr="00AC61FB">
        <w:rPr>
          <w:b/>
          <w:bCs/>
        </w:rPr>
        <w:lastRenderedPageBreak/>
        <w:t>Academic E</w:t>
      </w:r>
      <w:r w:rsidR="00AC61FB" w:rsidRPr="00AC61FB">
        <w:rPr>
          <w:b/>
          <w:bCs/>
        </w:rPr>
        <w:t>mphasis</w:t>
      </w:r>
    </w:p>
    <w:p w14:paraId="35FAD5FD" w14:textId="33DF3AA3" w:rsidR="00AC61FB" w:rsidRPr="00AC61FB" w:rsidRDefault="00AC61FB" w:rsidP="00AC61FB">
      <w:r w:rsidRPr="00AC61FB">
        <w:t>The Academic Emphasis domain measures student perceptions of the extent to which teachers encourage independent thinking, give extra help, set high standards and want every student to work hard and to do their best. It also includes the provision of useful feedback to students and belief by teachers that every student can be a success.</w:t>
      </w:r>
    </w:p>
    <w:p w14:paraId="127C107A" w14:textId="2E5B4DE8" w:rsidR="00AC61FB" w:rsidRDefault="00AC61FB" w:rsidP="00AC61FB">
      <w:pPr>
        <w:rPr>
          <w:b/>
          <w:bCs/>
        </w:rPr>
      </w:pPr>
      <w:r w:rsidRPr="00AC61FB">
        <w:rPr>
          <w:b/>
          <w:bCs/>
        </w:rPr>
        <w:t>School Identification</w:t>
      </w:r>
    </w:p>
    <w:p w14:paraId="7FC898FD" w14:textId="08D122A7" w:rsidR="0073222C" w:rsidRPr="0073222C" w:rsidRDefault="0073222C" w:rsidP="00AC61FB">
      <w:r w:rsidRPr="0073222C">
        <w:t xml:space="preserve">Students who identify with their school are more likely to engage in learning and to behave in line with school norms and values. Concepts measured by school identification </w:t>
      </w:r>
      <w:r w:rsidR="00FE5425" w:rsidRPr="0073222C">
        <w:t>are</w:t>
      </w:r>
      <w:r w:rsidRPr="0073222C">
        <w:t xml:space="preserve"> whether a student is happy to be a part of their school; whether they feel a strong connection with the school; whether they feel they belong; as well as whether they care about the school.</w:t>
      </w:r>
    </w:p>
    <w:p w14:paraId="0FAEAE36" w14:textId="5A73D5EF" w:rsidR="00AC61FB" w:rsidRPr="00AC61FB" w:rsidRDefault="00AC61FB" w:rsidP="00AC61FB">
      <w:pPr>
        <w:rPr>
          <w:b/>
          <w:bCs/>
        </w:rPr>
      </w:pPr>
      <w:r w:rsidRPr="00AC61FB">
        <w:rPr>
          <w:b/>
          <w:bCs/>
        </w:rPr>
        <w:t>Emotional Engagement</w:t>
      </w:r>
    </w:p>
    <w:p w14:paraId="4C925651" w14:textId="6DEC1265" w:rsidR="00F72EA8" w:rsidRDefault="0073222C" w:rsidP="004D6A3B">
      <w:r w:rsidRPr="0073222C">
        <w:t>Emotional Engagement includes concepts such as students enjoying the work they do in class and feeling excited about their work. It also addresses levels of student interest in what they are learning and their perceptions of how much fun learning in class i</w:t>
      </w:r>
      <w:r>
        <w:t>s.</w:t>
      </w:r>
    </w:p>
    <w:p w14:paraId="02078B9E" w14:textId="286BD9E1"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3D66D815" w14:textId="77777777" w:rsidR="006D2F6B" w:rsidRPr="006D2F6B" w:rsidRDefault="006D2F6B" w:rsidP="00D56F59">
            <w:pPr>
              <w:jc w:val="center"/>
              <w:rPr>
                <w:b/>
              </w:rPr>
            </w:pPr>
            <w:r w:rsidRPr="006D2F6B">
              <w:rPr>
                <w:b/>
              </w:rPr>
              <w:t>Base</w:t>
            </w:r>
          </w:p>
        </w:tc>
        <w:tc>
          <w:tcPr>
            <w:tcW w:w="790" w:type="dxa"/>
            <w:shd w:val="clear" w:color="auto" w:fill="auto"/>
          </w:tcPr>
          <w:p w14:paraId="2D7C7705" w14:textId="77777777" w:rsidR="006D2F6B" w:rsidRPr="006D2F6B" w:rsidRDefault="006D2F6B" w:rsidP="00D56F59">
            <w:pPr>
              <w:jc w:val="center"/>
              <w:rPr>
                <w:b/>
              </w:rPr>
            </w:pPr>
            <w:r w:rsidRPr="006D2F6B">
              <w:rPr>
                <w:b/>
              </w:rPr>
              <w:t>Year 1</w:t>
            </w:r>
          </w:p>
        </w:tc>
        <w:tc>
          <w:tcPr>
            <w:tcW w:w="790" w:type="dxa"/>
            <w:shd w:val="clear" w:color="auto" w:fill="auto"/>
          </w:tcPr>
          <w:p w14:paraId="1AEEC90B" w14:textId="77777777" w:rsidR="006D2F6B" w:rsidRPr="006D2F6B" w:rsidRDefault="006D2F6B" w:rsidP="00D56F59">
            <w:pPr>
              <w:jc w:val="center"/>
              <w:rPr>
                <w:b/>
              </w:rPr>
            </w:pPr>
            <w:r w:rsidRPr="006D2F6B">
              <w:rPr>
                <w:b/>
              </w:rPr>
              <w:t>Year 2</w:t>
            </w:r>
          </w:p>
        </w:tc>
        <w:tc>
          <w:tcPr>
            <w:tcW w:w="790" w:type="dxa"/>
            <w:shd w:val="clear" w:color="auto" w:fill="auto"/>
          </w:tcPr>
          <w:p w14:paraId="55A376BF" w14:textId="77777777" w:rsidR="006D2F6B" w:rsidRPr="006D2F6B" w:rsidRDefault="006D2F6B" w:rsidP="00D56F59">
            <w:pPr>
              <w:jc w:val="center"/>
              <w:rPr>
                <w:b/>
              </w:rPr>
            </w:pPr>
            <w:r w:rsidRPr="006D2F6B">
              <w:rPr>
                <w:b/>
              </w:rPr>
              <w:t>Year 3</w:t>
            </w:r>
          </w:p>
        </w:tc>
        <w:tc>
          <w:tcPr>
            <w:tcW w:w="790" w:type="dxa"/>
            <w:shd w:val="clear" w:color="auto" w:fill="auto"/>
          </w:tcPr>
          <w:p w14:paraId="7B0F6FB9" w14:textId="77777777" w:rsidR="006D2F6B" w:rsidRPr="006D2F6B" w:rsidRDefault="006D2F6B" w:rsidP="00D56F59">
            <w:pPr>
              <w:jc w:val="center"/>
              <w:rPr>
                <w:b/>
              </w:rPr>
            </w:pPr>
            <w:r w:rsidRPr="006D2F6B">
              <w:rPr>
                <w:b/>
              </w:rPr>
              <w:t>Year 4</w:t>
            </w:r>
          </w:p>
        </w:tc>
        <w:tc>
          <w:tcPr>
            <w:tcW w:w="791" w:type="dxa"/>
            <w:shd w:val="clear" w:color="auto" w:fill="auto"/>
          </w:tcPr>
          <w:p w14:paraId="1A3E1375" w14:textId="77777777" w:rsidR="006D2F6B" w:rsidRPr="006D2F6B" w:rsidRDefault="006D2F6B" w:rsidP="00D56F59">
            <w:pPr>
              <w:jc w:val="center"/>
              <w:rPr>
                <w:b/>
              </w:rPr>
            </w:pPr>
            <w:r w:rsidRPr="006D2F6B">
              <w:rPr>
                <w:b/>
              </w:rPr>
              <w:t>Year 5</w:t>
            </w:r>
          </w:p>
        </w:tc>
      </w:tr>
      <w:tr w:rsidR="006D2F6B" w14:paraId="511DB66E" w14:textId="77777777" w:rsidTr="00D03B0C">
        <w:trPr>
          <w:jc w:val="center"/>
        </w:trPr>
        <w:tc>
          <w:tcPr>
            <w:tcW w:w="4297" w:type="dxa"/>
            <w:shd w:val="clear" w:color="auto" w:fill="auto"/>
          </w:tcPr>
          <w:p w14:paraId="0CEA91E9" w14:textId="116B7005" w:rsidR="006D2F6B" w:rsidRPr="006D2F6B" w:rsidRDefault="004D6A3B" w:rsidP="00D03B0C">
            <w:pPr>
              <w:pStyle w:val="PlainText"/>
            </w:pPr>
            <w:r>
              <w:t>Number of students engaged in Graduate Profile/Mastery Transcript at Dickson</w:t>
            </w:r>
          </w:p>
        </w:tc>
        <w:tc>
          <w:tcPr>
            <w:tcW w:w="790" w:type="dxa"/>
            <w:shd w:val="clear" w:color="auto" w:fill="auto"/>
          </w:tcPr>
          <w:p w14:paraId="1DEC5E9B" w14:textId="62099DC6" w:rsidR="006D2F6B" w:rsidRPr="006D2F6B" w:rsidRDefault="004D6A3B" w:rsidP="00D03B0C">
            <w:r>
              <w:t>15</w:t>
            </w:r>
          </w:p>
        </w:tc>
        <w:tc>
          <w:tcPr>
            <w:tcW w:w="790" w:type="dxa"/>
            <w:shd w:val="clear" w:color="auto" w:fill="auto"/>
          </w:tcPr>
          <w:p w14:paraId="0FF61450" w14:textId="77777777" w:rsidR="006D2F6B" w:rsidRPr="006D2F6B" w:rsidRDefault="006D2F6B" w:rsidP="00D03B0C"/>
        </w:tc>
        <w:tc>
          <w:tcPr>
            <w:tcW w:w="790" w:type="dxa"/>
            <w:shd w:val="clear" w:color="auto" w:fill="auto"/>
          </w:tcPr>
          <w:p w14:paraId="6E75F6C9" w14:textId="77777777" w:rsidR="006D2F6B" w:rsidRPr="006D2F6B" w:rsidRDefault="006D2F6B" w:rsidP="00D03B0C"/>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bl>
    <w:p w14:paraId="6D092A05" w14:textId="77777777" w:rsidR="008A01DA" w:rsidRDefault="008A01DA" w:rsidP="00E061B8">
      <w:pPr>
        <w:pStyle w:val="BodyText"/>
      </w:pPr>
    </w:p>
    <w:p w14:paraId="139DE5A0" w14:textId="1F909797" w:rsidR="003C69DC" w:rsidRDefault="00997CD0" w:rsidP="005C7432">
      <w:pPr>
        <w:pStyle w:val="Heading3"/>
      </w:pPr>
      <w:r w:rsidRPr="00E061B8">
        <w:t xml:space="preserve">What </w:t>
      </w:r>
      <w:r w:rsidR="006D2F6B" w:rsidRPr="00E061B8">
        <w:t>this</w:t>
      </w:r>
      <w:r w:rsidRPr="00E061B8">
        <w:t xml:space="preserve"> evidence tells us</w:t>
      </w:r>
    </w:p>
    <w:p w14:paraId="09143C99" w14:textId="6D4CF332" w:rsidR="00F657FE" w:rsidRDefault="00F657FE" w:rsidP="00F657FE">
      <w:r>
        <w:t>We are in the early stages of the improvement plan and our measures, and associated targets may need further examination. The 2020 -2021 period has been impacted by the COVID-19 Pandemic and for measures that were not taken pre-pandemic</w:t>
      </w:r>
      <w:r w:rsidR="00C53C9D">
        <w:t>,</w:t>
      </w:r>
      <w:r>
        <w:t xml:space="preserve"> baseline trends may need more time to </w:t>
      </w:r>
      <w:r w:rsidR="00C53C9D">
        <w:t>emerge</w:t>
      </w:r>
      <w:r>
        <w:t>.</w:t>
      </w:r>
      <w:r w:rsidR="00C3438C">
        <w:t xml:space="preserve"> It also highlights the need to look at datapoints semester by semester, cohort by cohort so that the College can gain visibility of progress over the two-year period that students are at college. </w:t>
      </w:r>
      <w:r w:rsidR="00C53C9D">
        <w:t>The School Board has agreed to look at the measures and targets early in 2022 an modify Improvement Plan as required.</w:t>
      </w:r>
    </w:p>
    <w:p w14:paraId="07DCA056" w14:textId="5090A166" w:rsidR="00C53C9D" w:rsidRDefault="00C53C9D" w:rsidP="00F657FE">
      <w:r>
        <w:t>The above dataset tells us that there is a growth trend in Grade Point Average (GPA) as students move through years 11 and 12</w:t>
      </w:r>
      <w:r w:rsidR="00916761">
        <w:t xml:space="preserve"> at Dickson College</w:t>
      </w:r>
      <w:r>
        <w:t>.</w:t>
      </w:r>
      <w:r w:rsidR="00916761">
        <w:t xml:space="preserve"> </w:t>
      </w:r>
      <w:r>
        <w:t xml:space="preserve">And School Climate survey items on Annual Satisfaction Survey </w:t>
      </w:r>
      <w:r w:rsidR="00D01373">
        <w:t xml:space="preserve">remain relatively steady or weaken slightly on previous year comparison </w:t>
      </w:r>
      <w:r w:rsidR="00916761">
        <w:t>in line with the slight decrease seen in all</w:t>
      </w:r>
      <w:r w:rsidR="00D01373">
        <w:t xml:space="preserve"> of ACT Government Colleges. </w:t>
      </w:r>
      <w:r w:rsidR="00916761">
        <w:t xml:space="preserve">However, we need to be cognisant that response rates on </w:t>
      </w:r>
      <w:r w:rsidR="00DA3989">
        <w:t>School Satisfaction/School Climate Survey were abnormally low due to the impact of COVID-19 lockdown in term 3 and the graduated return of students to onsite face-to-face learning in term 4.</w:t>
      </w:r>
    </w:p>
    <w:p w14:paraId="298494C3" w14:textId="3ABBC0E7" w:rsidR="00B15D70" w:rsidRDefault="00B15D70" w:rsidP="002F4184">
      <w:pPr>
        <w:pStyle w:val="Heading3"/>
      </w:pPr>
    </w:p>
    <w:p w14:paraId="4FE436EF" w14:textId="011C4093" w:rsidR="006046F3" w:rsidRDefault="006046F3" w:rsidP="006046F3"/>
    <w:p w14:paraId="33E60166" w14:textId="77777777" w:rsidR="006046F3" w:rsidRPr="006046F3" w:rsidRDefault="006046F3" w:rsidP="006046F3"/>
    <w:p w14:paraId="1D91AD3B" w14:textId="77777777" w:rsidR="00B15D70" w:rsidRPr="00B15D70" w:rsidRDefault="00B15D70" w:rsidP="00B15D70"/>
    <w:p w14:paraId="113E7E85" w14:textId="7E1FEAED" w:rsidR="002F4184" w:rsidRDefault="00937D6F" w:rsidP="002F4184">
      <w:pPr>
        <w:pStyle w:val="Heading3"/>
      </w:pPr>
      <w:r>
        <w:lastRenderedPageBreak/>
        <w:t>Our achievements for this priority</w:t>
      </w:r>
    </w:p>
    <w:p w14:paraId="64C2892D" w14:textId="6ABAAFAB" w:rsidR="004F6F8E" w:rsidRPr="008513D8" w:rsidRDefault="004F6F8E" w:rsidP="00C3438C">
      <w:pPr>
        <w:pStyle w:val="ListParagraph"/>
        <w:numPr>
          <w:ilvl w:val="0"/>
          <w:numId w:val="25"/>
        </w:numPr>
        <w:rPr>
          <w:b/>
          <w:bCs/>
        </w:rPr>
      </w:pPr>
      <w:r w:rsidRPr="008513D8">
        <w:rPr>
          <w:b/>
          <w:bCs/>
        </w:rPr>
        <w:t>Response to COVID-19: Exceptional outcomes in exceptional times</w:t>
      </w:r>
    </w:p>
    <w:p w14:paraId="5FBE181C" w14:textId="1D9E490B" w:rsidR="004F6F8E" w:rsidRDefault="004F6F8E" w:rsidP="004F6F8E">
      <w:pPr>
        <w:pStyle w:val="ListParagraph"/>
        <w:numPr>
          <w:ilvl w:val="1"/>
          <w:numId w:val="25"/>
        </w:numPr>
      </w:pPr>
      <w:r>
        <w:t>Students in Year 12 2021 had experienced two periods of remote learning</w:t>
      </w:r>
    </w:p>
    <w:p w14:paraId="5C64E537" w14:textId="643B09A0" w:rsidR="004F6F8E" w:rsidRDefault="004F6F8E" w:rsidP="004F6F8E">
      <w:pPr>
        <w:pStyle w:val="ListParagraph"/>
        <w:numPr>
          <w:ilvl w:val="1"/>
          <w:numId w:val="25"/>
        </w:numPr>
      </w:pPr>
      <w:r>
        <w:t>Staff and DC community worked together to support student continuity of learning for students</w:t>
      </w:r>
    </w:p>
    <w:p w14:paraId="6FB7D485" w14:textId="77777777" w:rsidR="00912A67" w:rsidRDefault="00912A67" w:rsidP="004F6F8E">
      <w:pPr>
        <w:pStyle w:val="ListParagraph"/>
        <w:numPr>
          <w:ilvl w:val="1"/>
          <w:numId w:val="25"/>
        </w:numPr>
      </w:pPr>
      <w:r>
        <w:t>Innovative approaches to college timetabling assisted:</w:t>
      </w:r>
    </w:p>
    <w:p w14:paraId="57A5D2C4" w14:textId="77777777" w:rsidR="00912A67" w:rsidRDefault="00912A67" w:rsidP="00912A67">
      <w:pPr>
        <w:pStyle w:val="ListParagraph"/>
        <w:numPr>
          <w:ilvl w:val="2"/>
          <w:numId w:val="25"/>
        </w:numPr>
      </w:pPr>
      <w:r>
        <w:t xml:space="preserve"> wellbeing of students and staff</w:t>
      </w:r>
    </w:p>
    <w:p w14:paraId="47ED2806" w14:textId="00FBE5C9" w:rsidR="004F6F8E" w:rsidRDefault="00912A67" w:rsidP="00912A67">
      <w:pPr>
        <w:pStyle w:val="ListParagraph"/>
        <w:numPr>
          <w:ilvl w:val="2"/>
          <w:numId w:val="25"/>
        </w:numPr>
      </w:pPr>
      <w:r>
        <w:t xml:space="preserve"> and the safe return of students onsite and face-to-face</w:t>
      </w:r>
    </w:p>
    <w:p w14:paraId="5AAB0225" w14:textId="2463CBB0" w:rsidR="00912A67" w:rsidRDefault="00912A67" w:rsidP="00912A67">
      <w:pPr>
        <w:pStyle w:val="ListParagraph"/>
        <w:numPr>
          <w:ilvl w:val="1"/>
          <w:numId w:val="25"/>
        </w:numPr>
      </w:pPr>
      <w:r>
        <w:t>Dickson College strengthen</w:t>
      </w:r>
      <w:r w:rsidR="006E4038">
        <w:t>ed</w:t>
      </w:r>
      <w:r>
        <w:t xml:space="preserve"> its outcomes for students during a period </w:t>
      </w:r>
      <w:r w:rsidR="00533461">
        <w:t xml:space="preserve">where there was a system </w:t>
      </w:r>
      <w:r>
        <w:t xml:space="preserve">decline in completion of Senior Secondary </w:t>
      </w:r>
      <w:r w:rsidR="00533461">
        <w:t>Certificates (see table below</w:t>
      </w:r>
      <w:r w:rsidR="00E80822">
        <w:t>, Year 12 Certification data from ACT Board of Senior Secondary Studies</w:t>
      </w:r>
      <w:r w:rsidR="00533461">
        <w:t>)</w:t>
      </w:r>
      <w:r>
        <w:t>:</w:t>
      </w:r>
    </w:p>
    <w:p w14:paraId="00EAAD43" w14:textId="4DEBDA70" w:rsidR="00533461" w:rsidRDefault="00533461" w:rsidP="00533461">
      <w:pPr>
        <w:pStyle w:val="ListParagraph"/>
        <w:numPr>
          <w:ilvl w:val="2"/>
          <w:numId w:val="25"/>
        </w:numPr>
      </w:pPr>
      <w:r>
        <w:t>Increased Senior Secondary Certificate completion 2020 and 2021</w:t>
      </w:r>
    </w:p>
    <w:p w14:paraId="6C27E947" w14:textId="72DF4DA8" w:rsidR="00533461" w:rsidRDefault="00E7138D" w:rsidP="00533461">
      <w:pPr>
        <w:pStyle w:val="ListParagraph"/>
        <w:numPr>
          <w:ilvl w:val="2"/>
          <w:numId w:val="25"/>
        </w:numPr>
      </w:pPr>
      <w:r>
        <w:t>Increased numbers of students over ATAR of 90</w:t>
      </w:r>
    </w:p>
    <w:p w14:paraId="7BB31752" w14:textId="611C6B82" w:rsidR="00E7138D" w:rsidRDefault="00C66C88" w:rsidP="00533461">
      <w:pPr>
        <w:pStyle w:val="ListParagraph"/>
        <w:numPr>
          <w:ilvl w:val="2"/>
          <w:numId w:val="25"/>
        </w:numPr>
      </w:pPr>
      <w:r>
        <w:t>Maintained or strengthened outcomes for Indigenous students</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1"/>
        <w:gridCol w:w="1132"/>
        <w:gridCol w:w="1273"/>
        <w:gridCol w:w="1273"/>
        <w:gridCol w:w="1149"/>
        <w:gridCol w:w="1324"/>
        <w:gridCol w:w="802"/>
      </w:tblGrid>
      <w:tr w:rsidR="004F6F8E" w14:paraId="168A00B8" w14:textId="77777777" w:rsidTr="00C66C88">
        <w:trPr>
          <w:trHeight w:val="315"/>
        </w:trPr>
        <w:tc>
          <w:tcPr>
            <w:tcW w:w="2251" w:type="dxa"/>
            <w:tcMar>
              <w:top w:w="30" w:type="dxa"/>
              <w:left w:w="45" w:type="dxa"/>
              <w:bottom w:w="30" w:type="dxa"/>
              <w:right w:w="45" w:type="dxa"/>
            </w:tcMar>
            <w:vAlign w:val="bottom"/>
            <w:hideMark/>
          </w:tcPr>
          <w:p w14:paraId="62031BF5" w14:textId="78B3A7B1" w:rsidR="004F6F8E" w:rsidRPr="006C50B2" w:rsidRDefault="00C66C88">
            <w:pPr>
              <w:rPr>
                <w:b/>
                <w:bCs/>
              </w:rPr>
            </w:pPr>
            <w:bookmarkStart w:id="0" w:name="_Hlk97815723"/>
            <w:r w:rsidRPr="006C50B2">
              <w:rPr>
                <w:rFonts w:ascii="Arial" w:hAnsi="Arial" w:cs="Arial"/>
                <w:b/>
                <w:bCs/>
                <w:sz w:val="20"/>
                <w:szCs w:val="20"/>
              </w:rPr>
              <w:t>Results</w:t>
            </w:r>
          </w:p>
        </w:tc>
        <w:tc>
          <w:tcPr>
            <w:tcW w:w="3678" w:type="dxa"/>
            <w:gridSpan w:val="3"/>
            <w:tcMar>
              <w:top w:w="30" w:type="dxa"/>
              <w:left w:w="45" w:type="dxa"/>
              <w:bottom w:w="30" w:type="dxa"/>
              <w:right w:w="45" w:type="dxa"/>
            </w:tcMar>
            <w:vAlign w:val="bottom"/>
            <w:hideMark/>
          </w:tcPr>
          <w:p w14:paraId="2C547D24" w14:textId="77777777" w:rsidR="004F6F8E" w:rsidRDefault="004F6F8E">
            <w:pPr>
              <w:jc w:val="center"/>
              <w:rPr>
                <w:rFonts w:ascii="Arial" w:hAnsi="Arial" w:cs="Arial"/>
                <w:b/>
                <w:bCs/>
                <w:sz w:val="20"/>
                <w:szCs w:val="20"/>
              </w:rPr>
            </w:pPr>
            <w:r>
              <w:rPr>
                <w:rFonts w:ascii="Arial" w:hAnsi="Arial" w:cs="Arial"/>
                <w:b/>
                <w:bCs/>
                <w:sz w:val="20"/>
                <w:szCs w:val="20"/>
              </w:rPr>
              <w:t>2020</w:t>
            </w:r>
          </w:p>
        </w:tc>
        <w:tc>
          <w:tcPr>
            <w:tcW w:w="3275" w:type="dxa"/>
            <w:gridSpan w:val="3"/>
            <w:tcMar>
              <w:top w:w="30" w:type="dxa"/>
              <w:left w:w="45" w:type="dxa"/>
              <w:bottom w:w="30" w:type="dxa"/>
              <w:right w:w="45" w:type="dxa"/>
            </w:tcMar>
            <w:vAlign w:val="bottom"/>
            <w:hideMark/>
          </w:tcPr>
          <w:p w14:paraId="4051A093" w14:textId="77777777" w:rsidR="004F6F8E" w:rsidRDefault="004F6F8E">
            <w:pPr>
              <w:jc w:val="center"/>
              <w:rPr>
                <w:rFonts w:ascii="Arial" w:hAnsi="Arial" w:cs="Arial"/>
                <w:b/>
                <w:bCs/>
                <w:sz w:val="20"/>
                <w:szCs w:val="20"/>
              </w:rPr>
            </w:pPr>
            <w:r>
              <w:rPr>
                <w:rFonts w:ascii="Arial" w:hAnsi="Arial" w:cs="Arial"/>
                <w:b/>
                <w:bCs/>
                <w:sz w:val="20"/>
                <w:szCs w:val="20"/>
              </w:rPr>
              <w:t>2021</w:t>
            </w:r>
          </w:p>
        </w:tc>
      </w:tr>
      <w:tr w:rsidR="00C66C88" w14:paraId="402BFDB9" w14:textId="77777777" w:rsidTr="00C66C88">
        <w:trPr>
          <w:trHeight w:val="315"/>
        </w:trPr>
        <w:tc>
          <w:tcPr>
            <w:tcW w:w="2251" w:type="dxa"/>
            <w:tcMar>
              <w:top w:w="30" w:type="dxa"/>
              <w:left w:w="45" w:type="dxa"/>
              <w:bottom w:w="30" w:type="dxa"/>
              <w:right w:w="45" w:type="dxa"/>
            </w:tcMar>
            <w:vAlign w:val="bottom"/>
            <w:hideMark/>
          </w:tcPr>
          <w:p w14:paraId="474A5A1A" w14:textId="22A03F93" w:rsidR="004F6F8E" w:rsidRDefault="004F6F8E">
            <w:pPr>
              <w:rPr>
                <w:rFonts w:ascii="Arial" w:hAnsi="Arial" w:cs="Arial"/>
                <w:sz w:val="20"/>
                <w:szCs w:val="20"/>
              </w:rPr>
            </w:pPr>
          </w:p>
        </w:tc>
        <w:tc>
          <w:tcPr>
            <w:tcW w:w="1132" w:type="dxa"/>
            <w:tcMar>
              <w:top w:w="30" w:type="dxa"/>
              <w:left w:w="45" w:type="dxa"/>
              <w:bottom w:w="30" w:type="dxa"/>
              <w:right w:w="45" w:type="dxa"/>
            </w:tcMar>
            <w:vAlign w:val="bottom"/>
            <w:hideMark/>
          </w:tcPr>
          <w:p w14:paraId="0A6F6753" w14:textId="77777777" w:rsidR="004F6F8E" w:rsidRDefault="004F6F8E">
            <w:pPr>
              <w:jc w:val="center"/>
              <w:rPr>
                <w:rFonts w:ascii="Arial" w:hAnsi="Arial" w:cs="Arial"/>
                <w:b/>
                <w:bCs/>
                <w:sz w:val="20"/>
                <w:szCs w:val="20"/>
              </w:rPr>
            </w:pPr>
            <w:r>
              <w:rPr>
                <w:rFonts w:ascii="Arial" w:hAnsi="Arial" w:cs="Arial"/>
                <w:b/>
                <w:bCs/>
                <w:sz w:val="20"/>
                <w:szCs w:val="20"/>
              </w:rPr>
              <w:t>Dickson</w:t>
            </w:r>
          </w:p>
        </w:tc>
        <w:tc>
          <w:tcPr>
            <w:tcW w:w="1273" w:type="dxa"/>
            <w:tcMar>
              <w:top w:w="30" w:type="dxa"/>
              <w:left w:w="45" w:type="dxa"/>
              <w:bottom w:w="30" w:type="dxa"/>
              <w:right w:w="45" w:type="dxa"/>
            </w:tcMar>
            <w:vAlign w:val="bottom"/>
            <w:hideMark/>
          </w:tcPr>
          <w:p w14:paraId="6EDB8064" w14:textId="77777777" w:rsidR="004F6F8E" w:rsidRDefault="004F6F8E">
            <w:pPr>
              <w:jc w:val="center"/>
              <w:rPr>
                <w:rFonts w:ascii="Arial" w:hAnsi="Arial" w:cs="Arial"/>
                <w:b/>
                <w:bCs/>
                <w:sz w:val="20"/>
                <w:szCs w:val="20"/>
              </w:rPr>
            </w:pPr>
            <w:r>
              <w:rPr>
                <w:rFonts w:ascii="Arial" w:hAnsi="Arial" w:cs="Arial"/>
                <w:b/>
                <w:bCs/>
                <w:sz w:val="20"/>
                <w:szCs w:val="20"/>
              </w:rPr>
              <w:t>ACT Public</w:t>
            </w:r>
          </w:p>
        </w:tc>
        <w:tc>
          <w:tcPr>
            <w:tcW w:w="1273" w:type="dxa"/>
            <w:tcMar>
              <w:top w:w="30" w:type="dxa"/>
              <w:left w:w="45" w:type="dxa"/>
              <w:bottom w:w="30" w:type="dxa"/>
              <w:right w:w="45" w:type="dxa"/>
            </w:tcMar>
            <w:vAlign w:val="bottom"/>
            <w:hideMark/>
          </w:tcPr>
          <w:p w14:paraId="75D960BB" w14:textId="77777777" w:rsidR="004F6F8E" w:rsidRDefault="004F6F8E">
            <w:pPr>
              <w:jc w:val="center"/>
              <w:rPr>
                <w:rFonts w:ascii="Arial" w:hAnsi="Arial" w:cs="Arial"/>
                <w:b/>
                <w:bCs/>
                <w:sz w:val="20"/>
                <w:szCs w:val="20"/>
              </w:rPr>
            </w:pPr>
            <w:r>
              <w:rPr>
                <w:rFonts w:ascii="Arial" w:hAnsi="Arial" w:cs="Arial"/>
                <w:b/>
                <w:bCs/>
                <w:sz w:val="20"/>
                <w:szCs w:val="20"/>
              </w:rPr>
              <w:t>ACT System</w:t>
            </w:r>
          </w:p>
        </w:tc>
        <w:tc>
          <w:tcPr>
            <w:tcW w:w="1149" w:type="dxa"/>
            <w:tcMar>
              <w:top w:w="30" w:type="dxa"/>
              <w:left w:w="45" w:type="dxa"/>
              <w:bottom w:w="30" w:type="dxa"/>
              <w:right w:w="45" w:type="dxa"/>
            </w:tcMar>
            <w:vAlign w:val="bottom"/>
            <w:hideMark/>
          </w:tcPr>
          <w:p w14:paraId="2F60CF0F" w14:textId="77777777" w:rsidR="004F6F8E" w:rsidRDefault="004F6F8E">
            <w:pPr>
              <w:jc w:val="center"/>
              <w:rPr>
                <w:rFonts w:ascii="Arial" w:hAnsi="Arial" w:cs="Arial"/>
                <w:b/>
                <w:bCs/>
                <w:sz w:val="20"/>
                <w:szCs w:val="20"/>
              </w:rPr>
            </w:pPr>
            <w:r>
              <w:rPr>
                <w:rFonts w:ascii="Arial" w:hAnsi="Arial" w:cs="Arial"/>
                <w:b/>
                <w:bCs/>
                <w:sz w:val="20"/>
                <w:szCs w:val="20"/>
              </w:rPr>
              <w:t>Dickson</w:t>
            </w:r>
          </w:p>
        </w:tc>
        <w:tc>
          <w:tcPr>
            <w:tcW w:w="1324" w:type="dxa"/>
            <w:tcMar>
              <w:top w:w="30" w:type="dxa"/>
              <w:left w:w="45" w:type="dxa"/>
              <w:bottom w:w="30" w:type="dxa"/>
              <w:right w:w="45" w:type="dxa"/>
            </w:tcMar>
            <w:vAlign w:val="bottom"/>
            <w:hideMark/>
          </w:tcPr>
          <w:p w14:paraId="2FF4464C" w14:textId="77777777" w:rsidR="004F6F8E" w:rsidRDefault="004F6F8E">
            <w:pPr>
              <w:jc w:val="center"/>
              <w:rPr>
                <w:rFonts w:ascii="Arial" w:hAnsi="Arial" w:cs="Arial"/>
                <w:b/>
                <w:bCs/>
                <w:sz w:val="20"/>
                <w:szCs w:val="20"/>
              </w:rPr>
            </w:pPr>
            <w:r>
              <w:rPr>
                <w:rFonts w:ascii="Arial" w:hAnsi="Arial" w:cs="Arial"/>
                <w:b/>
                <w:bCs/>
                <w:sz w:val="20"/>
                <w:szCs w:val="20"/>
              </w:rPr>
              <w:t>ACT Public</w:t>
            </w:r>
          </w:p>
        </w:tc>
        <w:tc>
          <w:tcPr>
            <w:tcW w:w="802" w:type="dxa"/>
            <w:tcMar>
              <w:top w:w="30" w:type="dxa"/>
              <w:left w:w="45" w:type="dxa"/>
              <w:bottom w:w="30" w:type="dxa"/>
              <w:right w:w="45" w:type="dxa"/>
            </w:tcMar>
            <w:vAlign w:val="bottom"/>
            <w:hideMark/>
          </w:tcPr>
          <w:p w14:paraId="49398EE7" w14:textId="77777777" w:rsidR="004F6F8E" w:rsidRDefault="004F6F8E">
            <w:pPr>
              <w:jc w:val="center"/>
              <w:rPr>
                <w:rFonts w:ascii="Arial" w:hAnsi="Arial" w:cs="Arial"/>
                <w:b/>
                <w:bCs/>
                <w:sz w:val="20"/>
                <w:szCs w:val="20"/>
              </w:rPr>
            </w:pPr>
            <w:r>
              <w:rPr>
                <w:rFonts w:ascii="Arial" w:hAnsi="Arial" w:cs="Arial"/>
                <w:b/>
                <w:bCs/>
                <w:sz w:val="20"/>
                <w:szCs w:val="20"/>
              </w:rPr>
              <w:t>ACT System</w:t>
            </w:r>
          </w:p>
        </w:tc>
      </w:tr>
      <w:tr w:rsidR="00C66C88" w14:paraId="14D1AF7F" w14:textId="77777777" w:rsidTr="00C66C88">
        <w:trPr>
          <w:trHeight w:val="315"/>
        </w:trPr>
        <w:tc>
          <w:tcPr>
            <w:tcW w:w="2251" w:type="dxa"/>
            <w:tcMar>
              <w:top w:w="30" w:type="dxa"/>
              <w:left w:w="45" w:type="dxa"/>
              <w:bottom w:w="30" w:type="dxa"/>
              <w:right w:w="45" w:type="dxa"/>
            </w:tcMar>
            <w:vAlign w:val="bottom"/>
            <w:hideMark/>
          </w:tcPr>
          <w:p w14:paraId="72B178D2" w14:textId="77777777" w:rsidR="004F6F8E" w:rsidRDefault="004F6F8E">
            <w:pPr>
              <w:rPr>
                <w:rFonts w:ascii="Arial" w:hAnsi="Arial" w:cs="Arial"/>
                <w:sz w:val="20"/>
                <w:szCs w:val="20"/>
              </w:rPr>
            </w:pPr>
            <w:r>
              <w:rPr>
                <w:rFonts w:ascii="Arial" w:hAnsi="Arial" w:cs="Arial"/>
                <w:sz w:val="20"/>
                <w:szCs w:val="20"/>
              </w:rPr>
              <w:t>Senior Secondary Certificates</w:t>
            </w:r>
          </w:p>
        </w:tc>
        <w:tc>
          <w:tcPr>
            <w:tcW w:w="1132" w:type="dxa"/>
            <w:tcMar>
              <w:top w:w="30" w:type="dxa"/>
              <w:left w:w="45" w:type="dxa"/>
              <w:bottom w:w="30" w:type="dxa"/>
              <w:right w:w="45" w:type="dxa"/>
            </w:tcMar>
            <w:vAlign w:val="bottom"/>
            <w:hideMark/>
          </w:tcPr>
          <w:p w14:paraId="1D750F98" w14:textId="77777777" w:rsidR="004F6F8E" w:rsidRDefault="004F6F8E">
            <w:pPr>
              <w:jc w:val="right"/>
              <w:rPr>
                <w:rFonts w:ascii="Arial" w:hAnsi="Arial" w:cs="Arial"/>
                <w:sz w:val="20"/>
                <w:szCs w:val="20"/>
              </w:rPr>
            </w:pPr>
            <w:r>
              <w:rPr>
                <w:rFonts w:ascii="Arial" w:hAnsi="Arial" w:cs="Arial"/>
                <w:sz w:val="20"/>
                <w:szCs w:val="20"/>
              </w:rPr>
              <w:t>95.80%</w:t>
            </w:r>
          </w:p>
        </w:tc>
        <w:tc>
          <w:tcPr>
            <w:tcW w:w="1273" w:type="dxa"/>
            <w:tcMar>
              <w:top w:w="30" w:type="dxa"/>
              <w:left w:w="45" w:type="dxa"/>
              <w:bottom w:w="30" w:type="dxa"/>
              <w:right w:w="45" w:type="dxa"/>
            </w:tcMar>
            <w:vAlign w:val="bottom"/>
            <w:hideMark/>
          </w:tcPr>
          <w:p w14:paraId="2EE40513" w14:textId="77777777" w:rsidR="004F6F8E" w:rsidRDefault="004F6F8E">
            <w:pPr>
              <w:jc w:val="right"/>
              <w:rPr>
                <w:rFonts w:ascii="Arial" w:hAnsi="Arial" w:cs="Arial"/>
                <w:sz w:val="20"/>
                <w:szCs w:val="20"/>
              </w:rPr>
            </w:pPr>
            <w:r>
              <w:rPr>
                <w:rFonts w:ascii="Arial" w:hAnsi="Arial" w:cs="Arial"/>
                <w:sz w:val="20"/>
                <w:szCs w:val="20"/>
              </w:rPr>
              <w:t>89.10%</w:t>
            </w:r>
          </w:p>
        </w:tc>
        <w:tc>
          <w:tcPr>
            <w:tcW w:w="1273" w:type="dxa"/>
            <w:tcMar>
              <w:top w:w="30" w:type="dxa"/>
              <w:left w:w="45" w:type="dxa"/>
              <w:bottom w:w="30" w:type="dxa"/>
              <w:right w:w="45" w:type="dxa"/>
            </w:tcMar>
            <w:vAlign w:val="bottom"/>
            <w:hideMark/>
          </w:tcPr>
          <w:p w14:paraId="7CA36EFC" w14:textId="77777777" w:rsidR="004F6F8E" w:rsidRDefault="004F6F8E">
            <w:pPr>
              <w:jc w:val="right"/>
              <w:rPr>
                <w:rFonts w:ascii="Arial" w:hAnsi="Arial" w:cs="Arial"/>
                <w:sz w:val="20"/>
                <w:szCs w:val="20"/>
              </w:rPr>
            </w:pPr>
            <w:r>
              <w:rPr>
                <w:rFonts w:ascii="Arial" w:hAnsi="Arial" w:cs="Arial"/>
                <w:sz w:val="20"/>
                <w:szCs w:val="20"/>
              </w:rPr>
              <w:t>92.00%</w:t>
            </w:r>
          </w:p>
        </w:tc>
        <w:tc>
          <w:tcPr>
            <w:tcW w:w="1149" w:type="dxa"/>
            <w:tcMar>
              <w:top w:w="30" w:type="dxa"/>
              <w:left w:w="45" w:type="dxa"/>
              <w:bottom w:w="30" w:type="dxa"/>
              <w:right w:w="45" w:type="dxa"/>
            </w:tcMar>
            <w:vAlign w:val="bottom"/>
            <w:hideMark/>
          </w:tcPr>
          <w:p w14:paraId="24E5A585" w14:textId="77777777" w:rsidR="004F6F8E" w:rsidRDefault="004F6F8E">
            <w:pPr>
              <w:jc w:val="right"/>
              <w:rPr>
                <w:rFonts w:ascii="Arial" w:hAnsi="Arial" w:cs="Arial"/>
                <w:sz w:val="20"/>
                <w:szCs w:val="20"/>
              </w:rPr>
            </w:pPr>
            <w:r>
              <w:rPr>
                <w:rFonts w:ascii="Arial" w:hAnsi="Arial" w:cs="Arial"/>
                <w:sz w:val="20"/>
                <w:szCs w:val="20"/>
              </w:rPr>
              <w:t>96.12%</w:t>
            </w:r>
          </w:p>
        </w:tc>
        <w:tc>
          <w:tcPr>
            <w:tcW w:w="1324" w:type="dxa"/>
            <w:tcMar>
              <w:top w:w="30" w:type="dxa"/>
              <w:left w:w="45" w:type="dxa"/>
              <w:bottom w:w="30" w:type="dxa"/>
              <w:right w:w="45" w:type="dxa"/>
            </w:tcMar>
            <w:vAlign w:val="bottom"/>
            <w:hideMark/>
          </w:tcPr>
          <w:p w14:paraId="190BAF6B" w14:textId="77777777" w:rsidR="004F6F8E" w:rsidRDefault="004F6F8E">
            <w:pPr>
              <w:jc w:val="right"/>
              <w:rPr>
                <w:rFonts w:ascii="Arial" w:hAnsi="Arial" w:cs="Arial"/>
                <w:sz w:val="20"/>
                <w:szCs w:val="20"/>
              </w:rPr>
            </w:pPr>
            <w:r>
              <w:rPr>
                <w:rFonts w:ascii="Arial" w:hAnsi="Arial" w:cs="Arial"/>
                <w:sz w:val="20"/>
                <w:szCs w:val="20"/>
              </w:rPr>
              <w:t>86.10%</w:t>
            </w:r>
          </w:p>
        </w:tc>
        <w:tc>
          <w:tcPr>
            <w:tcW w:w="802" w:type="dxa"/>
            <w:tcMar>
              <w:top w:w="30" w:type="dxa"/>
              <w:left w:w="45" w:type="dxa"/>
              <w:bottom w:w="30" w:type="dxa"/>
              <w:right w:w="45" w:type="dxa"/>
            </w:tcMar>
            <w:vAlign w:val="bottom"/>
            <w:hideMark/>
          </w:tcPr>
          <w:p w14:paraId="70555603" w14:textId="77777777" w:rsidR="004F6F8E" w:rsidRDefault="004F6F8E">
            <w:pPr>
              <w:jc w:val="right"/>
              <w:rPr>
                <w:rFonts w:ascii="Arial" w:hAnsi="Arial" w:cs="Arial"/>
                <w:sz w:val="20"/>
                <w:szCs w:val="20"/>
              </w:rPr>
            </w:pPr>
            <w:r>
              <w:rPr>
                <w:rFonts w:ascii="Arial" w:hAnsi="Arial" w:cs="Arial"/>
                <w:sz w:val="20"/>
                <w:szCs w:val="20"/>
              </w:rPr>
              <w:t>89.90%</w:t>
            </w:r>
          </w:p>
        </w:tc>
      </w:tr>
      <w:tr w:rsidR="00C66C88" w14:paraId="2DEFAE5E" w14:textId="77777777" w:rsidTr="00C66C88">
        <w:trPr>
          <w:trHeight w:val="315"/>
        </w:trPr>
        <w:tc>
          <w:tcPr>
            <w:tcW w:w="2251" w:type="dxa"/>
            <w:tcMar>
              <w:top w:w="30" w:type="dxa"/>
              <w:left w:w="45" w:type="dxa"/>
              <w:bottom w:w="30" w:type="dxa"/>
              <w:right w:w="45" w:type="dxa"/>
            </w:tcMar>
            <w:vAlign w:val="bottom"/>
            <w:hideMark/>
          </w:tcPr>
          <w:p w14:paraId="4B465F19" w14:textId="77777777" w:rsidR="004F6F8E" w:rsidRDefault="004F6F8E">
            <w:pPr>
              <w:rPr>
                <w:rFonts w:ascii="Arial" w:hAnsi="Arial" w:cs="Arial"/>
                <w:sz w:val="20"/>
                <w:szCs w:val="20"/>
              </w:rPr>
            </w:pPr>
            <w:r>
              <w:rPr>
                <w:rFonts w:ascii="Arial" w:hAnsi="Arial" w:cs="Arial"/>
                <w:sz w:val="20"/>
                <w:szCs w:val="20"/>
              </w:rPr>
              <w:t>TES or ATAR (as % of SSC receivers)</w:t>
            </w:r>
          </w:p>
        </w:tc>
        <w:tc>
          <w:tcPr>
            <w:tcW w:w="1132" w:type="dxa"/>
            <w:tcMar>
              <w:top w:w="30" w:type="dxa"/>
              <w:left w:w="45" w:type="dxa"/>
              <w:bottom w:w="30" w:type="dxa"/>
              <w:right w:w="45" w:type="dxa"/>
            </w:tcMar>
            <w:vAlign w:val="bottom"/>
            <w:hideMark/>
          </w:tcPr>
          <w:p w14:paraId="65BB1241" w14:textId="77777777" w:rsidR="004F6F8E" w:rsidRDefault="004F6F8E">
            <w:pPr>
              <w:jc w:val="right"/>
              <w:rPr>
                <w:rFonts w:ascii="Arial" w:hAnsi="Arial" w:cs="Arial"/>
                <w:sz w:val="20"/>
                <w:szCs w:val="20"/>
              </w:rPr>
            </w:pPr>
            <w:r>
              <w:rPr>
                <w:rFonts w:ascii="Arial" w:hAnsi="Arial" w:cs="Arial"/>
                <w:sz w:val="20"/>
                <w:szCs w:val="20"/>
              </w:rPr>
              <w:t>61.70%</w:t>
            </w:r>
          </w:p>
        </w:tc>
        <w:tc>
          <w:tcPr>
            <w:tcW w:w="1273" w:type="dxa"/>
            <w:tcMar>
              <w:top w:w="30" w:type="dxa"/>
              <w:left w:w="45" w:type="dxa"/>
              <w:bottom w:w="30" w:type="dxa"/>
              <w:right w:w="45" w:type="dxa"/>
            </w:tcMar>
            <w:vAlign w:val="bottom"/>
            <w:hideMark/>
          </w:tcPr>
          <w:p w14:paraId="54B82F17" w14:textId="77777777" w:rsidR="004F6F8E" w:rsidRDefault="004F6F8E">
            <w:pPr>
              <w:jc w:val="right"/>
              <w:rPr>
                <w:rFonts w:ascii="Arial" w:hAnsi="Arial" w:cs="Arial"/>
                <w:sz w:val="20"/>
                <w:szCs w:val="20"/>
              </w:rPr>
            </w:pPr>
            <w:r>
              <w:rPr>
                <w:rFonts w:ascii="Arial" w:hAnsi="Arial" w:cs="Arial"/>
                <w:sz w:val="20"/>
                <w:szCs w:val="20"/>
              </w:rPr>
              <w:t>48.00%</w:t>
            </w:r>
          </w:p>
        </w:tc>
        <w:tc>
          <w:tcPr>
            <w:tcW w:w="1273" w:type="dxa"/>
            <w:tcMar>
              <w:top w:w="30" w:type="dxa"/>
              <w:left w:w="45" w:type="dxa"/>
              <w:bottom w:w="30" w:type="dxa"/>
              <w:right w:w="45" w:type="dxa"/>
            </w:tcMar>
            <w:vAlign w:val="bottom"/>
            <w:hideMark/>
          </w:tcPr>
          <w:p w14:paraId="38F35947" w14:textId="77777777" w:rsidR="004F6F8E" w:rsidRDefault="004F6F8E">
            <w:pPr>
              <w:jc w:val="right"/>
              <w:rPr>
                <w:rFonts w:ascii="Arial" w:hAnsi="Arial" w:cs="Arial"/>
                <w:sz w:val="20"/>
                <w:szCs w:val="20"/>
              </w:rPr>
            </w:pPr>
            <w:r>
              <w:rPr>
                <w:rFonts w:ascii="Arial" w:hAnsi="Arial" w:cs="Arial"/>
                <w:sz w:val="20"/>
                <w:szCs w:val="20"/>
              </w:rPr>
              <w:t>58.20%</w:t>
            </w:r>
          </w:p>
        </w:tc>
        <w:tc>
          <w:tcPr>
            <w:tcW w:w="1149" w:type="dxa"/>
            <w:tcMar>
              <w:top w:w="30" w:type="dxa"/>
              <w:left w:w="45" w:type="dxa"/>
              <w:bottom w:w="30" w:type="dxa"/>
              <w:right w:w="45" w:type="dxa"/>
            </w:tcMar>
            <w:vAlign w:val="bottom"/>
            <w:hideMark/>
          </w:tcPr>
          <w:p w14:paraId="6AB4BD0D" w14:textId="77777777" w:rsidR="004F6F8E" w:rsidRDefault="004F6F8E">
            <w:pPr>
              <w:jc w:val="right"/>
              <w:rPr>
                <w:rFonts w:ascii="Arial" w:hAnsi="Arial" w:cs="Arial"/>
                <w:sz w:val="20"/>
                <w:szCs w:val="20"/>
              </w:rPr>
            </w:pPr>
            <w:r>
              <w:rPr>
                <w:rFonts w:ascii="Arial" w:hAnsi="Arial" w:cs="Arial"/>
                <w:sz w:val="20"/>
                <w:szCs w:val="20"/>
              </w:rPr>
              <w:t>63.10%</w:t>
            </w:r>
          </w:p>
        </w:tc>
        <w:tc>
          <w:tcPr>
            <w:tcW w:w="1324" w:type="dxa"/>
            <w:tcMar>
              <w:top w:w="30" w:type="dxa"/>
              <w:left w:w="45" w:type="dxa"/>
              <w:bottom w:w="30" w:type="dxa"/>
              <w:right w:w="45" w:type="dxa"/>
            </w:tcMar>
            <w:vAlign w:val="bottom"/>
            <w:hideMark/>
          </w:tcPr>
          <w:p w14:paraId="32C587C5" w14:textId="77777777" w:rsidR="004F6F8E" w:rsidRDefault="004F6F8E">
            <w:pPr>
              <w:jc w:val="right"/>
              <w:rPr>
                <w:rFonts w:ascii="Arial" w:hAnsi="Arial" w:cs="Arial"/>
                <w:sz w:val="20"/>
                <w:szCs w:val="20"/>
              </w:rPr>
            </w:pPr>
            <w:r>
              <w:rPr>
                <w:rFonts w:ascii="Arial" w:hAnsi="Arial" w:cs="Arial"/>
                <w:sz w:val="20"/>
                <w:szCs w:val="20"/>
              </w:rPr>
              <w:t>46.20%</w:t>
            </w:r>
          </w:p>
        </w:tc>
        <w:tc>
          <w:tcPr>
            <w:tcW w:w="802" w:type="dxa"/>
            <w:tcMar>
              <w:top w:w="30" w:type="dxa"/>
              <w:left w:w="45" w:type="dxa"/>
              <w:bottom w:w="30" w:type="dxa"/>
              <w:right w:w="45" w:type="dxa"/>
            </w:tcMar>
            <w:vAlign w:val="bottom"/>
            <w:hideMark/>
          </w:tcPr>
          <w:p w14:paraId="5EF6678E" w14:textId="77777777" w:rsidR="004F6F8E" w:rsidRDefault="004F6F8E">
            <w:pPr>
              <w:jc w:val="right"/>
              <w:rPr>
                <w:rFonts w:ascii="Arial" w:hAnsi="Arial" w:cs="Arial"/>
                <w:sz w:val="20"/>
                <w:szCs w:val="20"/>
              </w:rPr>
            </w:pPr>
            <w:r>
              <w:rPr>
                <w:rFonts w:ascii="Arial" w:hAnsi="Arial" w:cs="Arial"/>
                <w:sz w:val="20"/>
                <w:szCs w:val="20"/>
              </w:rPr>
              <w:t>55.20%</w:t>
            </w:r>
          </w:p>
        </w:tc>
      </w:tr>
      <w:tr w:rsidR="00C66C88" w14:paraId="1175AF65" w14:textId="77777777" w:rsidTr="00C66C88">
        <w:trPr>
          <w:trHeight w:val="315"/>
        </w:trPr>
        <w:tc>
          <w:tcPr>
            <w:tcW w:w="2251" w:type="dxa"/>
            <w:tcMar>
              <w:top w:w="30" w:type="dxa"/>
              <w:left w:w="45" w:type="dxa"/>
              <w:bottom w:w="30" w:type="dxa"/>
              <w:right w:w="45" w:type="dxa"/>
            </w:tcMar>
            <w:vAlign w:val="bottom"/>
            <w:hideMark/>
          </w:tcPr>
          <w:p w14:paraId="5F0128AF" w14:textId="77777777" w:rsidR="004F6F8E" w:rsidRPr="00BA7B82" w:rsidRDefault="004F6F8E">
            <w:pPr>
              <w:rPr>
                <w:rFonts w:ascii="Arial" w:hAnsi="Arial" w:cs="Arial"/>
                <w:b/>
                <w:bCs/>
                <w:sz w:val="20"/>
                <w:szCs w:val="20"/>
              </w:rPr>
            </w:pPr>
            <w:r w:rsidRPr="00BA7B82">
              <w:rPr>
                <w:rFonts w:ascii="Arial" w:hAnsi="Arial" w:cs="Arial"/>
                <w:b/>
                <w:bCs/>
                <w:sz w:val="20"/>
                <w:szCs w:val="20"/>
              </w:rPr>
              <w:t>ATAR Results</w:t>
            </w:r>
          </w:p>
        </w:tc>
        <w:tc>
          <w:tcPr>
            <w:tcW w:w="1132" w:type="dxa"/>
            <w:tcMar>
              <w:top w:w="30" w:type="dxa"/>
              <w:left w:w="45" w:type="dxa"/>
              <w:bottom w:w="30" w:type="dxa"/>
              <w:right w:w="45" w:type="dxa"/>
            </w:tcMar>
            <w:vAlign w:val="bottom"/>
            <w:hideMark/>
          </w:tcPr>
          <w:p w14:paraId="4A82A7ED"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11710D96" w14:textId="77777777" w:rsidR="004F6F8E" w:rsidRDefault="004F6F8E">
            <w:pPr>
              <w:rPr>
                <w:rFonts w:ascii="Times New Roman" w:eastAsia="Times New Roman" w:hAnsi="Times New Roman" w:cs="Times New Roman"/>
                <w:sz w:val="20"/>
                <w:szCs w:val="20"/>
              </w:rPr>
            </w:pPr>
          </w:p>
        </w:tc>
        <w:tc>
          <w:tcPr>
            <w:tcW w:w="1273" w:type="dxa"/>
            <w:tcMar>
              <w:top w:w="30" w:type="dxa"/>
              <w:left w:w="45" w:type="dxa"/>
              <w:bottom w:w="30" w:type="dxa"/>
              <w:right w:w="45" w:type="dxa"/>
            </w:tcMar>
            <w:vAlign w:val="bottom"/>
            <w:hideMark/>
          </w:tcPr>
          <w:p w14:paraId="3922E8D8" w14:textId="77777777" w:rsidR="004F6F8E" w:rsidRDefault="004F6F8E">
            <w:pPr>
              <w:rPr>
                <w:rFonts w:ascii="Times New Roman" w:eastAsia="Times New Roman" w:hAnsi="Times New Roman" w:cs="Times New Roman"/>
                <w:sz w:val="20"/>
                <w:szCs w:val="20"/>
              </w:rPr>
            </w:pPr>
          </w:p>
        </w:tc>
        <w:tc>
          <w:tcPr>
            <w:tcW w:w="1149" w:type="dxa"/>
            <w:tcMar>
              <w:top w:w="30" w:type="dxa"/>
              <w:left w:w="45" w:type="dxa"/>
              <w:bottom w:w="30" w:type="dxa"/>
              <w:right w:w="45" w:type="dxa"/>
            </w:tcMar>
            <w:vAlign w:val="bottom"/>
            <w:hideMark/>
          </w:tcPr>
          <w:p w14:paraId="0B4B6689" w14:textId="77777777" w:rsidR="004F6F8E" w:rsidRDefault="004F6F8E">
            <w:pPr>
              <w:rPr>
                <w:rFonts w:ascii="Times New Roman" w:eastAsia="Times New Roman" w:hAnsi="Times New Roman" w:cs="Times New Roman"/>
                <w:sz w:val="20"/>
                <w:szCs w:val="20"/>
              </w:rPr>
            </w:pPr>
          </w:p>
        </w:tc>
        <w:tc>
          <w:tcPr>
            <w:tcW w:w="1324" w:type="dxa"/>
            <w:tcMar>
              <w:top w:w="30" w:type="dxa"/>
              <w:left w:w="45" w:type="dxa"/>
              <w:bottom w:w="30" w:type="dxa"/>
              <w:right w:w="45" w:type="dxa"/>
            </w:tcMar>
            <w:vAlign w:val="bottom"/>
            <w:hideMark/>
          </w:tcPr>
          <w:p w14:paraId="66A954DB" w14:textId="77777777" w:rsidR="004F6F8E" w:rsidRDefault="004F6F8E">
            <w:pPr>
              <w:rPr>
                <w:rFonts w:ascii="Times New Roman" w:eastAsia="Times New Roman" w:hAnsi="Times New Roman" w:cs="Times New Roman"/>
                <w:sz w:val="20"/>
                <w:szCs w:val="20"/>
              </w:rPr>
            </w:pPr>
          </w:p>
        </w:tc>
        <w:tc>
          <w:tcPr>
            <w:tcW w:w="802" w:type="dxa"/>
            <w:tcMar>
              <w:top w:w="30" w:type="dxa"/>
              <w:left w:w="45" w:type="dxa"/>
              <w:bottom w:w="30" w:type="dxa"/>
              <w:right w:w="45" w:type="dxa"/>
            </w:tcMar>
            <w:vAlign w:val="bottom"/>
            <w:hideMark/>
          </w:tcPr>
          <w:p w14:paraId="09295384" w14:textId="77777777" w:rsidR="004F6F8E" w:rsidRDefault="004F6F8E">
            <w:pPr>
              <w:rPr>
                <w:rFonts w:ascii="Times New Roman" w:eastAsia="Times New Roman" w:hAnsi="Times New Roman" w:cs="Times New Roman"/>
                <w:sz w:val="20"/>
                <w:szCs w:val="20"/>
              </w:rPr>
            </w:pPr>
          </w:p>
        </w:tc>
      </w:tr>
      <w:tr w:rsidR="00C66C88" w14:paraId="7BE48C70" w14:textId="77777777" w:rsidTr="00C66C88">
        <w:trPr>
          <w:trHeight w:val="315"/>
        </w:trPr>
        <w:tc>
          <w:tcPr>
            <w:tcW w:w="2251" w:type="dxa"/>
            <w:tcMar>
              <w:top w:w="30" w:type="dxa"/>
              <w:left w:w="45" w:type="dxa"/>
              <w:bottom w:w="30" w:type="dxa"/>
              <w:right w:w="45" w:type="dxa"/>
            </w:tcMar>
            <w:vAlign w:val="bottom"/>
            <w:hideMark/>
          </w:tcPr>
          <w:p w14:paraId="6AD67142" w14:textId="77777777" w:rsidR="004F6F8E" w:rsidRDefault="004F6F8E">
            <w:pPr>
              <w:rPr>
                <w:rFonts w:ascii="Arial" w:hAnsi="Arial" w:cs="Arial"/>
                <w:sz w:val="20"/>
                <w:szCs w:val="20"/>
              </w:rPr>
            </w:pPr>
            <w:r>
              <w:rPr>
                <w:rFonts w:ascii="Arial" w:hAnsi="Arial" w:cs="Arial"/>
                <w:sz w:val="20"/>
                <w:szCs w:val="20"/>
              </w:rPr>
              <w:t>Median ATAR</w:t>
            </w:r>
          </w:p>
        </w:tc>
        <w:tc>
          <w:tcPr>
            <w:tcW w:w="1132" w:type="dxa"/>
            <w:tcMar>
              <w:top w:w="30" w:type="dxa"/>
              <w:left w:w="45" w:type="dxa"/>
              <w:bottom w:w="30" w:type="dxa"/>
              <w:right w:w="45" w:type="dxa"/>
            </w:tcMar>
            <w:vAlign w:val="bottom"/>
            <w:hideMark/>
          </w:tcPr>
          <w:p w14:paraId="3FC3DA53" w14:textId="77777777" w:rsidR="004F6F8E" w:rsidRDefault="004F6F8E">
            <w:pPr>
              <w:jc w:val="right"/>
              <w:rPr>
                <w:rFonts w:ascii="Arial" w:hAnsi="Arial" w:cs="Arial"/>
                <w:sz w:val="20"/>
                <w:szCs w:val="20"/>
              </w:rPr>
            </w:pPr>
            <w:r>
              <w:rPr>
                <w:rFonts w:ascii="Arial" w:hAnsi="Arial" w:cs="Arial"/>
                <w:sz w:val="20"/>
                <w:szCs w:val="20"/>
              </w:rPr>
              <w:t>82.45</w:t>
            </w:r>
          </w:p>
        </w:tc>
        <w:tc>
          <w:tcPr>
            <w:tcW w:w="1273" w:type="dxa"/>
            <w:vMerge w:val="restart"/>
            <w:tcMar>
              <w:top w:w="30" w:type="dxa"/>
              <w:left w:w="45" w:type="dxa"/>
              <w:bottom w:w="30" w:type="dxa"/>
              <w:right w:w="45" w:type="dxa"/>
            </w:tcMar>
            <w:vAlign w:val="bottom"/>
            <w:hideMark/>
          </w:tcPr>
          <w:p w14:paraId="579B8AFA"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052F7716" w14:textId="77777777" w:rsidR="004F6F8E" w:rsidRDefault="004F6F8E">
            <w:pPr>
              <w:jc w:val="right"/>
              <w:rPr>
                <w:rFonts w:ascii="Arial" w:hAnsi="Arial" w:cs="Arial"/>
                <w:sz w:val="20"/>
                <w:szCs w:val="20"/>
              </w:rPr>
            </w:pPr>
            <w:r>
              <w:rPr>
                <w:rFonts w:ascii="Arial" w:hAnsi="Arial" w:cs="Arial"/>
                <w:sz w:val="20"/>
                <w:szCs w:val="20"/>
              </w:rPr>
              <w:t>77.65</w:t>
            </w:r>
          </w:p>
        </w:tc>
        <w:tc>
          <w:tcPr>
            <w:tcW w:w="1149" w:type="dxa"/>
            <w:tcMar>
              <w:top w:w="30" w:type="dxa"/>
              <w:left w:w="45" w:type="dxa"/>
              <w:bottom w:w="30" w:type="dxa"/>
              <w:right w:w="45" w:type="dxa"/>
            </w:tcMar>
            <w:vAlign w:val="bottom"/>
            <w:hideMark/>
          </w:tcPr>
          <w:p w14:paraId="08F82771" w14:textId="77777777" w:rsidR="004F6F8E" w:rsidRDefault="004F6F8E">
            <w:pPr>
              <w:jc w:val="right"/>
              <w:rPr>
                <w:rFonts w:ascii="Arial" w:hAnsi="Arial" w:cs="Arial"/>
                <w:sz w:val="20"/>
                <w:szCs w:val="20"/>
              </w:rPr>
            </w:pPr>
            <w:r>
              <w:rPr>
                <w:rFonts w:ascii="Arial" w:hAnsi="Arial" w:cs="Arial"/>
                <w:sz w:val="20"/>
                <w:szCs w:val="20"/>
              </w:rPr>
              <w:t>82.15</w:t>
            </w:r>
          </w:p>
        </w:tc>
        <w:tc>
          <w:tcPr>
            <w:tcW w:w="1324" w:type="dxa"/>
            <w:vMerge w:val="restart"/>
            <w:tcMar>
              <w:top w:w="30" w:type="dxa"/>
              <w:left w:w="45" w:type="dxa"/>
              <w:bottom w:w="30" w:type="dxa"/>
              <w:right w:w="45" w:type="dxa"/>
            </w:tcMar>
            <w:vAlign w:val="bottom"/>
            <w:hideMark/>
          </w:tcPr>
          <w:p w14:paraId="330DC01E"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318FFCDE" w14:textId="77777777" w:rsidR="004F6F8E" w:rsidRDefault="004F6F8E">
            <w:pPr>
              <w:jc w:val="right"/>
              <w:rPr>
                <w:rFonts w:ascii="Arial" w:hAnsi="Arial" w:cs="Arial"/>
                <w:sz w:val="20"/>
                <w:szCs w:val="20"/>
              </w:rPr>
            </w:pPr>
            <w:r>
              <w:rPr>
                <w:rFonts w:ascii="Arial" w:hAnsi="Arial" w:cs="Arial"/>
                <w:sz w:val="20"/>
                <w:szCs w:val="20"/>
              </w:rPr>
              <w:t>78.45</w:t>
            </w:r>
          </w:p>
        </w:tc>
      </w:tr>
      <w:tr w:rsidR="00C66C88" w14:paraId="02B94044" w14:textId="77777777" w:rsidTr="00C66C88">
        <w:trPr>
          <w:trHeight w:val="315"/>
        </w:trPr>
        <w:tc>
          <w:tcPr>
            <w:tcW w:w="2251" w:type="dxa"/>
            <w:tcMar>
              <w:top w:w="30" w:type="dxa"/>
              <w:left w:w="45" w:type="dxa"/>
              <w:bottom w:w="30" w:type="dxa"/>
              <w:right w:w="45" w:type="dxa"/>
            </w:tcMar>
            <w:vAlign w:val="bottom"/>
            <w:hideMark/>
          </w:tcPr>
          <w:p w14:paraId="09ECA2F2" w14:textId="77777777" w:rsidR="004F6F8E" w:rsidRDefault="004F6F8E">
            <w:pPr>
              <w:rPr>
                <w:rFonts w:ascii="Arial" w:hAnsi="Arial" w:cs="Arial"/>
                <w:sz w:val="20"/>
                <w:szCs w:val="20"/>
              </w:rPr>
            </w:pPr>
            <w:r>
              <w:rPr>
                <w:rFonts w:ascii="Arial" w:hAnsi="Arial" w:cs="Arial"/>
                <w:sz w:val="20"/>
                <w:szCs w:val="20"/>
              </w:rPr>
              <w:t>ATAR and cumulative% of T Students</w:t>
            </w:r>
          </w:p>
        </w:tc>
        <w:tc>
          <w:tcPr>
            <w:tcW w:w="1132" w:type="dxa"/>
            <w:tcMar>
              <w:top w:w="30" w:type="dxa"/>
              <w:left w:w="45" w:type="dxa"/>
              <w:bottom w:w="30" w:type="dxa"/>
              <w:right w:w="45" w:type="dxa"/>
            </w:tcMar>
            <w:vAlign w:val="bottom"/>
            <w:hideMark/>
          </w:tcPr>
          <w:p w14:paraId="5633D3F0" w14:textId="77777777" w:rsidR="004F6F8E" w:rsidRDefault="004F6F8E">
            <w:pPr>
              <w:rPr>
                <w:rFonts w:ascii="Arial" w:hAnsi="Arial" w:cs="Arial"/>
                <w:sz w:val="20"/>
                <w:szCs w:val="20"/>
              </w:rPr>
            </w:pPr>
          </w:p>
        </w:tc>
        <w:tc>
          <w:tcPr>
            <w:tcW w:w="1273" w:type="dxa"/>
            <w:vMerge/>
            <w:vAlign w:val="center"/>
            <w:hideMark/>
          </w:tcPr>
          <w:p w14:paraId="1D56769B"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1910D8AD" w14:textId="77777777" w:rsidR="004F6F8E" w:rsidRDefault="004F6F8E">
            <w:pPr>
              <w:rPr>
                <w:rFonts w:ascii="Times New Roman" w:eastAsia="Times New Roman" w:hAnsi="Times New Roman" w:cs="Times New Roman"/>
                <w:sz w:val="20"/>
                <w:szCs w:val="20"/>
              </w:rPr>
            </w:pPr>
          </w:p>
        </w:tc>
        <w:tc>
          <w:tcPr>
            <w:tcW w:w="1149" w:type="dxa"/>
            <w:tcMar>
              <w:top w:w="30" w:type="dxa"/>
              <w:left w:w="45" w:type="dxa"/>
              <w:bottom w:w="30" w:type="dxa"/>
              <w:right w:w="45" w:type="dxa"/>
            </w:tcMar>
            <w:vAlign w:val="bottom"/>
            <w:hideMark/>
          </w:tcPr>
          <w:p w14:paraId="36551973" w14:textId="77777777" w:rsidR="004F6F8E" w:rsidRDefault="004F6F8E">
            <w:pPr>
              <w:rPr>
                <w:rFonts w:ascii="Times New Roman" w:eastAsia="Times New Roman" w:hAnsi="Times New Roman" w:cs="Times New Roman"/>
                <w:sz w:val="20"/>
                <w:szCs w:val="20"/>
              </w:rPr>
            </w:pPr>
          </w:p>
        </w:tc>
        <w:tc>
          <w:tcPr>
            <w:tcW w:w="1324" w:type="dxa"/>
            <w:vMerge/>
            <w:vAlign w:val="center"/>
            <w:hideMark/>
          </w:tcPr>
          <w:p w14:paraId="79BE17E2"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0CA72168" w14:textId="77777777" w:rsidR="004F6F8E" w:rsidRDefault="004F6F8E">
            <w:pPr>
              <w:rPr>
                <w:rFonts w:ascii="Times New Roman" w:eastAsia="Times New Roman" w:hAnsi="Times New Roman" w:cs="Times New Roman"/>
                <w:sz w:val="20"/>
                <w:szCs w:val="20"/>
              </w:rPr>
            </w:pPr>
          </w:p>
        </w:tc>
      </w:tr>
      <w:tr w:rsidR="00C66C88" w14:paraId="780FC657" w14:textId="77777777" w:rsidTr="00C66C88">
        <w:trPr>
          <w:trHeight w:val="315"/>
        </w:trPr>
        <w:tc>
          <w:tcPr>
            <w:tcW w:w="2251" w:type="dxa"/>
            <w:tcMar>
              <w:top w:w="30" w:type="dxa"/>
              <w:left w:w="45" w:type="dxa"/>
              <w:bottom w:w="30" w:type="dxa"/>
              <w:right w:w="45" w:type="dxa"/>
            </w:tcMar>
            <w:vAlign w:val="bottom"/>
            <w:hideMark/>
          </w:tcPr>
          <w:p w14:paraId="17E32DFF" w14:textId="77777777" w:rsidR="004F6F8E" w:rsidRDefault="004F6F8E">
            <w:pPr>
              <w:jc w:val="right"/>
              <w:rPr>
                <w:rFonts w:ascii="Arial" w:hAnsi="Arial" w:cs="Arial"/>
                <w:sz w:val="20"/>
                <w:szCs w:val="20"/>
              </w:rPr>
            </w:pPr>
            <w:r>
              <w:rPr>
                <w:rFonts w:ascii="Arial" w:hAnsi="Arial" w:cs="Arial"/>
                <w:sz w:val="20"/>
                <w:szCs w:val="20"/>
              </w:rPr>
              <w:t>99</w:t>
            </w:r>
          </w:p>
        </w:tc>
        <w:tc>
          <w:tcPr>
            <w:tcW w:w="1132" w:type="dxa"/>
            <w:tcMar>
              <w:top w:w="30" w:type="dxa"/>
              <w:left w:w="45" w:type="dxa"/>
              <w:bottom w:w="30" w:type="dxa"/>
              <w:right w:w="45" w:type="dxa"/>
            </w:tcMar>
            <w:vAlign w:val="bottom"/>
            <w:hideMark/>
          </w:tcPr>
          <w:p w14:paraId="01685973" w14:textId="77777777" w:rsidR="004F6F8E" w:rsidRDefault="004F6F8E">
            <w:pPr>
              <w:jc w:val="right"/>
              <w:rPr>
                <w:rFonts w:ascii="Arial" w:hAnsi="Arial" w:cs="Arial"/>
                <w:sz w:val="20"/>
                <w:szCs w:val="20"/>
              </w:rPr>
            </w:pPr>
            <w:r>
              <w:rPr>
                <w:rFonts w:ascii="Arial" w:hAnsi="Arial" w:cs="Arial"/>
                <w:sz w:val="20"/>
                <w:szCs w:val="20"/>
              </w:rPr>
              <w:t>2.90%</w:t>
            </w:r>
          </w:p>
        </w:tc>
        <w:tc>
          <w:tcPr>
            <w:tcW w:w="1273" w:type="dxa"/>
            <w:vMerge/>
            <w:vAlign w:val="center"/>
            <w:hideMark/>
          </w:tcPr>
          <w:p w14:paraId="1B3C31AC"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6F4A635B" w14:textId="77777777" w:rsidR="004F6F8E" w:rsidRDefault="004F6F8E">
            <w:pPr>
              <w:jc w:val="right"/>
              <w:rPr>
                <w:rFonts w:ascii="Arial" w:hAnsi="Arial" w:cs="Arial"/>
                <w:sz w:val="20"/>
                <w:szCs w:val="20"/>
              </w:rPr>
            </w:pPr>
            <w:r>
              <w:rPr>
                <w:rFonts w:ascii="Arial" w:hAnsi="Arial" w:cs="Arial"/>
                <w:sz w:val="20"/>
                <w:szCs w:val="20"/>
              </w:rPr>
              <w:t>2.20%</w:t>
            </w:r>
          </w:p>
        </w:tc>
        <w:tc>
          <w:tcPr>
            <w:tcW w:w="1149" w:type="dxa"/>
            <w:tcMar>
              <w:top w:w="30" w:type="dxa"/>
              <w:left w:w="45" w:type="dxa"/>
              <w:bottom w:w="30" w:type="dxa"/>
              <w:right w:w="45" w:type="dxa"/>
            </w:tcMar>
            <w:vAlign w:val="bottom"/>
            <w:hideMark/>
          </w:tcPr>
          <w:p w14:paraId="13D29787" w14:textId="77777777" w:rsidR="004F6F8E" w:rsidRDefault="004F6F8E">
            <w:pPr>
              <w:jc w:val="right"/>
              <w:rPr>
                <w:rFonts w:ascii="Arial" w:hAnsi="Arial" w:cs="Arial"/>
                <w:sz w:val="20"/>
                <w:szCs w:val="20"/>
              </w:rPr>
            </w:pPr>
            <w:r>
              <w:rPr>
                <w:rFonts w:ascii="Arial" w:hAnsi="Arial" w:cs="Arial"/>
                <w:sz w:val="20"/>
                <w:szCs w:val="20"/>
              </w:rPr>
              <w:t>4.00%</w:t>
            </w:r>
          </w:p>
        </w:tc>
        <w:tc>
          <w:tcPr>
            <w:tcW w:w="1324" w:type="dxa"/>
            <w:vMerge/>
            <w:vAlign w:val="center"/>
            <w:hideMark/>
          </w:tcPr>
          <w:p w14:paraId="110BE2D9"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100A5948" w14:textId="77777777" w:rsidR="004F6F8E" w:rsidRDefault="004F6F8E">
            <w:pPr>
              <w:jc w:val="right"/>
              <w:rPr>
                <w:rFonts w:ascii="Arial" w:hAnsi="Arial" w:cs="Arial"/>
                <w:sz w:val="20"/>
                <w:szCs w:val="20"/>
              </w:rPr>
            </w:pPr>
            <w:r>
              <w:rPr>
                <w:rFonts w:ascii="Arial" w:hAnsi="Arial" w:cs="Arial"/>
                <w:sz w:val="20"/>
                <w:szCs w:val="20"/>
              </w:rPr>
              <w:t>2.40%</w:t>
            </w:r>
          </w:p>
        </w:tc>
      </w:tr>
      <w:tr w:rsidR="00C66C88" w14:paraId="667DB84A" w14:textId="77777777" w:rsidTr="00C66C88">
        <w:trPr>
          <w:trHeight w:val="315"/>
        </w:trPr>
        <w:tc>
          <w:tcPr>
            <w:tcW w:w="2251" w:type="dxa"/>
            <w:tcMar>
              <w:top w:w="30" w:type="dxa"/>
              <w:left w:w="45" w:type="dxa"/>
              <w:bottom w:w="30" w:type="dxa"/>
              <w:right w:w="45" w:type="dxa"/>
            </w:tcMar>
            <w:vAlign w:val="bottom"/>
            <w:hideMark/>
          </w:tcPr>
          <w:p w14:paraId="1038F7BC" w14:textId="77777777" w:rsidR="004F6F8E" w:rsidRDefault="004F6F8E">
            <w:pPr>
              <w:jc w:val="right"/>
              <w:rPr>
                <w:rFonts w:ascii="Arial" w:hAnsi="Arial" w:cs="Arial"/>
                <w:sz w:val="20"/>
                <w:szCs w:val="20"/>
              </w:rPr>
            </w:pPr>
            <w:r>
              <w:rPr>
                <w:rFonts w:ascii="Arial" w:hAnsi="Arial" w:cs="Arial"/>
                <w:sz w:val="20"/>
                <w:szCs w:val="20"/>
              </w:rPr>
              <w:t>90</w:t>
            </w:r>
          </w:p>
        </w:tc>
        <w:tc>
          <w:tcPr>
            <w:tcW w:w="1132" w:type="dxa"/>
            <w:tcMar>
              <w:top w:w="30" w:type="dxa"/>
              <w:left w:w="45" w:type="dxa"/>
              <w:bottom w:w="30" w:type="dxa"/>
              <w:right w:w="45" w:type="dxa"/>
            </w:tcMar>
            <w:vAlign w:val="bottom"/>
            <w:hideMark/>
          </w:tcPr>
          <w:p w14:paraId="7484B226" w14:textId="77777777" w:rsidR="004F6F8E" w:rsidRDefault="004F6F8E">
            <w:pPr>
              <w:jc w:val="right"/>
              <w:rPr>
                <w:rFonts w:ascii="Arial" w:hAnsi="Arial" w:cs="Arial"/>
                <w:sz w:val="20"/>
                <w:szCs w:val="20"/>
              </w:rPr>
            </w:pPr>
            <w:r>
              <w:rPr>
                <w:rFonts w:ascii="Arial" w:hAnsi="Arial" w:cs="Arial"/>
                <w:sz w:val="20"/>
                <w:szCs w:val="20"/>
              </w:rPr>
              <w:t>31.95%</w:t>
            </w:r>
          </w:p>
        </w:tc>
        <w:tc>
          <w:tcPr>
            <w:tcW w:w="1273" w:type="dxa"/>
            <w:vMerge/>
            <w:vAlign w:val="center"/>
            <w:hideMark/>
          </w:tcPr>
          <w:p w14:paraId="21B34741"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75C14E5E" w14:textId="77777777" w:rsidR="004F6F8E" w:rsidRDefault="004F6F8E">
            <w:pPr>
              <w:jc w:val="right"/>
              <w:rPr>
                <w:rFonts w:ascii="Arial" w:hAnsi="Arial" w:cs="Arial"/>
                <w:sz w:val="20"/>
                <w:szCs w:val="20"/>
              </w:rPr>
            </w:pPr>
            <w:r>
              <w:rPr>
                <w:rFonts w:ascii="Arial" w:hAnsi="Arial" w:cs="Arial"/>
                <w:sz w:val="20"/>
                <w:szCs w:val="20"/>
              </w:rPr>
              <w:t>22.00%</w:t>
            </w:r>
          </w:p>
        </w:tc>
        <w:tc>
          <w:tcPr>
            <w:tcW w:w="1149" w:type="dxa"/>
            <w:tcMar>
              <w:top w:w="30" w:type="dxa"/>
              <w:left w:w="45" w:type="dxa"/>
              <w:bottom w:w="30" w:type="dxa"/>
              <w:right w:w="45" w:type="dxa"/>
            </w:tcMar>
            <w:vAlign w:val="bottom"/>
            <w:hideMark/>
          </w:tcPr>
          <w:p w14:paraId="13E8707A" w14:textId="77777777" w:rsidR="004F6F8E" w:rsidRDefault="004F6F8E">
            <w:pPr>
              <w:jc w:val="right"/>
              <w:rPr>
                <w:rFonts w:ascii="Arial" w:hAnsi="Arial" w:cs="Arial"/>
                <w:sz w:val="20"/>
                <w:szCs w:val="20"/>
              </w:rPr>
            </w:pPr>
            <w:r>
              <w:rPr>
                <w:rFonts w:ascii="Arial" w:hAnsi="Arial" w:cs="Arial"/>
                <w:sz w:val="20"/>
                <w:szCs w:val="20"/>
              </w:rPr>
              <w:t>35.00%</w:t>
            </w:r>
          </w:p>
        </w:tc>
        <w:tc>
          <w:tcPr>
            <w:tcW w:w="1324" w:type="dxa"/>
            <w:vMerge/>
            <w:vAlign w:val="center"/>
            <w:hideMark/>
          </w:tcPr>
          <w:p w14:paraId="572FA367"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599C9144" w14:textId="77777777" w:rsidR="004F6F8E" w:rsidRDefault="004F6F8E">
            <w:pPr>
              <w:jc w:val="right"/>
              <w:rPr>
                <w:rFonts w:ascii="Arial" w:hAnsi="Arial" w:cs="Arial"/>
                <w:sz w:val="20"/>
                <w:szCs w:val="20"/>
              </w:rPr>
            </w:pPr>
            <w:r>
              <w:rPr>
                <w:rFonts w:ascii="Arial" w:hAnsi="Arial" w:cs="Arial"/>
                <w:sz w:val="20"/>
                <w:szCs w:val="20"/>
              </w:rPr>
              <w:t>22.50%</w:t>
            </w:r>
          </w:p>
        </w:tc>
      </w:tr>
      <w:tr w:rsidR="00C66C88" w14:paraId="6BB913EA" w14:textId="77777777" w:rsidTr="00C66C88">
        <w:trPr>
          <w:trHeight w:val="315"/>
        </w:trPr>
        <w:tc>
          <w:tcPr>
            <w:tcW w:w="2251" w:type="dxa"/>
            <w:tcMar>
              <w:top w:w="30" w:type="dxa"/>
              <w:left w:w="45" w:type="dxa"/>
              <w:bottom w:w="30" w:type="dxa"/>
              <w:right w:w="45" w:type="dxa"/>
            </w:tcMar>
            <w:vAlign w:val="bottom"/>
            <w:hideMark/>
          </w:tcPr>
          <w:p w14:paraId="0013DFE1" w14:textId="77777777" w:rsidR="004F6F8E" w:rsidRDefault="004F6F8E">
            <w:pPr>
              <w:jc w:val="right"/>
              <w:rPr>
                <w:rFonts w:ascii="Arial" w:hAnsi="Arial" w:cs="Arial"/>
                <w:sz w:val="20"/>
                <w:szCs w:val="20"/>
              </w:rPr>
            </w:pPr>
            <w:r>
              <w:rPr>
                <w:rFonts w:ascii="Arial" w:hAnsi="Arial" w:cs="Arial"/>
                <w:sz w:val="20"/>
                <w:szCs w:val="20"/>
              </w:rPr>
              <w:t>80</w:t>
            </w:r>
          </w:p>
        </w:tc>
        <w:tc>
          <w:tcPr>
            <w:tcW w:w="1132" w:type="dxa"/>
            <w:tcMar>
              <w:top w:w="30" w:type="dxa"/>
              <w:left w:w="45" w:type="dxa"/>
              <w:bottom w:w="30" w:type="dxa"/>
              <w:right w:w="45" w:type="dxa"/>
            </w:tcMar>
            <w:vAlign w:val="bottom"/>
            <w:hideMark/>
          </w:tcPr>
          <w:p w14:paraId="15806AEC" w14:textId="77777777" w:rsidR="004F6F8E" w:rsidRDefault="004F6F8E">
            <w:pPr>
              <w:jc w:val="right"/>
              <w:rPr>
                <w:rFonts w:ascii="Arial" w:hAnsi="Arial" w:cs="Arial"/>
                <w:sz w:val="20"/>
                <w:szCs w:val="20"/>
              </w:rPr>
            </w:pPr>
            <w:r>
              <w:rPr>
                <w:rFonts w:ascii="Arial" w:hAnsi="Arial" w:cs="Arial"/>
                <w:sz w:val="20"/>
                <w:szCs w:val="20"/>
              </w:rPr>
              <w:t>59.70%</w:t>
            </w:r>
          </w:p>
        </w:tc>
        <w:tc>
          <w:tcPr>
            <w:tcW w:w="1273" w:type="dxa"/>
            <w:vMerge/>
            <w:vAlign w:val="center"/>
            <w:hideMark/>
          </w:tcPr>
          <w:p w14:paraId="7A928B57"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62F88B86" w14:textId="77777777" w:rsidR="004F6F8E" w:rsidRDefault="004F6F8E">
            <w:pPr>
              <w:jc w:val="right"/>
              <w:rPr>
                <w:rFonts w:ascii="Arial" w:hAnsi="Arial" w:cs="Arial"/>
                <w:sz w:val="20"/>
                <w:szCs w:val="20"/>
              </w:rPr>
            </w:pPr>
            <w:r>
              <w:rPr>
                <w:rFonts w:ascii="Arial" w:hAnsi="Arial" w:cs="Arial"/>
                <w:sz w:val="20"/>
                <w:szCs w:val="20"/>
              </w:rPr>
              <w:t>44.00%</w:t>
            </w:r>
          </w:p>
        </w:tc>
        <w:tc>
          <w:tcPr>
            <w:tcW w:w="1149" w:type="dxa"/>
            <w:tcMar>
              <w:top w:w="30" w:type="dxa"/>
              <w:left w:w="45" w:type="dxa"/>
              <w:bottom w:w="30" w:type="dxa"/>
              <w:right w:w="45" w:type="dxa"/>
            </w:tcMar>
            <w:vAlign w:val="bottom"/>
            <w:hideMark/>
          </w:tcPr>
          <w:p w14:paraId="740D7250" w14:textId="77777777" w:rsidR="004F6F8E" w:rsidRDefault="004F6F8E">
            <w:pPr>
              <w:jc w:val="right"/>
              <w:rPr>
                <w:rFonts w:ascii="Arial" w:hAnsi="Arial" w:cs="Arial"/>
                <w:sz w:val="20"/>
                <w:szCs w:val="20"/>
              </w:rPr>
            </w:pPr>
            <w:r>
              <w:rPr>
                <w:rFonts w:ascii="Arial" w:hAnsi="Arial" w:cs="Arial"/>
                <w:sz w:val="20"/>
                <w:szCs w:val="20"/>
              </w:rPr>
              <w:t>54.00%</w:t>
            </w:r>
          </w:p>
        </w:tc>
        <w:tc>
          <w:tcPr>
            <w:tcW w:w="1324" w:type="dxa"/>
            <w:vMerge/>
            <w:vAlign w:val="center"/>
            <w:hideMark/>
          </w:tcPr>
          <w:p w14:paraId="42E750B6"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3F103474" w14:textId="77777777" w:rsidR="004F6F8E" w:rsidRDefault="004F6F8E">
            <w:pPr>
              <w:jc w:val="right"/>
              <w:rPr>
                <w:rFonts w:ascii="Arial" w:hAnsi="Arial" w:cs="Arial"/>
                <w:sz w:val="20"/>
                <w:szCs w:val="20"/>
              </w:rPr>
            </w:pPr>
            <w:r>
              <w:rPr>
                <w:rFonts w:ascii="Arial" w:hAnsi="Arial" w:cs="Arial"/>
                <w:sz w:val="20"/>
                <w:szCs w:val="20"/>
              </w:rPr>
              <w:t>45.10%</w:t>
            </w:r>
          </w:p>
        </w:tc>
      </w:tr>
      <w:tr w:rsidR="00C66C88" w14:paraId="0C61C3DC" w14:textId="77777777" w:rsidTr="00C66C88">
        <w:trPr>
          <w:trHeight w:val="315"/>
        </w:trPr>
        <w:tc>
          <w:tcPr>
            <w:tcW w:w="2251" w:type="dxa"/>
            <w:tcMar>
              <w:top w:w="30" w:type="dxa"/>
              <w:left w:w="45" w:type="dxa"/>
              <w:bottom w:w="30" w:type="dxa"/>
              <w:right w:w="45" w:type="dxa"/>
            </w:tcMar>
            <w:vAlign w:val="bottom"/>
            <w:hideMark/>
          </w:tcPr>
          <w:p w14:paraId="363DE6AE" w14:textId="77777777" w:rsidR="004F6F8E" w:rsidRDefault="004F6F8E">
            <w:pPr>
              <w:jc w:val="right"/>
              <w:rPr>
                <w:rFonts w:ascii="Arial" w:hAnsi="Arial" w:cs="Arial"/>
                <w:sz w:val="20"/>
                <w:szCs w:val="20"/>
              </w:rPr>
            </w:pPr>
            <w:r>
              <w:rPr>
                <w:rFonts w:ascii="Arial" w:hAnsi="Arial" w:cs="Arial"/>
                <w:sz w:val="20"/>
                <w:szCs w:val="20"/>
              </w:rPr>
              <w:t>70</w:t>
            </w:r>
          </w:p>
        </w:tc>
        <w:tc>
          <w:tcPr>
            <w:tcW w:w="1132" w:type="dxa"/>
            <w:tcMar>
              <w:top w:w="30" w:type="dxa"/>
              <w:left w:w="45" w:type="dxa"/>
              <w:bottom w:w="30" w:type="dxa"/>
              <w:right w:w="45" w:type="dxa"/>
            </w:tcMar>
            <w:vAlign w:val="bottom"/>
            <w:hideMark/>
          </w:tcPr>
          <w:p w14:paraId="7FC75F9F" w14:textId="77777777" w:rsidR="004F6F8E" w:rsidRDefault="004F6F8E">
            <w:pPr>
              <w:jc w:val="right"/>
              <w:rPr>
                <w:rFonts w:ascii="Arial" w:hAnsi="Arial" w:cs="Arial"/>
                <w:sz w:val="20"/>
                <w:szCs w:val="20"/>
              </w:rPr>
            </w:pPr>
            <w:r>
              <w:rPr>
                <w:rFonts w:ascii="Arial" w:hAnsi="Arial" w:cs="Arial"/>
                <w:sz w:val="20"/>
                <w:szCs w:val="20"/>
              </w:rPr>
              <w:t>80.47%</w:t>
            </w:r>
          </w:p>
        </w:tc>
        <w:tc>
          <w:tcPr>
            <w:tcW w:w="1273" w:type="dxa"/>
            <w:vMerge/>
            <w:vAlign w:val="center"/>
            <w:hideMark/>
          </w:tcPr>
          <w:p w14:paraId="1EAC62BB"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56545F19" w14:textId="77777777" w:rsidR="004F6F8E" w:rsidRDefault="004F6F8E">
            <w:pPr>
              <w:jc w:val="right"/>
              <w:rPr>
                <w:rFonts w:ascii="Arial" w:hAnsi="Arial" w:cs="Arial"/>
                <w:sz w:val="20"/>
                <w:szCs w:val="20"/>
              </w:rPr>
            </w:pPr>
            <w:r>
              <w:rPr>
                <w:rFonts w:ascii="Arial" w:hAnsi="Arial" w:cs="Arial"/>
                <w:sz w:val="20"/>
                <w:szCs w:val="20"/>
              </w:rPr>
              <w:t>65.00%</w:t>
            </w:r>
          </w:p>
        </w:tc>
        <w:tc>
          <w:tcPr>
            <w:tcW w:w="1149" w:type="dxa"/>
            <w:tcMar>
              <w:top w:w="30" w:type="dxa"/>
              <w:left w:w="45" w:type="dxa"/>
              <w:bottom w:w="30" w:type="dxa"/>
              <w:right w:w="45" w:type="dxa"/>
            </w:tcMar>
            <w:vAlign w:val="bottom"/>
            <w:hideMark/>
          </w:tcPr>
          <w:p w14:paraId="7DD120A3" w14:textId="77777777" w:rsidR="004F6F8E" w:rsidRDefault="004F6F8E">
            <w:pPr>
              <w:jc w:val="right"/>
              <w:rPr>
                <w:rFonts w:ascii="Arial" w:hAnsi="Arial" w:cs="Arial"/>
                <w:sz w:val="20"/>
                <w:szCs w:val="20"/>
              </w:rPr>
            </w:pPr>
            <w:r>
              <w:rPr>
                <w:rFonts w:ascii="Arial" w:hAnsi="Arial" w:cs="Arial"/>
                <w:sz w:val="20"/>
                <w:szCs w:val="20"/>
              </w:rPr>
              <w:t>76.70%</w:t>
            </w:r>
          </w:p>
        </w:tc>
        <w:tc>
          <w:tcPr>
            <w:tcW w:w="1324" w:type="dxa"/>
            <w:vMerge/>
            <w:vAlign w:val="center"/>
            <w:hideMark/>
          </w:tcPr>
          <w:p w14:paraId="5ADE1642"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1508C45C" w14:textId="77777777" w:rsidR="004F6F8E" w:rsidRDefault="004F6F8E">
            <w:pPr>
              <w:jc w:val="right"/>
              <w:rPr>
                <w:rFonts w:ascii="Arial" w:hAnsi="Arial" w:cs="Arial"/>
                <w:sz w:val="20"/>
                <w:szCs w:val="20"/>
              </w:rPr>
            </w:pPr>
            <w:r>
              <w:rPr>
                <w:rFonts w:ascii="Arial" w:hAnsi="Arial" w:cs="Arial"/>
                <w:sz w:val="20"/>
                <w:szCs w:val="20"/>
              </w:rPr>
              <w:t>66.80%</w:t>
            </w:r>
          </w:p>
        </w:tc>
      </w:tr>
      <w:tr w:rsidR="00C66C88" w14:paraId="12822FED" w14:textId="77777777" w:rsidTr="00C66C88">
        <w:trPr>
          <w:trHeight w:val="315"/>
        </w:trPr>
        <w:tc>
          <w:tcPr>
            <w:tcW w:w="2251" w:type="dxa"/>
            <w:tcMar>
              <w:top w:w="30" w:type="dxa"/>
              <w:left w:w="45" w:type="dxa"/>
              <w:bottom w:w="30" w:type="dxa"/>
              <w:right w:w="45" w:type="dxa"/>
            </w:tcMar>
            <w:vAlign w:val="bottom"/>
            <w:hideMark/>
          </w:tcPr>
          <w:p w14:paraId="1DA37882" w14:textId="77777777" w:rsidR="004F6F8E" w:rsidRDefault="004F6F8E">
            <w:pPr>
              <w:jc w:val="right"/>
              <w:rPr>
                <w:rFonts w:ascii="Arial" w:hAnsi="Arial" w:cs="Arial"/>
                <w:sz w:val="20"/>
                <w:szCs w:val="20"/>
              </w:rPr>
            </w:pPr>
            <w:r>
              <w:rPr>
                <w:rFonts w:ascii="Arial" w:hAnsi="Arial" w:cs="Arial"/>
                <w:sz w:val="20"/>
                <w:szCs w:val="20"/>
              </w:rPr>
              <w:t>60</w:t>
            </w:r>
          </w:p>
        </w:tc>
        <w:tc>
          <w:tcPr>
            <w:tcW w:w="1132" w:type="dxa"/>
            <w:tcMar>
              <w:top w:w="30" w:type="dxa"/>
              <w:left w:w="45" w:type="dxa"/>
              <w:bottom w:w="30" w:type="dxa"/>
              <w:right w:w="45" w:type="dxa"/>
            </w:tcMar>
            <w:vAlign w:val="bottom"/>
            <w:hideMark/>
          </w:tcPr>
          <w:p w14:paraId="2352E5CD" w14:textId="77777777" w:rsidR="004F6F8E" w:rsidRDefault="004F6F8E">
            <w:pPr>
              <w:jc w:val="right"/>
              <w:rPr>
                <w:rFonts w:ascii="Arial" w:hAnsi="Arial" w:cs="Arial"/>
                <w:sz w:val="20"/>
                <w:szCs w:val="20"/>
              </w:rPr>
            </w:pPr>
            <w:r>
              <w:rPr>
                <w:rFonts w:ascii="Arial" w:hAnsi="Arial" w:cs="Arial"/>
                <w:sz w:val="20"/>
                <w:szCs w:val="20"/>
              </w:rPr>
              <w:t>95.26%</w:t>
            </w:r>
          </w:p>
        </w:tc>
        <w:tc>
          <w:tcPr>
            <w:tcW w:w="1273" w:type="dxa"/>
            <w:vMerge/>
            <w:vAlign w:val="center"/>
            <w:hideMark/>
          </w:tcPr>
          <w:p w14:paraId="3E46A365"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36F71CD4" w14:textId="77777777" w:rsidR="004F6F8E" w:rsidRDefault="004F6F8E">
            <w:pPr>
              <w:jc w:val="right"/>
              <w:rPr>
                <w:rFonts w:ascii="Arial" w:hAnsi="Arial" w:cs="Arial"/>
                <w:sz w:val="20"/>
                <w:szCs w:val="20"/>
              </w:rPr>
            </w:pPr>
            <w:r>
              <w:rPr>
                <w:rFonts w:ascii="Arial" w:hAnsi="Arial" w:cs="Arial"/>
                <w:sz w:val="20"/>
                <w:szCs w:val="20"/>
              </w:rPr>
              <w:t>85.00%</w:t>
            </w:r>
          </w:p>
        </w:tc>
        <w:tc>
          <w:tcPr>
            <w:tcW w:w="1149" w:type="dxa"/>
            <w:tcMar>
              <w:top w:w="30" w:type="dxa"/>
              <w:left w:w="45" w:type="dxa"/>
              <w:bottom w:w="30" w:type="dxa"/>
              <w:right w:w="45" w:type="dxa"/>
            </w:tcMar>
            <w:vAlign w:val="bottom"/>
            <w:hideMark/>
          </w:tcPr>
          <w:p w14:paraId="4119C144" w14:textId="77777777" w:rsidR="004F6F8E" w:rsidRDefault="004F6F8E">
            <w:pPr>
              <w:jc w:val="right"/>
              <w:rPr>
                <w:rFonts w:ascii="Arial" w:hAnsi="Arial" w:cs="Arial"/>
                <w:sz w:val="20"/>
                <w:szCs w:val="20"/>
              </w:rPr>
            </w:pPr>
            <w:r>
              <w:rPr>
                <w:rFonts w:ascii="Arial" w:hAnsi="Arial" w:cs="Arial"/>
                <w:sz w:val="20"/>
                <w:szCs w:val="20"/>
              </w:rPr>
              <w:t>90.86%</w:t>
            </w:r>
          </w:p>
        </w:tc>
        <w:tc>
          <w:tcPr>
            <w:tcW w:w="1324" w:type="dxa"/>
            <w:vMerge/>
            <w:vAlign w:val="center"/>
            <w:hideMark/>
          </w:tcPr>
          <w:p w14:paraId="141815CA"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7B088FD1" w14:textId="77777777" w:rsidR="004F6F8E" w:rsidRDefault="004F6F8E">
            <w:pPr>
              <w:jc w:val="right"/>
              <w:rPr>
                <w:rFonts w:ascii="Arial" w:hAnsi="Arial" w:cs="Arial"/>
                <w:sz w:val="20"/>
                <w:szCs w:val="20"/>
              </w:rPr>
            </w:pPr>
            <w:r>
              <w:rPr>
                <w:rFonts w:ascii="Arial" w:hAnsi="Arial" w:cs="Arial"/>
                <w:sz w:val="20"/>
                <w:szCs w:val="20"/>
              </w:rPr>
              <w:t>87.10%</w:t>
            </w:r>
          </w:p>
        </w:tc>
      </w:tr>
      <w:tr w:rsidR="00C66C88" w14:paraId="1518CD36" w14:textId="77777777" w:rsidTr="00C66C88">
        <w:trPr>
          <w:trHeight w:val="315"/>
        </w:trPr>
        <w:tc>
          <w:tcPr>
            <w:tcW w:w="2251" w:type="dxa"/>
            <w:tcMar>
              <w:top w:w="30" w:type="dxa"/>
              <w:left w:w="45" w:type="dxa"/>
              <w:bottom w:w="30" w:type="dxa"/>
              <w:right w:w="45" w:type="dxa"/>
            </w:tcMar>
            <w:vAlign w:val="bottom"/>
            <w:hideMark/>
          </w:tcPr>
          <w:p w14:paraId="27755943" w14:textId="77777777" w:rsidR="004F6F8E" w:rsidRPr="00BA7B82" w:rsidRDefault="004F6F8E">
            <w:pPr>
              <w:rPr>
                <w:rFonts w:ascii="Arial" w:hAnsi="Arial" w:cs="Arial"/>
                <w:b/>
                <w:bCs/>
                <w:sz w:val="20"/>
                <w:szCs w:val="20"/>
              </w:rPr>
            </w:pPr>
            <w:r w:rsidRPr="00BA7B82">
              <w:rPr>
                <w:rFonts w:ascii="Arial" w:hAnsi="Arial" w:cs="Arial"/>
                <w:b/>
                <w:bCs/>
                <w:sz w:val="20"/>
                <w:szCs w:val="20"/>
              </w:rPr>
              <w:t>Results for Indigenous Students</w:t>
            </w:r>
          </w:p>
        </w:tc>
        <w:tc>
          <w:tcPr>
            <w:tcW w:w="1132" w:type="dxa"/>
            <w:tcMar>
              <w:top w:w="30" w:type="dxa"/>
              <w:left w:w="45" w:type="dxa"/>
              <w:bottom w:w="30" w:type="dxa"/>
              <w:right w:w="45" w:type="dxa"/>
            </w:tcMar>
            <w:vAlign w:val="bottom"/>
            <w:hideMark/>
          </w:tcPr>
          <w:p w14:paraId="5BEE21BA" w14:textId="77777777" w:rsidR="004F6F8E" w:rsidRDefault="004F6F8E">
            <w:pPr>
              <w:rPr>
                <w:rFonts w:ascii="Arial" w:hAnsi="Arial" w:cs="Arial"/>
                <w:sz w:val="20"/>
                <w:szCs w:val="20"/>
              </w:rPr>
            </w:pPr>
          </w:p>
        </w:tc>
        <w:tc>
          <w:tcPr>
            <w:tcW w:w="1273" w:type="dxa"/>
            <w:vMerge/>
            <w:vAlign w:val="center"/>
            <w:hideMark/>
          </w:tcPr>
          <w:p w14:paraId="5990B3DC"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1F50F037" w14:textId="77777777" w:rsidR="004F6F8E" w:rsidRDefault="004F6F8E">
            <w:pPr>
              <w:rPr>
                <w:rFonts w:ascii="Times New Roman" w:eastAsia="Times New Roman" w:hAnsi="Times New Roman" w:cs="Times New Roman"/>
                <w:sz w:val="20"/>
                <w:szCs w:val="20"/>
              </w:rPr>
            </w:pPr>
          </w:p>
        </w:tc>
        <w:tc>
          <w:tcPr>
            <w:tcW w:w="1149" w:type="dxa"/>
            <w:tcMar>
              <w:top w:w="30" w:type="dxa"/>
              <w:left w:w="45" w:type="dxa"/>
              <w:bottom w:w="30" w:type="dxa"/>
              <w:right w:w="45" w:type="dxa"/>
            </w:tcMar>
            <w:vAlign w:val="bottom"/>
            <w:hideMark/>
          </w:tcPr>
          <w:p w14:paraId="7F1C3A07" w14:textId="77777777" w:rsidR="004F6F8E" w:rsidRDefault="004F6F8E">
            <w:pPr>
              <w:rPr>
                <w:rFonts w:ascii="Times New Roman" w:eastAsia="Times New Roman" w:hAnsi="Times New Roman" w:cs="Times New Roman"/>
                <w:sz w:val="20"/>
                <w:szCs w:val="20"/>
              </w:rPr>
            </w:pPr>
          </w:p>
        </w:tc>
        <w:tc>
          <w:tcPr>
            <w:tcW w:w="1324" w:type="dxa"/>
            <w:vMerge/>
            <w:vAlign w:val="center"/>
            <w:hideMark/>
          </w:tcPr>
          <w:p w14:paraId="78EB2CC1"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7120DF06" w14:textId="77777777" w:rsidR="004F6F8E" w:rsidRDefault="004F6F8E">
            <w:pPr>
              <w:rPr>
                <w:rFonts w:ascii="Times New Roman" w:eastAsia="Times New Roman" w:hAnsi="Times New Roman" w:cs="Times New Roman"/>
                <w:sz w:val="20"/>
                <w:szCs w:val="20"/>
              </w:rPr>
            </w:pPr>
          </w:p>
        </w:tc>
      </w:tr>
      <w:tr w:rsidR="00C66C88" w14:paraId="4C1CE9CF" w14:textId="77777777" w:rsidTr="00C66C88">
        <w:trPr>
          <w:trHeight w:val="315"/>
        </w:trPr>
        <w:tc>
          <w:tcPr>
            <w:tcW w:w="2251" w:type="dxa"/>
            <w:tcMar>
              <w:top w:w="30" w:type="dxa"/>
              <w:left w:w="45" w:type="dxa"/>
              <w:bottom w:w="30" w:type="dxa"/>
              <w:right w:w="45" w:type="dxa"/>
            </w:tcMar>
            <w:vAlign w:val="bottom"/>
            <w:hideMark/>
          </w:tcPr>
          <w:p w14:paraId="738556F9" w14:textId="77777777" w:rsidR="004F6F8E" w:rsidRDefault="004F6F8E">
            <w:pPr>
              <w:rPr>
                <w:rFonts w:ascii="Arial" w:hAnsi="Arial" w:cs="Arial"/>
                <w:sz w:val="20"/>
                <w:szCs w:val="20"/>
              </w:rPr>
            </w:pPr>
            <w:r>
              <w:rPr>
                <w:rFonts w:ascii="Arial" w:hAnsi="Arial" w:cs="Arial"/>
                <w:sz w:val="20"/>
                <w:szCs w:val="20"/>
              </w:rPr>
              <w:t>Senior Secondary Certificates</w:t>
            </w:r>
          </w:p>
        </w:tc>
        <w:tc>
          <w:tcPr>
            <w:tcW w:w="1132" w:type="dxa"/>
            <w:tcMar>
              <w:top w:w="30" w:type="dxa"/>
              <w:left w:w="45" w:type="dxa"/>
              <w:bottom w:w="30" w:type="dxa"/>
              <w:right w:w="45" w:type="dxa"/>
            </w:tcMar>
            <w:vAlign w:val="bottom"/>
            <w:hideMark/>
          </w:tcPr>
          <w:p w14:paraId="5D667DCD" w14:textId="77777777" w:rsidR="004F6F8E" w:rsidRDefault="004F6F8E">
            <w:pPr>
              <w:jc w:val="right"/>
              <w:rPr>
                <w:rFonts w:ascii="Arial" w:hAnsi="Arial" w:cs="Arial"/>
                <w:sz w:val="20"/>
                <w:szCs w:val="20"/>
              </w:rPr>
            </w:pPr>
            <w:r>
              <w:rPr>
                <w:rFonts w:ascii="Arial" w:hAnsi="Arial" w:cs="Arial"/>
                <w:sz w:val="20"/>
                <w:szCs w:val="20"/>
              </w:rPr>
              <w:t>90%</w:t>
            </w:r>
          </w:p>
        </w:tc>
        <w:tc>
          <w:tcPr>
            <w:tcW w:w="1273" w:type="dxa"/>
            <w:vMerge/>
            <w:vAlign w:val="center"/>
            <w:hideMark/>
          </w:tcPr>
          <w:p w14:paraId="3FF4F851"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33E702E9" w14:textId="77777777" w:rsidR="004F6F8E" w:rsidRDefault="004F6F8E">
            <w:pPr>
              <w:jc w:val="right"/>
              <w:rPr>
                <w:rFonts w:ascii="Arial" w:hAnsi="Arial" w:cs="Arial"/>
                <w:sz w:val="20"/>
                <w:szCs w:val="20"/>
              </w:rPr>
            </w:pPr>
            <w:r>
              <w:rPr>
                <w:rFonts w:ascii="Arial" w:hAnsi="Arial" w:cs="Arial"/>
                <w:sz w:val="20"/>
                <w:szCs w:val="20"/>
              </w:rPr>
              <w:t>89%</w:t>
            </w:r>
          </w:p>
        </w:tc>
        <w:tc>
          <w:tcPr>
            <w:tcW w:w="1149" w:type="dxa"/>
            <w:tcMar>
              <w:top w:w="30" w:type="dxa"/>
              <w:left w:w="45" w:type="dxa"/>
              <w:bottom w:w="30" w:type="dxa"/>
              <w:right w:w="45" w:type="dxa"/>
            </w:tcMar>
            <w:vAlign w:val="bottom"/>
            <w:hideMark/>
          </w:tcPr>
          <w:p w14:paraId="4067630F" w14:textId="77777777" w:rsidR="004F6F8E" w:rsidRDefault="004F6F8E">
            <w:pPr>
              <w:jc w:val="right"/>
              <w:rPr>
                <w:rFonts w:ascii="Arial" w:hAnsi="Arial" w:cs="Arial"/>
                <w:sz w:val="20"/>
                <w:szCs w:val="20"/>
              </w:rPr>
            </w:pPr>
            <w:r>
              <w:rPr>
                <w:rFonts w:ascii="Arial" w:hAnsi="Arial" w:cs="Arial"/>
                <w:sz w:val="20"/>
                <w:szCs w:val="20"/>
              </w:rPr>
              <w:t>86%</w:t>
            </w:r>
          </w:p>
        </w:tc>
        <w:tc>
          <w:tcPr>
            <w:tcW w:w="1324" w:type="dxa"/>
            <w:vMerge/>
            <w:vAlign w:val="center"/>
            <w:hideMark/>
          </w:tcPr>
          <w:p w14:paraId="59501C0D"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7151043F" w14:textId="77777777" w:rsidR="004F6F8E" w:rsidRDefault="004F6F8E">
            <w:pPr>
              <w:jc w:val="right"/>
              <w:rPr>
                <w:rFonts w:ascii="Arial" w:hAnsi="Arial" w:cs="Arial"/>
                <w:sz w:val="20"/>
                <w:szCs w:val="20"/>
              </w:rPr>
            </w:pPr>
            <w:r>
              <w:rPr>
                <w:rFonts w:ascii="Arial" w:hAnsi="Arial" w:cs="Arial"/>
                <w:sz w:val="20"/>
                <w:szCs w:val="20"/>
              </w:rPr>
              <w:t>74%</w:t>
            </w:r>
          </w:p>
        </w:tc>
      </w:tr>
      <w:tr w:rsidR="00C66C88" w14:paraId="3A6A4E92" w14:textId="77777777" w:rsidTr="00C66C88">
        <w:trPr>
          <w:trHeight w:val="315"/>
        </w:trPr>
        <w:tc>
          <w:tcPr>
            <w:tcW w:w="2251" w:type="dxa"/>
            <w:tcMar>
              <w:top w:w="30" w:type="dxa"/>
              <w:left w:w="45" w:type="dxa"/>
              <w:bottom w:w="30" w:type="dxa"/>
              <w:right w:w="45" w:type="dxa"/>
            </w:tcMar>
            <w:vAlign w:val="bottom"/>
            <w:hideMark/>
          </w:tcPr>
          <w:p w14:paraId="0C428D08" w14:textId="77777777" w:rsidR="004F6F8E" w:rsidRDefault="004F6F8E">
            <w:pPr>
              <w:rPr>
                <w:rFonts w:ascii="Arial" w:hAnsi="Arial" w:cs="Arial"/>
                <w:sz w:val="20"/>
                <w:szCs w:val="20"/>
              </w:rPr>
            </w:pPr>
            <w:r>
              <w:rPr>
                <w:rFonts w:ascii="Arial" w:hAnsi="Arial" w:cs="Arial"/>
                <w:sz w:val="20"/>
                <w:szCs w:val="20"/>
              </w:rPr>
              <w:t>Awarded a TES or ATAR</w:t>
            </w:r>
          </w:p>
        </w:tc>
        <w:tc>
          <w:tcPr>
            <w:tcW w:w="1132" w:type="dxa"/>
            <w:tcMar>
              <w:top w:w="30" w:type="dxa"/>
              <w:left w:w="45" w:type="dxa"/>
              <w:bottom w:w="30" w:type="dxa"/>
              <w:right w:w="45" w:type="dxa"/>
            </w:tcMar>
            <w:vAlign w:val="bottom"/>
            <w:hideMark/>
          </w:tcPr>
          <w:p w14:paraId="702935C8" w14:textId="77777777" w:rsidR="004F6F8E" w:rsidRDefault="004F6F8E">
            <w:pPr>
              <w:jc w:val="right"/>
              <w:rPr>
                <w:rFonts w:ascii="Arial" w:hAnsi="Arial" w:cs="Arial"/>
                <w:sz w:val="20"/>
                <w:szCs w:val="20"/>
              </w:rPr>
            </w:pPr>
            <w:r>
              <w:rPr>
                <w:rFonts w:ascii="Arial" w:hAnsi="Arial" w:cs="Arial"/>
                <w:sz w:val="20"/>
                <w:szCs w:val="20"/>
              </w:rPr>
              <w:t>40%</w:t>
            </w:r>
          </w:p>
        </w:tc>
        <w:tc>
          <w:tcPr>
            <w:tcW w:w="1273" w:type="dxa"/>
            <w:vMerge/>
            <w:vAlign w:val="center"/>
            <w:hideMark/>
          </w:tcPr>
          <w:p w14:paraId="78013D9A" w14:textId="77777777" w:rsidR="004F6F8E" w:rsidRDefault="004F6F8E">
            <w:pPr>
              <w:rPr>
                <w:rFonts w:ascii="Arial" w:hAnsi="Arial" w:cs="Arial"/>
                <w:sz w:val="20"/>
                <w:szCs w:val="20"/>
              </w:rPr>
            </w:pPr>
          </w:p>
        </w:tc>
        <w:tc>
          <w:tcPr>
            <w:tcW w:w="1273" w:type="dxa"/>
            <w:tcMar>
              <w:top w:w="30" w:type="dxa"/>
              <w:left w:w="45" w:type="dxa"/>
              <w:bottom w:w="30" w:type="dxa"/>
              <w:right w:w="45" w:type="dxa"/>
            </w:tcMar>
            <w:vAlign w:val="bottom"/>
            <w:hideMark/>
          </w:tcPr>
          <w:p w14:paraId="62A53833" w14:textId="77777777" w:rsidR="004F6F8E" w:rsidRDefault="004F6F8E">
            <w:pPr>
              <w:jc w:val="right"/>
              <w:rPr>
                <w:rFonts w:ascii="Arial" w:hAnsi="Arial" w:cs="Arial"/>
                <w:sz w:val="20"/>
                <w:szCs w:val="20"/>
              </w:rPr>
            </w:pPr>
            <w:r>
              <w:rPr>
                <w:rFonts w:ascii="Arial" w:hAnsi="Arial" w:cs="Arial"/>
                <w:sz w:val="20"/>
                <w:szCs w:val="20"/>
              </w:rPr>
              <w:t>27%</w:t>
            </w:r>
          </w:p>
        </w:tc>
        <w:tc>
          <w:tcPr>
            <w:tcW w:w="1149" w:type="dxa"/>
            <w:tcMar>
              <w:top w:w="30" w:type="dxa"/>
              <w:left w:w="45" w:type="dxa"/>
              <w:bottom w:w="30" w:type="dxa"/>
              <w:right w:w="45" w:type="dxa"/>
            </w:tcMar>
            <w:vAlign w:val="bottom"/>
            <w:hideMark/>
          </w:tcPr>
          <w:p w14:paraId="7769F515" w14:textId="77777777" w:rsidR="004F6F8E" w:rsidRDefault="004F6F8E">
            <w:pPr>
              <w:jc w:val="right"/>
              <w:rPr>
                <w:rFonts w:ascii="Arial" w:hAnsi="Arial" w:cs="Arial"/>
                <w:sz w:val="20"/>
                <w:szCs w:val="20"/>
              </w:rPr>
            </w:pPr>
            <w:r>
              <w:rPr>
                <w:rFonts w:ascii="Arial" w:hAnsi="Arial" w:cs="Arial"/>
                <w:sz w:val="20"/>
                <w:szCs w:val="20"/>
              </w:rPr>
              <w:t>57%</w:t>
            </w:r>
          </w:p>
        </w:tc>
        <w:tc>
          <w:tcPr>
            <w:tcW w:w="1324" w:type="dxa"/>
            <w:vMerge/>
            <w:vAlign w:val="center"/>
            <w:hideMark/>
          </w:tcPr>
          <w:p w14:paraId="36EC30CC" w14:textId="77777777" w:rsidR="004F6F8E" w:rsidRDefault="004F6F8E">
            <w:pPr>
              <w:rPr>
                <w:rFonts w:ascii="Arial" w:hAnsi="Arial" w:cs="Arial"/>
                <w:sz w:val="20"/>
                <w:szCs w:val="20"/>
              </w:rPr>
            </w:pPr>
          </w:p>
        </w:tc>
        <w:tc>
          <w:tcPr>
            <w:tcW w:w="802" w:type="dxa"/>
            <w:tcMar>
              <w:top w:w="30" w:type="dxa"/>
              <w:left w:w="45" w:type="dxa"/>
              <w:bottom w:w="30" w:type="dxa"/>
              <w:right w:w="45" w:type="dxa"/>
            </w:tcMar>
            <w:vAlign w:val="bottom"/>
            <w:hideMark/>
          </w:tcPr>
          <w:p w14:paraId="1E18D9DA" w14:textId="77777777" w:rsidR="004F6F8E" w:rsidRDefault="004F6F8E">
            <w:pPr>
              <w:jc w:val="right"/>
              <w:rPr>
                <w:rFonts w:ascii="Arial" w:hAnsi="Arial" w:cs="Arial"/>
                <w:sz w:val="20"/>
                <w:szCs w:val="20"/>
              </w:rPr>
            </w:pPr>
            <w:r>
              <w:rPr>
                <w:rFonts w:ascii="Arial" w:hAnsi="Arial" w:cs="Arial"/>
                <w:sz w:val="20"/>
                <w:szCs w:val="20"/>
              </w:rPr>
              <w:t>28%</w:t>
            </w:r>
          </w:p>
        </w:tc>
      </w:tr>
      <w:bookmarkEnd w:id="0"/>
    </w:tbl>
    <w:p w14:paraId="20EDA008" w14:textId="77777777" w:rsidR="004F6F8E" w:rsidRDefault="004F6F8E" w:rsidP="004F6F8E"/>
    <w:p w14:paraId="5E02ED6C" w14:textId="657CB896" w:rsidR="00466F32" w:rsidRPr="008513D8" w:rsidRDefault="00466F32" w:rsidP="00C3438C">
      <w:pPr>
        <w:pStyle w:val="ListParagraph"/>
        <w:numPr>
          <w:ilvl w:val="0"/>
          <w:numId w:val="25"/>
        </w:numPr>
        <w:rPr>
          <w:b/>
          <w:bCs/>
        </w:rPr>
      </w:pPr>
      <w:r w:rsidRPr="008513D8">
        <w:rPr>
          <w:b/>
          <w:bCs/>
        </w:rPr>
        <w:lastRenderedPageBreak/>
        <w:t>Finalised Improvement Plan for 2021-2025</w:t>
      </w:r>
    </w:p>
    <w:p w14:paraId="7CC22F06" w14:textId="4B9D7587" w:rsidR="00466F32" w:rsidRDefault="005254A2" w:rsidP="00466F32">
      <w:pPr>
        <w:pStyle w:val="ListParagraph"/>
        <w:numPr>
          <w:ilvl w:val="1"/>
          <w:numId w:val="25"/>
        </w:numPr>
      </w:pPr>
      <w:r>
        <w:t xml:space="preserve">The Executive team, staff and school board worked on </w:t>
      </w:r>
      <w:r w:rsidR="00B85A72">
        <w:t xml:space="preserve">finalising the </w:t>
      </w:r>
      <w:r>
        <w:t>Improvement plan over the course of term 1 2021</w:t>
      </w:r>
      <w:r w:rsidR="00B85A72">
        <w:t>.</w:t>
      </w:r>
    </w:p>
    <w:p w14:paraId="6FC1BC20" w14:textId="0EC95D09" w:rsidR="00C3438C" w:rsidRPr="008513D8" w:rsidRDefault="00C3438C" w:rsidP="00C3438C">
      <w:pPr>
        <w:pStyle w:val="ListParagraph"/>
        <w:numPr>
          <w:ilvl w:val="0"/>
          <w:numId w:val="25"/>
        </w:numPr>
        <w:rPr>
          <w:b/>
          <w:bCs/>
        </w:rPr>
      </w:pPr>
      <w:r w:rsidRPr="008513D8">
        <w:rPr>
          <w:b/>
          <w:bCs/>
        </w:rPr>
        <w:t>Vision for Teaching and Learning</w:t>
      </w:r>
    </w:p>
    <w:p w14:paraId="1BEF6B14" w14:textId="77777777" w:rsidR="00B85A72" w:rsidRDefault="00B85A72" w:rsidP="00BA7B82">
      <w:pPr>
        <w:pStyle w:val="ListParagraph"/>
        <w:numPr>
          <w:ilvl w:val="1"/>
          <w:numId w:val="25"/>
        </w:numPr>
      </w:pPr>
      <w:r>
        <w:t>A vision for Teaching and Learning at Dickson was developed collaboratively with all staff over several staff meetings at the beginning of the school year and during terms 1 and two.</w:t>
      </w:r>
    </w:p>
    <w:p w14:paraId="6BBA4DBA" w14:textId="77777777" w:rsidR="008513D8" w:rsidRDefault="00B85A72" w:rsidP="00BA7B82">
      <w:pPr>
        <w:pStyle w:val="ListParagraph"/>
        <w:numPr>
          <w:ilvl w:val="1"/>
          <w:numId w:val="25"/>
        </w:numPr>
      </w:pPr>
      <w:r>
        <w:t>Vison includes existing College values and ethos</w:t>
      </w:r>
    </w:p>
    <w:p w14:paraId="618CFC57" w14:textId="5B272DED" w:rsidR="00BA7B82" w:rsidRDefault="008513D8" w:rsidP="008513D8">
      <w:pPr>
        <w:pStyle w:val="ListParagraph"/>
        <w:numPr>
          <w:ilvl w:val="1"/>
          <w:numId w:val="25"/>
        </w:numPr>
      </w:pPr>
      <w:r>
        <w:t>Vision links to current School Improvement Plan priorities</w:t>
      </w:r>
    </w:p>
    <w:p w14:paraId="5BA7F768" w14:textId="30C8213D" w:rsidR="008513D8" w:rsidRDefault="008513D8" w:rsidP="008513D8">
      <w:pPr>
        <w:pStyle w:val="ListParagraph"/>
        <w:numPr>
          <w:ilvl w:val="1"/>
          <w:numId w:val="25"/>
        </w:numPr>
      </w:pPr>
      <w:r>
        <w:t>Vison links to ACT Governments Future of Education core principles</w:t>
      </w:r>
    </w:p>
    <w:p w14:paraId="3B016B3B" w14:textId="08AFEC04" w:rsidR="008513D8" w:rsidRDefault="008513D8" w:rsidP="008513D8">
      <w:pPr>
        <w:pStyle w:val="ListParagraph"/>
        <w:numPr>
          <w:ilvl w:val="2"/>
          <w:numId w:val="25"/>
        </w:numPr>
      </w:pPr>
      <w:r>
        <w:t>Agency</w:t>
      </w:r>
    </w:p>
    <w:p w14:paraId="5FFE1A89" w14:textId="5FF4B49B" w:rsidR="008513D8" w:rsidRDefault="008513D8" w:rsidP="008513D8">
      <w:pPr>
        <w:pStyle w:val="ListParagraph"/>
        <w:numPr>
          <w:ilvl w:val="2"/>
          <w:numId w:val="25"/>
        </w:numPr>
      </w:pPr>
      <w:r>
        <w:t>Inclusion</w:t>
      </w:r>
    </w:p>
    <w:p w14:paraId="3EECF46C" w14:textId="6F1C1846" w:rsidR="008513D8" w:rsidRDefault="008513D8" w:rsidP="00C3438C">
      <w:pPr>
        <w:pStyle w:val="ListParagraph"/>
        <w:numPr>
          <w:ilvl w:val="0"/>
          <w:numId w:val="25"/>
        </w:numPr>
        <w:rPr>
          <w:b/>
          <w:bCs/>
        </w:rPr>
      </w:pPr>
      <w:r w:rsidRPr="008513D8">
        <w:rPr>
          <w:b/>
          <w:bCs/>
        </w:rPr>
        <w:t>Develop a Data Plan to support Improvement</w:t>
      </w:r>
    </w:p>
    <w:p w14:paraId="32692A4F" w14:textId="77777777" w:rsidR="00926532" w:rsidRDefault="00926532" w:rsidP="00926532">
      <w:pPr>
        <w:pStyle w:val="ListParagraph"/>
        <w:numPr>
          <w:ilvl w:val="1"/>
          <w:numId w:val="25"/>
        </w:numPr>
      </w:pPr>
      <w:r w:rsidRPr="00926532">
        <w:t>A complete data audit was completed detailing what, who, when and why of data collected by the college</w:t>
      </w:r>
    </w:p>
    <w:p w14:paraId="77E8E686" w14:textId="77777777" w:rsidR="00CE4B2F" w:rsidRDefault="00926532" w:rsidP="00926532">
      <w:pPr>
        <w:pStyle w:val="ListParagraph"/>
        <w:numPr>
          <w:ilvl w:val="1"/>
          <w:numId w:val="25"/>
        </w:numPr>
      </w:pPr>
      <w:r>
        <w:t>A data team consisting of teachers and a school leader was assembled to inquiry into measures that could be used to measure improve</w:t>
      </w:r>
      <w:r w:rsidR="00CE4B2F">
        <w:t>ments in the two priorities:</w:t>
      </w:r>
    </w:p>
    <w:p w14:paraId="79FF675B" w14:textId="77777777" w:rsidR="00CE4B2F" w:rsidRDefault="00CE4B2F" w:rsidP="00CE4B2F">
      <w:pPr>
        <w:pStyle w:val="ListParagraph"/>
        <w:numPr>
          <w:ilvl w:val="2"/>
          <w:numId w:val="25"/>
        </w:numPr>
      </w:pPr>
      <w:r>
        <w:t>This included close examination of the ACER research and assessment framework in the areas of Collaboration, Creativity and Critical Thinking</w:t>
      </w:r>
    </w:p>
    <w:p w14:paraId="23DC1A0F" w14:textId="3F7C6E0A" w:rsidR="00926532" w:rsidRPr="00926532" w:rsidRDefault="00CE4B2F" w:rsidP="00CE4B2F">
      <w:pPr>
        <w:pStyle w:val="ListParagraph"/>
        <w:numPr>
          <w:ilvl w:val="2"/>
          <w:numId w:val="25"/>
        </w:numPr>
      </w:pPr>
      <w:r>
        <w:t xml:space="preserve">Due to the disruption of lockdown in term 3, 2021 the team was unable to complete their inquiry and make recommendations to the college. </w:t>
      </w:r>
      <w:r w:rsidR="00926532">
        <w:t xml:space="preserve"> </w:t>
      </w:r>
      <w:r w:rsidR="00926532" w:rsidRPr="00926532">
        <w:t xml:space="preserve"> </w:t>
      </w:r>
    </w:p>
    <w:p w14:paraId="7D57B9F5" w14:textId="0C6F4F59" w:rsidR="00C3438C" w:rsidRDefault="008513D8" w:rsidP="00751D4B">
      <w:pPr>
        <w:pStyle w:val="ListParagraph"/>
        <w:numPr>
          <w:ilvl w:val="0"/>
          <w:numId w:val="25"/>
        </w:numPr>
        <w:rPr>
          <w:b/>
          <w:bCs/>
        </w:rPr>
      </w:pPr>
      <w:r w:rsidRPr="008513D8">
        <w:rPr>
          <w:b/>
          <w:bCs/>
        </w:rPr>
        <w:t>Ongoing teacher Inquiry into feedback</w:t>
      </w:r>
    </w:p>
    <w:p w14:paraId="2543D1A4" w14:textId="31728108" w:rsidR="006C3E71" w:rsidRPr="006C3E71" w:rsidRDefault="006C3E71" w:rsidP="006C3E71">
      <w:pPr>
        <w:pStyle w:val="ListParagraph"/>
        <w:numPr>
          <w:ilvl w:val="1"/>
          <w:numId w:val="25"/>
        </w:numPr>
        <w:rPr>
          <w:b/>
          <w:bCs/>
        </w:rPr>
      </w:pPr>
      <w:r>
        <w:t>Despite the disruption in the second half of the year PPT groups were able to continue to meet.</w:t>
      </w:r>
    </w:p>
    <w:p w14:paraId="53530C31" w14:textId="11AB83D0" w:rsidR="00937D6F" w:rsidRPr="006C3E71" w:rsidRDefault="006C3E71" w:rsidP="00937D6F">
      <w:pPr>
        <w:pStyle w:val="ListParagraph"/>
        <w:numPr>
          <w:ilvl w:val="1"/>
          <w:numId w:val="25"/>
        </w:numPr>
        <w:rPr>
          <w:b/>
          <w:bCs/>
        </w:rPr>
      </w:pPr>
      <w:r>
        <w:t>Maintained focus on learner evidence and ongoing inquiry.</w:t>
      </w:r>
    </w:p>
    <w:p w14:paraId="340790F0" w14:textId="19D0702A" w:rsidR="00937D6F" w:rsidRDefault="00937D6F" w:rsidP="00937D6F">
      <w:pPr>
        <w:pStyle w:val="Heading3"/>
      </w:pPr>
      <w:r w:rsidRPr="00DA09ED">
        <w:t xml:space="preserve">Challenges we </w:t>
      </w:r>
      <w:r>
        <w:t>will address in</w:t>
      </w:r>
      <w:r w:rsidRPr="00DA09ED">
        <w:t xml:space="preserve"> our</w:t>
      </w:r>
      <w:r>
        <w:t xml:space="preserve"> next Action Plan</w:t>
      </w:r>
    </w:p>
    <w:p w14:paraId="4877972C" w14:textId="36ED9AC1" w:rsidR="006046F3" w:rsidRDefault="006046F3" w:rsidP="006046F3">
      <w:pPr>
        <w:pStyle w:val="ListParagraph"/>
        <w:numPr>
          <w:ilvl w:val="0"/>
          <w:numId w:val="27"/>
        </w:numPr>
      </w:pPr>
      <w:r>
        <w:t xml:space="preserve">2022 School Action should include actions that allow the College to further refine definitions for Communication, Collaboration, Creativity, Critical thinking, and Self-management so that students and staff have a shared understanding of what these skills mean in all course areas. </w:t>
      </w:r>
    </w:p>
    <w:p w14:paraId="5456A7EB" w14:textId="37D1307D" w:rsidR="008B3418" w:rsidRPr="00F657FE" w:rsidRDefault="008B3418" w:rsidP="006046F3">
      <w:pPr>
        <w:pStyle w:val="ListParagraph"/>
        <w:numPr>
          <w:ilvl w:val="0"/>
          <w:numId w:val="27"/>
        </w:numPr>
      </w:pPr>
      <w:r>
        <w:t xml:space="preserve">Implementing the Mastery Transcript and it’s ‘warranting’ evidence </w:t>
      </w:r>
      <w:r w:rsidR="006E4038">
        <w:t>model, to</w:t>
      </w:r>
      <w:r>
        <w:t xml:space="preserve"> a point that it can be scaled up for a greater number of students to access.</w:t>
      </w:r>
    </w:p>
    <w:p w14:paraId="4B8856D2" w14:textId="77777777" w:rsidR="006046F3" w:rsidRPr="006046F3" w:rsidRDefault="006046F3" w:rsidP="006046F3"/>
    <w:p w14:paraId="73AF730F" w14:textId="23963B78" w:rsidR="005611F4" w:rsidRPr="005611F4" w:rsidRDefault="005611F4" w:rsidP="005611F4"/>
    <w:p w14:paraId="4044E8BA" w14:textId="77777777" w:rsidR="00937D6F" w:rsidRDefault="00937D6F" w:rsidP="00937D6F">
      <w:pPr>
        <w:pStyle w:val="BodyText"/>
      </w:pPr>
    </w:p>
    <w:p w14:paraId="2EA0F1D3" w14:textId="77777777" w:rsidR="006D2F6B" w:rsidRDefault="006D2F6B">
      <w:pPr>
        <w:rPr>
          <w:b/>
        </w:rPr>
      </w:pPr>
      <w:r>
        <w:rPr>
          <w:b/>
        </w:rPr>
        <w:br w:type="page"/>
      </w:r>
    </w:p>
    <w:p w14:paraId="6F6A05B7" w14:textId="24D8903F"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D842A6" w:rsidRPr="00282CFF">
        <w:rPr>
          <w:rFonts w:eastAsia="Times New Roman"/>
          <w:b/>
          <w:bCs/>
          <w:szCs w:val="24"/>
        </w:rPr>
        <w:t>Improve students’ self-management capability</w:t>
      </w:r>
    </w:p>
    <w:p w14:paraId="516A240E" w14:textId="77777777" w:rsidR="00EB70CE" w:rsidRPr="00837137" w:rsidRDefault="00EB70CE" w:rsidP="00EB70CE">
      <w:pPr>
        <w:pStyle w:val="Heading3"/>
      </w:pPr>
      <w:r w:rsidRPr="00837137">
        <w:t>Targets or measures</w:t>
      </w:r>
    </w:p>
    <w:p w14:paraId="6FF6208C" w14:textId="27E71013" w:rsidR="00EB70CE" w:rsidRDefault="00EB70CE" w:rsidP="00EB70CE">
      <w:pPr>
        <w:pStyle w:val="BodyText"/>
      </w:pPr>
      <w:r>
        <w:t>By the end of 20</w:t>
      </w:r>
      <w:r w:rsidR="00D842A6">
        <w:t>25</w:t>
      </w:r>
      <w:r>
        <w:t xml:space="preserve"> we will achieve:</w:t>
      </w:r>
    </w:p>
    <w:p w14:paraId="32D60B3E" w14:textId="77777777" w:rsidR="00D842A6" w:rsidRDefault="00D842A6" w:rsidP="00D842A6">
      <w:pPr>
        <w:pStyle w:val="ListBullet"/>
      </w:pPr>
      <w:r>
        <w:t>Increase in assessment submission rates across all courses</w:t>
      </w:r>
    </w:p>
    <w:p w14:paraId="78C53895" w14:textId="12D52A25" w:rsidR="00D842A6" w:rsidRDefault="00B4243C" w:rsidP="00D842A6">
      <w:pPr>
        <w:pStyle w:val="ListBullet"/>
      </w:pPr>
      <w:r>
        <w:t>Increase c</w:t>
      </w:r>
      <w:r w:rsidR="00D842A6">
        <w:t>lass attendance</w:t>
      </w:r>
      <w:r>
        <w:t>/participation</w:t>
      </w:r>
      <w:r w:rsidR="00D842A6">
        <w:t xml:space="preserve"> </w:t>
      </w:r>
    </w:p>
    <w:p w14:paraId="74AEAB93" w14:textId="4F306A6D" w:rsidR="00EB70CE" w:rsidRPr="00837137" w:rsidRDefault="00D842A6" w:rsidP="00EB70CE">
      <w:pPr>
        <w:pStyle w:val="ListBullet"/>
      </w:pPr>
      <w:r>
        <w:t xml:space="preserve">Students improve ability to work independently and show initiative </w:t>
      </w:r>
    </w:p>
    <w:p w14:paraId="6BF90988" w14:textId="60A7F4D9" w:rsidR="00EB70CE" w:rsidRPr="00373DC0" w:rsidRDefault="00EB70CE" w:rsidP="00EB70CE">
      <w:pPr>
        <w:pStyle w:val="BodyText"/>
      </w:pPr>
      <w:r w:rsidRPr="00373DC0">
        <w:t>In 20</w:t>
      </w:r>
      <w:r w:rsidR="00D842A6">
        <w:t>21</w:t>
      </w:r>
      <w:r w:rsidRPr="00373DC0">
        <w:t xml:space="preserve"> we </w:t>
      </w:r>
      <w:r>
        <w:t>implemented</w:t>
      </w:r>
      <w:r w:rsidRPr="00373DC0">
        <w:t xml:space="preserve"> this priority throug</w:t>
      </w:r>
      <w:r>
        <w:t xml:space="preserve">h the following </w:t>
      </w:r>
      <w:r w:rsidRPr="00373DC0">
        <w:t>strategies.</w:t>
      </w:r>
    </w:p>
    <w:p w14:paraId="62DFD38F" w14:textId="2105F805" w:rsidR="000709A0" w:rsidRDefault="000709A0" w:rsidP="000709A0">
      <w:pPr>
        <w:pStyle w:val="ListBullet"/>
      </w:pPr>
      <w:r>
        <w:t xml:space="preserve">Continue with implementation and development of </w:t>
      </w:r>
      <w:proofErr w:type="gramStart"/>
      <w:r>
        <w:t>College</w:t>
      </w:r>
      <w:proofErr w:type="gramEnd"/>
      <w:r>
        <w:t xml:space="preserve"> reporting</w:t>
      </w:r>
    </w:p>
    <w:p w14:paraId="7D088C90" w14:textId="264B8EAB" w:rsidR="000709A0" w:rsidRDefault="000709A0" w:rsidP="000709A0">
      <w:pPr>
        <w:pStyle w:val="ListBullet2"/>
      </w:pPr>
      <w:r>
        <w:t>Include self-management elements in mid-semester reporting</w:t>
      </w:r>
    </w:p>
    <w:p w14:paraId="3BAD046C" w14:textId="040F05A3" w:rsidR="000709A0" w:rsidRDefault="000709A0" w:rsidP="000709A0">
      <w:pPr>
        <w:pStyle w:val="ListBullet2"/>
      </w:pPr>
      <w:r>
        <w:t>Develop self-management continuum to support reporting on self-management</w:t>
      </w:r>
    </w:p>
    <w:p w14:paraId="4F57FC54" w14:textId="77777777" w:rsidR="000709A0" w:rsidRDefault="000709A0" w:rsidP="000709A0">
      <w:pPr>
        <w:pStyle w:val="ListBullet2"/>
        <w:numPr>
          <w:ilvl w:val="0"/>
          <w:numId w:val="0"/>
        </w:numPr>
        <w:ind w:left="357"/>
      </w:pPr>
    </w:p>
    <w:p w14:paraId="7C5C4F34" w14:textId="6CEEB8EC" w:rsidR="000709A0" w:rsidRDefault="000709A0" w:rsidP="000709A0">
      <w:pPr>
        <w:pStyle w:val="ListBullet"/>
      </w:pPr>
      <w:r>
        <w:t>Development of graduate profile – 21</w:t>
      </w:r>
      <w:r w:rsidRPr="000709A0">
        <w:t>st</w:t>
      </w:r>
      <w:r>
        <w:t xml:space="preserve"> Century skills, capabilities, and dispositions</w:t>
      </w:r>
    </w:p>
    <w:p w14:paraId="3FE3ADF1" w14:textId="276C6297" w:rsidR="00EB70CE" w:rsidRDefault="000709A0" w:rsidP="00EB70CE">
      <w:pPr>
        <w:pStyle w:val="ListBullet"/>
      </w:pPr>
      <w:r>
        <w:t>Link with UC Affiliated Schools – Teachers as researchers project on school reporting</w:t>
      </w:r>
    </w:p>
    <w:p w14:paraId="32A84660" w14:textId="763FB5D5"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2547"/>
        <w:gridCol w:w="540"/>
        <w:gridCol w:w="541"/>
        <w:gridCol w:w="541"/>
        <w:gridCol w:w="541"/>
        <w:gridCol w:w="1082"/>
        <w:gridCol w:w="1082"/>
        <w:gridCol w:w="1082"/>
        <w:gridCol w:w="1082"/>
      </w:tblGrid>
      <w:tr w:rsidR="004F55FA" w14:paraId="52A1D276" w14:textId="77777777" w:rsidTr="00A21433">
        <w:trPr>
          <w:jc w:val="center"/>
        </w:trPr>
        <w:tc>
          <w:tcPr>
            <w:tcW w:w="2547" w:type="dxa"/>
            <w:shd w:val="clear" w:color="auto" w:fill="auto"/>
          </w:tcPr>
          <w:p w14:paraId="38831A05" w14:textId="77777777" w:rsidR="004F55FA" w:rsidRPr="00D03B0C" w:rsidRDefault="004F55FA" w:rsidP="00654356">
            <w:pPr>
              <w:rPr>
                <w:b/>
              </w:rPr>
            </w:pPr>
            <w:r w:rsidRPr="00D03B0C">
              <w:rPr>
                <w:b/>
              </w:rPr>
              <w:t>Targets or Measures</w:t>
            </w:r>
          </w:p>
        </w:tc>
        <w:tc>
          <w:tcPr>
            <w:tcW w:w="1081" w:type="dxa"/>
            <w:gridSpan w:val="2"/>
            <w:shd w:val="clear" w:color="auto" w:fill="auto"/>
          </w:tcPr>
          <w:p w14:paraId="1889F794" w14:textId="622F0DF3" w:rsidR="004F55FA" w:rsidRPr="00D03B0C" w:rsidRDefault="004F55FA" w:rsidP="00654356">
            <w:pPr>
              <w:jc w:val="center"/>
              <w:rPr>
                <w:b/>
              </w:rPr>
            </w:pPr>
            <w:r w:rsidRPr="00D03B0C">
              <w:rPr>
                <w:b/>
              </w:rPr>
              <w:t>Base</w:t>
            </w:r>
            <w:r>
              <w:rPr>
                <w:b/>
              </w:rPr>
              <w:t xml:space="preserve"> 2019</w:t>
            </w:r>
          </w:p>
        </w:tc>
        <w:tc>
          <w:tcPr>
            <w:tcW w:w="1082" w:type="dxa"/>
            <w:gridSpan w:val="2"/>
            <w:shd w:val="clear" w:color="auto" w:fill="auto"/>
          </w:tcPr>
          <w:p w14:paraId="7ABA8CCB" w14:textId="77777777" w:rsidR="004F55FA" w:rsidRDefault="004F55FA" w:rsidP="00654356">
            <w:pPr>
              <w:jc w:val="center"/>
              <w:rPr>
                <w:b/>
              </w:rPr>
            </w:pPr>
            <w:r w:rsidRPr="00D03B0C">
              <w:rPr>
                <w:b/>
              </w:rPr>
              <w:t>Year 1</w:t>
            </w:r>
          </w:p>
          <w:p w14:paraId="7FEBA05C" w14:textId="77ADD55B" w:rsidR="00F61E3C" w:rsidRPr="00D03B0C" w:rsidRDefault="00F61E3C" w:rsidP="00654356">
            <w:pPr>
              <w:jc w:val="center"/>
              <w:rPr>
                <w:b/>
              </w:rPr>
            </w:pPr>
            <w:r>
              <w:rPr>
                <w:b/>
              </w:rPr>
              <w:t>2021</w:t>
            </w:r>
          </w:p>
        </w:tc>
        <w:tc>
          <w:tcPr>
            <w:tcW w:w="1082" w:type="dxa"/>
            <w:shd w:val="clear" w:color="auto" w:fill="auto"/>
          </w:tcPr>
          <w:p w14:paraId="0D73E116" w14:textId="77777777" w:rsidR="004F55FA" w:rsidRPr="00D03B0C" w:rsidRDefault="004F55FA" w:rsidP="00654356">
            <w:pPr>
              <w:jc w:val="center"/>
              <w:rPr>
                <w:b/>
              </w:rPr>
            </w:pPr>
            <w:r w:rsidRPr="00D03B0C">
              <w:rPr>
                <w:b/>
              </w:rPr>
              <w:t>Year 2</w:t>
            </w:r>
          </w:p>
        </w:tc>
        <w:tc>
          <w:tcPr>
            <w:tcW w:w="1082" w:type="dxa"/>
            <w:shd w:val="clear" w:color="auto" w:fill="auto"/>
          </w:tcPr>
          <w:p w14:paraId="318EBF9E" w14:textId="77777777" w:rsidR="004F55FA" w:rsidRPr="00D03B0C" w:rsidRDefault="004F55FA" w:rsidP="00654356">
            <w:pPr>
              <w:jc w:val="center"/>
              <w:rPr>
                <w:b/>
              </w:rPr>
            </w:pPr>
            <w:r w:rsidRPr="00D03B0C">
              <w:rPr>
                <w:b/>
              </w:rPr>
              <w:t>Year 3</w:t>
            </w:r>
          </w:p>
        </w:tc>
        <w:tc>
          <w:tcPr>
            <w:tcW w:w="1082" w:type="dxa"/>
            <w:shd w:val="clear" w:color="auto" w:fill="auto"/>
          </w:tcPr>
          <w:p w14:paraId="4C59D3D5" w14:textId="77777777" w:rsidR="004F55FA" w:rsidRPr="00D03B0C" w:rsidRDefault="004F55FA" w:rsidP="00654356">
            <w:pPr>
              <w:jc w:val="center"/>
              <w:rPr>
                <w:b/>
              </w:rPr>
            </w:pPr>
            <w:r w:rsidRPr="00D03B0C">
              <w:rPr>
                <w:b/>
              </w:rPr>
              <w:t>Year 4</w:t>
            </w:r>
          </w:p>
        </w:tc>
        <w:tc>
          <w:tcPr>
            <w:tcW w:w="1082" w:type="dxa"/>
            <w:shd w:val="clear" w:color="auto" w:fill="auto"/>
          </w:tcPr>
          <w:p w14:paraId="2D207E80" w14:textId="77777777" w:rsidR="004F55FA" w:rsidRPr="00D03B0C" w:rsidRDefault="004F55FA" w:rsidP="00654356">
            <w:pPr>
              <w:jc w:val="center"/>
              <w:rPr>
                <w:b/>
              </w:rPr>
            </w:pPr>
            <w:r w:rsidRPr="00D03B0C">
              <w:rPr>
                <w:b/>
              </w:rPr>
              <w:t>Year 5</w:t>
            </w:r>
          </w:p>
        </w:tc>
      </w:tr>
      <w:tr w:rsidR="004F55FA" w14:paraId="619F7E44" w14:textId="77777777" w:rsidTr="00A21433">
        <w:trPr>
          <w:jc w:val="center"/>
        </w:trPr>
        <w:tc>
          <w:tcPr>
            <w:tcW w:w="2547" w:type="dxa"/>
            <w:shd w:val="clear" w:color="auto" w:fill="auto"/>
          </w:tcPr>
          <w:p w14:paraId="49C1DFD5" w14:textId="77777777" w:rsidR="00A21433" w:rsidRDefault="004F55FA" w:rsidP="00654356">
            <w:pPr>
              <w:pStyle w:val="PlainText"/>
            </w:pPr>
            <w:r>
              <w:t xml:space="preserve">Attendance </w:t>
            </w:r>
          </w:p>
          <w:p w14:paraId="2513CA2B" w14:textId="6ED8014E" w:rsidR="004F55FA" w:rsidRPr="00D03B0C" w:rsidRDefault="004F55FA" w:rsidP="00654356">
            <w:pPr>
              <w:pStyle w:val="PlainText"/>
            </w:pPr>
            <w:r>
              <w:t>(</w:t>
            </w:r>
            <w:r w:rsidR="00A21433">
              <w:t>In</w:t>
            </w:r>
            <w:r>
              <w:t xml:space="preserve"> person/online </w:t>
            </w:r>
            <w:r w:rsidR="00B4243C">
              <w:t xml:space="preserve">averaged </w:t>
            </w:r>
            <w:r>
              <w:t>over 4 terms)</w:t>
            </w:r>
          </w:p>
        </w:tc>
        <w:tc>
          <w:tcPr>
            <w:tcW w:w="1081" w:type="dxa"/>
            <w:gridSpan w:val="2"/>
            <w:shd w:val="clear" w:color="auto" w:fill="auto"/>
          </w:tcPr>
          <w:p w14:paraId="033F8A2C" w14:textId="7F89EC75" w:rsidR="004F55FA" w:rsidRPr="00D03B0C" w:rsidRDefault="004F55FA" w:rsidP="00654356"/>
        </w:tc>
        <w:tc>
          <w:tcPr>
            <w:tcW w:w="1082" w:type="dxa"/>
            <w:gridSpan w:val="2"/>
            <w:shd w:val="clear" w:color="auto" w:fill="auto"/>
          </w:tcPr>
          <w:p w14:paraId="37A47674" w14:textId="77777777" w:rsidR="004F55FA" w:rsidRPr="00D03B0C" w:rsidRDefault="004F55FA" w:rsidP="00654356"/>
        </w:tc>
        <w:tc>
          <w:tcPr>
            <w:tcW w:w="1082" w:type="dxa"/>
            <w:shd w:val="clear" w:color="auto" w:fill="auto"/>
          </w:tcPr>
          <w:p w14:paraId="3B610A06" w14:textId="77777777" w:rsidR="004F55FA" w:rsidRPr="00D03B0C" w:rsidRDefault="004F55FA" w:rsidP="00654356"/>
        </w:tc>
        <w:tc>
          <w:tcPr>
            <w:tcW w:w="1082" w:type="dxa"/>
            <w:shd w:val="clear" w:color="auto" w:fill="auto"/>
          </w:tcPr>
          <w:p w14:paraId="14CA5668" w14:textId="77777777" w:rsidR="004F55FA" w:rsidRPr="00D03B0C" w:rsidRDefault="004F55FA" w:rsidP="00654356"/>
        </w:tc>
        <w:tc>
          <w:tcPr>
            <w:tcW w:w="1082" w:type="dxa"/>
            <w:shd w:val="clear" w:color="auto" w:fill="auto"/>
          </w:tcPr>
          <w:p w14:paraId="31619F89" w14:textId="77777777" w:rsidR="004F55FA" w:rsidRPr="00D03B0C" w:rsidRDefault="004F55FA" w:rsidP="00654356"/>
        </w:tc>
        <w:tc>
          <w:tcPr>
            <w:tcW w:w="1082" w:type="dxa"/>
            <w:shd w:val="clear" w:color="auto" w:fill="auto"/>
          </w:tcPr>
          <w:p w14:paraId="093216C0" w14:textId="77777777" w:rsidR="004F55FA" w:rsidRPr="00D03B0C" w:rsidRDefault="004F55FA" w:rsidP="00654356"/>
        </w:tc>
      </w:tr>
      <w:tr w:rsidR="004F55FA" w14:paraId="5E4D2B76" w14:textId="77777777" w:rsidTr="00A21433">
        <w:trPr>
          <w:jc w:val="center"/>
        </w:trPr>
        <w:tc>
          <w:tcPr>
            <w:tcW w:w="2547" w:type="dxa"/>
            <w:shd w:val="clear" w:color="auto" w:fill="auto"/>
          </w:tcPr>
          <w:p w14:paraId="774CA6F0" w14:textId="09D47868" w:rsidR="004F55FA" w:rsidRDefault="004F55FA" w:rsidP="004F55FA">
            <w:pPr>
              <w:pStyle w:val="PlainText"/>
              <w:jc w:val="right"/>
            </w:pPr>
            <w:r>
              <w:t>Year 11</w:t>
            </w:r>
          </w:p>
        </w:tc>
        <w:tc>
          <w:tcPr>
            <w:tcW w:w="1081" w:type="dxa"/>
            <w:gridSpan w:val="2"/>
            <w:shd w:val="clear" w:color="auto" w:fill="auto"/>
          </w:tcPr>
          <w:p w14:paraId="52AD3EDF" w14:textId="1E8075E3" w:rsidR="004F55FA" w:rsidRPr="00D03B0C" w:rsidRDefault="004F55FA" w:rsidP="00F61E3C">
            <w:pPr>
              <w:jc w:val="center"/>
            </w:pPr>
            <w:r>
              <w:t>76.39</w:t>
            </w:r>
            <w:r w:rsidR="00F61E3C">
              <w:t>%</w:t>
            </w:r>
          </w:p>
        </w:tc>
        <w:tc>
          <w:tcPr>
            <w:tcW w:w="1082" w:type="dxa"/>
            <w:gridSpan w:val="2"/>
            <w:shd w:val="clear" w:color="auto" w:fill="auto"/>
          </w:tcPr>
          <w:p w14:paraId="5B51CA40" w14:textId="6F7938FC" w:rsidR="004F55FA" w:rsidRPr="00D03B0C" w:rsidRDefault="00F61E3C" w:rsidP="00654356">
            <w:r>
              <w:t>77.74%</w:t>
            </w:r>
          </w:p>
        </w:tc>
        <w:tc>
          <w:tcPr>
            <w:tcW w:w="1082" w:type="dxa"/>
            <w:shd w:val="clear" w:color="auto" w:fill="auto"/>
          </w:tcPr>
          <w:p w14:paraId="6BC8DFE6" w14:textId="77777777" w:rsidR="004F55FA" w:rsidRPr="00D03B0C" w:rsidRDefault="004F55FA" w:rsidP="00654356"/>
        </w:tc>
        <w:tc>
          <w:tcPr>
            <w:tcW w:w="1082" w:type="dxa"/>
            <w:shd w:val="clear" w:color="auto" w:fill="auto"/>
          </w:tcPr>
          <w:p w14:paraId="144274EA" w14:textId="77777777" w:rsidR="004F55FA" w:rsidRPr="00D03B0C" w:rsidRDefault="004F55FA" w:rsidP="00654356"/>
        </w:tc>
        <w:tc>
          <w:tcPr>
            <w:tcW w:w="1082" w:type="dxa"/>
            <w:shd w:val="clear" w:color="auto" w:fill="auto"/>
          </w:tcPr>
          <w:p w14:paraId="548C004F" w14:textId="77777777" w:rsidR="004F55FA" w:rsidRPr="00D03B0C" w:rsidRDefault="004F55FA" w:rsidP="00654356"/>
        </w:tc>
        <w:tc>
          <w:tcPr>
            <w:tcW w:w="1082" w:type="dxa"/>
            <w:shd w:val="clear" w:color="auto" w:fill="auto"/>
          </w:tcPr>
          <w:p w14:paraId="19F4C599" w14:textId="77777777" w:rsidR="004F55FA" w:rsidRPr="00D03B0C" w:rsidRDefault="004F55FA" w:rsidP="00654356"/>
        </w:tc>
      </w:tr>
      <w:tr w:rsidR="004F55FA" w14:paraId="30816374" w14:textId="77777777" w:rsidTr="00A21433">
        <w:trPr>
          <w:jc w:val="center"/>
        </w:trPr>
        <w:tc>
          <w:tcPr>
            <w:tcW w:w="2547" w:type="dxa"/>
            <w:shd w:val="clear" w:color="auto" w:fill="auto"/>
          </w:tcPr>
          <w:p w14:paraId="0398AD36" w14:textId="128C3F87" w:rsidR="004F55FA" w:rsidRDefault="004F55FA" w:rsidP="004F55FA">
            <w:pPr>
              <w:pStyle w:val="PlainText"/>
              <w:jc w:val="right"/>
            </w:pPr>
            <w:r>
              <w:t>Year 12</w:t>
            </w:r>
          </w:p>
        </w:tc>
        <w:tc>
          <w:tcPr>
            <w:tcW w:w="1081" w:type="dxa"/>
            <w:gridSpan w:val="2"/>
            <w:shd w:val="clear" w:color="auto" w:fill="auto"/>
          </w:tcPr>
          <w:p w14:paraId="1339A84B" w14:textId="41373964" w:rsidR="004F55FA" w:rsidRPr="00D03B0C" w:rsidRDefault="00F61E3C" w:rsidP="00F61E3C">
            <w:pPr>
              <w:jc w:val="center"/>
            </w:pPr>
            <w:r>
              <w:t>76.69%</w:t>
            </w:r>
          </w:p>
        </w:tc>
        <w:tc>
          <w:tcPr>
            <w:tcW w:w="1082" w:type="dxa"/>
            <w:gridSpan w:val="2"/>
            <w:shd w:val="clear" w:color="auto" w:fill="auto"/>
          </w:tcPr>
          <w:p w14:paraId="25F9F726" w14:textId="5BC81B14" w:rsidR="004F55FA" w:rsidRPr="00D03B0C" w:rsidRDefault="00F61E3C" w:rsidP="00654356">
            <w:r>
              <w:t>73.08%</w:t>
            </w:r>
          </w:p>
        </w:tc>
        <w:tc>
          <w:tcPr>
            <w:tcW w:w="1082" w:type="dxa"/>
            <w:shd w:val="clear" w:color="auto" w:fill="auto"/>
          </w:tcPr>
          <w:p w14:paraId="018B4599" w14:textId="77777777" w:rsidR="004F55FA" w:rsidRPr="00D03B0C" w:rsidRDefault="004F55FA" w:rsidP="00654356"/>
        </w:tc>
        <w:tc>
          <w:tcPr>
            <w:tcW w:w="1082" w:type="dxa"/>
            <w:shd w:val="clear" w:color="auto" w:fill="auto"/>
          </w:tcPr>
          <w:p w14:paraId="56F9BB6C" w14:textId="77777777" w:rsidR="004F55FA" w:rsidRPr="00D03B0C" w:rsidRDefault="004F55FA" w:rsidP="00654356"/>
        </w:tc>
        <w:tc>
          <w:tcPr>
            <w:tcW w:w="1082" w:type="dxa"/>
            <w:shd w:val="clear" w:color="auto" w:fill="auto"/>
          </w:tcPr>
          <w:p w14:paraId="45980AF5" w14:textId="77777777" w:rsidR="004F55FA" w:rsidRPr="00D03B0C" w:rsidRDefault="004F55FA" w:rsidP="00654356"/>
        </w:tc>
        <w:tc>
          <w:tcPr>
            <w:tcW w:w="1082" w:type="dxa"/>
            <w:shd w:val="clear" w:color="auto" w:fill="auto"/>
          </w:tcPr>
          <w:p w14:paraId="74E92D72" w14:textId="77777777" w:rsidR="004F55FA" w:rsidRPr="00D03B0C" w:rsidRDefault="004F55FA" w:rsidP="00654356"/>
        </w:tc>
      </w:tr>
      <w:tr w:rsidR="00A21433" w14:paraId="3A447F69" w14:textId="77777777" w:rsidTr="00A21433">
        <w:trPr>
          <w:jc w:val="center"/>
        </w:trPr>
        <w:tc>
          <w:tcPr>
            <w:tcW w:w="2547" w:type="dxa"/>
            <w:shd w:val="clear" w:color="auto" w:fill="auto"/>
          </w:tcPr>
          <w:p w14:paraId="1A5D3FE3" w14:textId="77777777" w:rsidR="00A21433" w:rsidRDefault="00A21433" w:rsidP="004F55FA">
            <w:pPr>
              <w:pStyle w:val="PlainText"/>
              <w:jc w:val="right"/>
            </w:pPr>
          </w:p>
        </w:tc>
        <w:tc>
          <w:tcPr>
            <w:tcW w:w="1081" w:type="dxa"/>
            <w:gridSpan w:val="2"/>
            <w:shd w:val="clear" w:color="auto" w:fill="auto"/>
          </w:tcPr>
          <w:p w14:paraId="1454C13E" w14:textId="77777777" w:rsidR="00A21433" w:rsidRDefault="00A21433" w:rsidP="00F61E3C">
            <w:pPr>
              <w:jc w:val="center"/>
              <w:rPr>
                <w:b/>
                <w:bCs/>
              </w:rPr>
            </w:pPr>
          </w:p>
          <w:p w14:paraId="0668AD01" w14:textId="3A34BD73" w:rsidR="00A21433" w:rsidRPr="00A21433" w:rsidRDefault="00A21433" w:rsidP="00F61E3C">
            <w:pPr>
              <w:jc w:val="center"/>
              <w:rPr>
                <w:b/>
                <w:bCs/>
              </w:rPr>
            </w:pPr>
            <w:r w:rsidRPr="00A21433">
              <w:rPr>
                <w:b/>
                <w:bCs/>
              </w:rPr>
              <w:t>Base 2020</w:t>
            </w:r>
          </w:p>
        </w:tc>
        <w:tc>
          <w:tcPr>
            <w:tcW w:w="1082" w:type="dxa"/>
            <w:gridSpan w:val="2"/>
            <w:shd w:val="clear" w:color="auto" w:fill="auto"/>
          </w:tcPr>
          <w:p w14:paraId="315FA610" w14:textId="77777777" w:rsidR="00A21433" w:rsidRDefault="00A21433" w:rsidP="00654356">
            <w:pPr>
              <w:rPr>
                <w:b/>
                <w:bCs/>
              </w:rPr>
            </w:pPr>
          </w:p>
          <w:p w14:paraId="78C1A20D" w14:textId="1412D41A" w:rsidR="00A21433" w:rsidRPr="00A21433" w:rsidRDefault="00A21433" w:rsidP="00654356">
            <w:pPr>
              <w:rPr>
                <w:b/>
                <w:bCs/>
              </w:rPr>
            </w:pPr>
            <w:r w:rsidRPr="00A21433">
              <w:rPr>
                <w:b/>
                <w:bCs/>
              </w:rPr>
              <w:t>2021</w:t>
            </w:r>
          </w:p>
        </w:tc>
        <w:tc>
          <w:tcPr>
            <w:tcW w:w="1082" w:type="dxa"/>
            <w:shd w:val="clear" w:color="auto" w:fill="auto"/>
          </w:tcPr>
          <w:p w14:paraId="3772D0BF" w14:textId="77777777" w:rsidR="00A21433" w:rsidRPr="00D03B0C" w:rsidRDefault="00A21433" w:rsidP="00654356"/>
        </w:tc>
        <w:tc>
          <w:tcPr>
            <w:tcW w:w="1082" w:type="dxa"/>
            <w:shd w:val="clear" w:color="auto" w:fill="auto"/>
          </w:tcPr>
          <w:p w14:paraId="4ABF0B53" w14:textId="77777777" w:rsidR="00A21433" w:rsidRPr="00D03B0C" w:rsidRDefault="00A21433" w:rsidP="00654356"/>
        </w:tc>
        <w:tc>
          <w:tcPr>
            <w:tcW w:w="1082" w:type="dxa"/>
            <w:shd w:val="clear" w:color="auto" w:fill="auto"/>
          </w:tcPr>
          <w:p w14:paraId="1E224420" w14:textId="77777777" w:rsidR="00A21433" w:rsidRPr="00D03B0C" w:rsidRDefault="00A21433" w:rsidP="00654356"/>
        </w:tc>
        <w:tc>
          <w:tcPr>
            <w:tcW w:w="1082" w:type="dxa"/>
            <w:shd w:val="clear" w:color="auto" w:fill="auto"/>
          </w:tcPr>
          <w:p w14:paraId="239C325B" w14:textId="77777777" w:rsidR="00A21433" w:rsidRPr="00D03B0C" w:rsidRDefault="00A21433" w:rsidP="00654356"/>
        </w:tc>
      </w:tr>
      <w:tr w:rsidR="00A21433" w14:paraId="115173E6" w14:textId="77777777" w:rsidTr="008C3207">
        <w:trPr>
          <w:jc w:val="center"/>
        </w:trPr>
        <w:tc>
          <w:tcPr>
            <w:tcW w:w="2547" w:type="dxa"/>
            <w:shd w:val="clear" w:color="auto" w:fill="auto"/>
          </w:tcPr>
          <w:p w14:paraId="45206012" w14:textId="77777777" w:rsidR="00A21433" w:rsidRDefault="00A21433" w:rsidP="004F55FA">
            <w:pPr>
              <w:pStyle w:val="PlainText"/>
              <w:jc w:val="right"/>
            </w:pPr>
          </w:p>
        </w:tc>
        <w:tc>
          <w:tcPr>
            <w:tcW w:w="540" w:type="dxa"/>
            <w:shd w:val="clear" w:color="auto" w:fill="auto"/>
          </w:tcPr>
          <w:p w14:paraId="5FDA5556" w14:textId="0FEE257D" w:rsidR="00A21433" w:rsidRDefault="00A21433" w:rsidP="00F61E3C">
            <w:pPr>
              <w:jc w:val="center"/>
              <w:rPr>
                <w:b/>
                <w:bCs/>
              </w:rPr>
            </w:pPr>
            <w:r>
              <w:rPr>
                <w:b/>
                <w:bCs/>
              </w:rPr>
              <w:t>S1</w:t>
            </w:r>
          </w:p>
        </w:tc>
        <w:tc>
          <w:tcPr>
            <w:tcW w:w="541" w:type="dxa"/>
            <w:shd w:val="clear" w:color="auto" w:fill="auto"/>
          </w:tcPr>
          <w:p w14:paraId="06126F61" w14:textId="0F6A8B6E" w:rsidR="00A21433" w:rsidRDefault="00A21433" w:rsidP="00F61E3C">
            <w:pPr>
              <w:jc w:val="center"/>
              <w:rPr>
                <w:b/>
                <w:bCs/>
              </w:rPr>
            </w:pPr>
            <w:r>
              <w:rPr>
                <w:b/>
                <w:bCs/>
              </w:rPr>
              <w:t>S2</w:t>
            </w:r>
          </w:p>
        </w:tc>
        <w:tc>
          <w:tcPr>
            <w:tcW w:w="541" w:type="dxa"/>
            <w:shd w:val="clear" w:color="auto" w:fill="auto"/>
          </w:tcPr>
          <w:p w14:paraId="4BE5203B" w14:textId="456D2887" w:rsidR="00A21433" w:rsidRDefault="00A21433" w:rsidP="00654356">
            <w:pPr>
              <w:rPr>
                <w:b/>
                <w:bCs/>
              </w:rPr>
            </w:pPr>
            <w:r>
              <w:rPr>
                <w:b/>
                <w:bCs/>
              </w:rPr>
              <w:t>S1</w:t>
            </w:r>
          </w:p>
        </w:tc>
        <w:tc>
          <w:tcPr>
            <w:tcW w:w="541" w:type="dxa"/>
            <w:shd w:val="clear" w:color="auto" w:fill="auto"/>
          </w:tcPr>
          <w:p w14:paraId="0C4791BE" w14:textId="4FD7A23D" w:rsidR="00A21433" w:rsidRDefault="00A21433" w:rsidP="00654356">
            <w:pPr>
              <w:rPr>
                <w:b/>
                <w:bCs/>
              </w:rPr>
            </w:pPr>
            <w:r>
              <w:rPr>
                <w:b/>
                <w:bCs/>
              </w:rPr>
              <w:t>S2</w:t>
            </w:r>
          </w:p>
        </w:tc>
        <w:tc>
          <w:tcPr>
            <w:tcW w:w="1082" w:type="dxa"/>
            <w:shd w:val="clear" w:color="auto" w:fill="auto"/>
          </w:tcPr>
          <w:p w14:paraId="30AECDA9" w14:textId="77777777" w:rsidR="00A21433" w:rsidRPr="00D03B0C" w:rsidRDefault="00A21433" w:rsidP="00654356"/>
        </w:tc>
        <w:tc>
          <w:tcPr>
            <w:tcW w:w="1082" w:type="dxa"/>
            <w:shd w:val="clear" w:color="auto" w:fill="auto"/>
          </w:tcPr>
          <w:p w14:paraId="3D14A99B" w14:textId="77777777" w:rsidR="00A21433" w:rsidRPr="00D03B0C" w:rsidRDefault="00A21433" w:rsidP="00654356"/>
        </w:tc>
        <w:tc>
          <w:tcPr>
            <w:tcW w:w="1082" w:type="dxa"/>
            <w:shd w:val="clear" w:color="auto" w:fill="auto"/>
          </w:tcPr>
          <w:p w14:paraId="5CBB77A6" w14:textId="77777777" w:rsidR="00A21433" w:rsidRPr="00D03B0C" w:rsidRDefault="00A21433" w:rsidP="00654356"/>
        </w:tc>
        <w:tc>
          <w:tcPr>
            <w:tcW w:w="1082" w:type="dxa"/>
            <w:shd w:val="clear" w:color="auto" w:fill="auto"/>
          </w:tcPr>
          <w:p w14:paraId="1EE9FB11" w14:textId="77777777" w:rsidR="00A21433" w:rsidRPr="00D03B0C" w:rsidRDefault="00A21433" w:rsidP="00654356"/>
        </w:tc>
      </w:tr>
      <w:tr w:rsidR="00A21433" w14:paraId="601A29E8" w14:textId="77777777" w:rsidTr="00162CD5">
        <w:trPr>
          <w:jc w:val="center"/>
        </w:trPr>
        <w:tc>
          <w:tcPr>
            <w:tcW w:w="2547" w:type="dxa"/>
            <w:shd w:val="clear" w:color="auto" w:fill="auto"/>
          </w:tcPr>
          <w:p w14:paraId="2A7A5C35" w14:textId="373D8CF2" w:rsidR="00A21433" w:rsidRDefault="00A21433" w:rsidP="004F55FA">
            <w:pPr>
              <w:pStyle w:val="PlainText"/>
              <w:jc w:val="right"/>
            </w:pPr>
            <w:r>
              <w:rPr>
                <w:rFonts w:ascii="Arial" w:hAnsi="Arial" w:cs="Arial"/>
                <w:sz w:val="20"/>
                <w:szCs w:val="20"/>
              </w:rPr>
              <w:t>Percentage of assessment items submitted</w:t>
            </w:r>
          </w:p>
        </w:tc>
        <w:tc>
          <w:tcPr>
            <w:tcW w:w="540" w:type="dxa"/>
            <w:shd w:val="clear" w:color="auto" w:fill="auto"/>
          </w:tcPr>
          <w:p w14:paraId="50D48F6B" w14:textId="33911671" w:rsidR="00A21433" w:rsidRPr="00B4243C" w:rsidRDefault="00B4243C" w:rsidP="00F61E3C">
            <w:pPr>
              <w:jc w:val="center"/>
            </w:pPr>
            <w:r w:rsidRPr="00B4243C">
              <w:t>85.3</w:t>
            </w:r>
          </w:p>
        </w:tc>
        <w:tc>
          <w:tcPr>
            <w:tcW w:w="541" w:type="dxa"/>
            <w:shd w:val="clear" w:color="auto" w:fill="auto"/>
          </w:tcPr>
          <w:p w14:paraId="33302DA7" w14:textId="669B7ACA" w:rsidR="00A21433" w:rsidRPr="00B4243C" w:rsidRDefault="00B4243C" w:rsidP="00F61E3C">
            <w:pPr>
              <w:jc w:val="center"/>
            </w:pPr>
            <w:r w:rsidRPr="00B4243C">
              <w:t>86.6</w:t>
            </w:r>
          </w:p>
        </w:tc>
        <w:tc>
          <w:tcPr>
            <w:tcW w:w="541" w:type="dxa"/>
            <w:shd w:val="clear" w:color="auto" w:fill="auto"/>
          </w:tcPr>
          <w:p w14:paraId="30202B48" w14:textId="5E608E49" w:rsidR="00A21433" w:rsidRPr="00B4243C" w:rsidRDefault="00B4243C" w:rsidP="00654356">
            <w:r w:rsidRPr="00B4243C">
              <w:t>86.4</w:t>
            </w:r>
          </w:p>
        </w:tc>
        <w:tc>
          <w:tcPr>
            <w:tcW w:w="541" w:type="dxa"/>
            <w:shd w:val="clear" w:color="auto" w:fill="auto"/>
          </w:tcPr>
          <w:p w14:paraId="5A5435AF" w14:textId="1BCF9413" w:rsidR="00A21433" w:rsidRPr="00B4243C" w:rsidRDefault="00B4243C" w:rsidP="00654356">
            <w:r w:rsidRPr="00B4243C">
              <w:t>84.7</w:t>
            </w:r>
          </w:p>
        </w:tc>
        <w:tc>
          <w:tcPr>
            <w:tcW w:w="1082" w:type="dxa"/>
            <w:shd w:val="clear" w:color="auto" w:fill="auto"/>
          </w:tcPr>
          <w:p w14:paraId="6B9C687E" w14:textId="77777777" w:rsidR="00A21433" w:rsidRPr="00D03B0C" w:rsidRDefault="00A21433" w:rsidP="00654356"/>
        </w:tc>
        <w:tc>
          <w:tcPr>
            <w:tcW w:w="1082" w:type="dxa"/>
            <w:shd w:val="clear" w:color="auto" w:fill="auto"/>
          </w:tcPr>
          <w:p w14:paraId="6A619585" w14:textId="77777777" w:rsidR="00A21433" w:rsidRPr="00D03B0C" w:rsidRDefault="00A21433" w:rsidP="00654356"/>
        </w:tc>
        <w:tc>
          <w:tcPr>
            <w:tcW w:w="1082" w:type="dxa"/>
            <w:shd w:val="clear" w:color="auto" w:fill="auto"/>
          </w:tcPr>
          <w:p w14:paraId="3CB1F0F3" w14:textId="77777777" w:rsidR="00A21433" w:rsidRPr="00D03B0C" w:rsidRDefault="00A21433" w:rsidP="00654356"/>
        </w:tc>
        <w:tc>
          <w:tcPr>
            <w:tcW w:w="1082" w:type="dxa"/>
            <w:shd w:val="clear" w:color="auto" w:fill="auto"/>
          </w:tcPr>
          <w:p w14:paraId="117567C2" w14:textId="77777777" w:rsidR="00A21433" w:rsidRPr="00D03B0C" w:rsidRDefault="00A21433" w:rsidP="00654356"/>
        </w:tc>
      </w:tr>
      <w:tr w:rsidR="00A21433" w14:paraId="33459FA9" w14:textId="77777777" w:rsidTr="00162CD5">
        <w:trPr>
          <w:jc w:val="center"/>
        </w:trPr>
        <w:tc>
          <w:tcPr>
            <w:tcW w:w="2547" w:type="dxa"/>
            <w:shd w:val="clear" w:color="auto" w:fill="auto"/>
          </w:tcPr>
          <w:p w14:paraId="1531EE23" w14:textId="65A8A698" w:rsidR="00A21433" w:rsidRDefault="00B4243C" w:rsidP="004F55FA">
            <w:pPr>
              <w:pStyle w:val="PlainText"/>
              <w:jc w:val="right"/>
              <w:rPr>
                <w:rFonts w:ascii="Arial" w:hAnsi="Arial" w:cs="Arial"/>
                <w:sz w:val="20"/>
                <w:szCs w:val="20"/>
              </w:rPr>
            </w:pPr>
            <w:r>
              <w:rPr>
                <w:rFonts w:ascii="Arial" w:hAnsi="Arial" w:cs="Arial"/>
                <w:sz w:val="20"/>
                <w:szCs w:val="20"/>
              </w:rPr>
              <w:t>Year 11</w:t>
            </w:r>
          </w:p>
        </w:tc>
        <w:tc>
          <w:tcPr>
            <w:tcW w:w="540" w:type="dxa"/>
            <w:shd w:val="clear" w:color="auto" w:fill="auto"/>
          </w:tcPr>
          <w:p w14:paraId="37897561" w14:textId="0BBF9AB2" w:rsidR="00A21433" w:rsidRPr="00B4243C" w:rsidRDefault="00B4243C" w:rsidP="00F61E3C">
            <w:pPr>
              <w:jc w:val="center"/>
            </w:pPr>
            <w:r w:rsidRPr="00B4243C">
              <w:t>84.1</w:t>
            </w:r>
          </w:p>
        </w:tc>
        <w:tc>
          <w:tcPr>
            <w:tcW w:w="541" w:type="dxa"/>
            <w:shd w:val="clear" w:color="auto" w:fill="auto"/>
          </w:tcPr>
          <w:p w14:paraId="2F68DAB6" w14:textId="373A2A23" w:rsidR="00A21433" w:rsidRPr="00B4243C" w:rsidRDefault="00B4243C" w:rsidP="00F61E3C">
            <w:pPr>
              <w:jc w:val="center"/>
            </w:pPr>
            <w:r w:rsidRPr="00B4243C">
              <w:t>85.1</w:t>
            </w:r>
          </w:p>
        </w:tc>
        <w:tc>
          <w:tcPr>
            <w:tcW w:w="541" w:type="dxa"/>
            <w:shd w:val="clear" w:color="auto" w:fill="auto"/>
          </w:tcPr>
          <w:p w14:paraId="649B551A" w14:textId="10997EFA" w:rsidR="00A21433" w:rsidRPr="00B4243C" w:rsidRDefault="00B4243C" w:rsidP="00654356">
            <w:r w:rsidRPr="00B4243C">
              <w:t>87.0</w:t>
            </w:r>
          </w:p>
        </w:tc>
        <w:tc>
          <w:tcPr>
            <w:tcW w:w="541" w:type="dxa"/>
            <w:shd w:val="clear" w:color="auto" w:fill="auto"/>
          </w:tcPr>
          <w:p w14:paraId="361CB03F" w14:textId="3272CF43" w:rsidR="00A21433" w:rsidRPr="00B4243C" w:rsidRDefault="00B4243C" w:rsidP="00654356">
            <w:r w:rsidRPr="00B4243C">
              <w:t>84.6</w:t>
            </w:r>
          </w:p>
        </w:tc>
        <w:tc>
          <w:tcPr>
            <w:tcW w:w="1082" w:type="dxa"/>
            <w:shd w:val="clear" w:color="auto" w:fill="auto"/>
          </w:tcPr>
          <w:p w14:paraId="05A226A6" w14:textId="77777777" w:rsidR="00A21433" w:rsidRPr="00D03B0C" w:rsidRDefault="00A21433" w:rsidP="00654356"/>
        </w:tc>
        <w:tc>
          <w:tcPr>
            <w:tcW w:w="1082" w:type="dxa"/>
            <w:shd w:val="clear" w:color="auto" w:fill="auto"/>
          </w:tcPr>
          <w:p w14:paraId="38B165E7" w14:textId="77777777" w:rsidR="00A21433" w:rsidRPr="00D03B0C" w:rsidRDefault="00A21433" w:rsidP="00654356"/>
        </w:tc>
        <w:tc>
          <w:tcPr>
            <w:tcW w:w="1082" w:type="dxa"/>
            <w:shd w:val="clear" w:color="auto" w:fill="auto"/>
          </w:tcPr>
          <w:p w14:paraId="089F2038" w14:textId="77777777" w:rsidR="00A21433" w:rsidRPr="00D03B0C" w:rsidRDefault="00A21433" w:rsidP="00654356"/>
        </w:tc>
        <w:tc>
          <w:tcPr>
            <w:tcW w:w="1082" w:type="dxa"/>
            <w:shd w:val="clear" w:color="auto" w:fill="auto"/>
          </w:tcPr>
          <w:p w14:paraId="5BA3BAE4" w14:textId="77777777" w:rsidR="00A21433" w:rsidRPr="00D03B0C" w:rsidRDefault="00A21433" w:rsidP="00654356"/>
        </w:tc>
      </w:tr>
      <w:tr w:rsidR="00A21433" w14:paraId="1905FB7D" w14:textId="77777777" w:rsidTr="00162CD5">
        <w:trPr>
          <w:jc w:val="center"/>
        </w:trPr>
        <w:tc>
          <w:tcPr>
            <w:tcW w:w="2547" w:type="dxa"/>
            <w:shd w:val="clear" w:color="auto" w:fill="auto"/>
          </w:tcPr>
          <w:p w14:paraId="291EF775" w14:textId="5F4E38F0" w:rsidR="00A21433" w:rsidRDefault="00B4243C" w:rsidP="004F55FA">
            <w:pPr>
              <w:pStyle w:val="PlainText"/>
              <w:jc w:val="right"/>
              <w:rPr>
                <w:rFonts w:ascii="Arial" w:hAnsi="Arial" w:cs="Arial"/>
                <w:sz w:val="20"/>
                <w:szCs w:val="20"/>
              </w:rPr>
            </w:pPr>
            <w:r>
              <w:rPr>
                <w:rFonts w:ascii="Arial" w:hAnsi="Arial" w:cs="Arial"/>
                <w:sz w:val="20"/>
                <w:szCs w:val="20"/>
              </w:rPr>
              <w:t>Year 12</w:t>
            </w:r>
          </w:p>
        </w:tc>
        <w:tc>
          <w:tcPr>
            <w:tcW w:w="540" w:type="dxa"/>
            <w:shd w:val="clear" w:color="auto" w:fill="auto"/>
          </w:tcPr>
          <w:p w14:paraId="240818D9" w14:textId="387BF888" w:rsidR="00A21433" w:rsidRPr="00B4243C" w:rsidRDefault="00B4243C" w:rsidP="00F61E3C">
            <w:pPr>
              <w:jc w:val="center"/>
            </w:pPr>
            <w:r w:rsidRPr="00B4243C">
              <w:t>87.2</w:t>
            </w:r>
          </w:p>
        </w:tc>
        <w:tc>
          <w:tcPr>
            <w:tcW w:w="541" w:type="dxa"/>
            <w:shd w:val="clear" w:color="auto" w:fill="auto"/>
          </w:tcPr>
          <w:p w14:paraId="65AE1266" w14:textId="08A8DB19" w:rsidR="00A21433" w:rsidRPr="00B4243C" w:rsidRDefault="00B4243C" w:rsidP="00F61E3C">
            <w:pPr>
              <w:jc w:val="center"/>
            </w:pPr>
            <w:r w:rsidRPr="00B4243C">
              <w:t>89.1</w:t>
            </w:r>
          </w:p>
        </w:tc>
        <w:tc>
          <w:tcPr>
            <w:tcW w:w="541" w:type="dxa"/>
            <w:shd w:val="clear" w:color="auto" w:fill="auto"/>
          </w:tcPr>
          <w:p w14:paraId="6204BD87" w14:textId="1D3109F5" w:rsidR="00A21433" w:rsidRPr="00B4243C" w:rsidRDefault="00B4243C" w:rsidP="00654356">
            <w:r w:rsidRPr="00B4243C">
              <w:t>85.8</w:t>
            </w:r>
          </w:p>
        </w:tc>
        <w:tc>
          <w:tcPr>
            <w:tcW w:w="541" w:type="dxa"/>
            <w:shd w:val="clear" w:color="auto" w:fill="auto"/>
          </w:tcPr>
          <w:p w14:paraId="6AE7C227" w14:textId="2AD957C0" w:rsidR="00A21433" w:rsidRPr="00B4243C" w:rsidRDefault="00B4243C" w:rsidP="00654356">
            <w:r w:rsidRPr="00B4243C">
              <w:t>84.9</w:t>
            </w:r>
          </w:p>
        </w:tc>
        <w:tc>
          <w:tcPr>
            <w:tcW w:w="1082" w:type="dxa"/>
            <w:shd w:val="clear" w:color="auto" w:fill="auto"/>
          </w:tcPr>
          <w:p w14:paraId="58103167" w14:textId="77777777" w:rsidR="00A21433" w:rsidRPr="00D03B0C" w:rsidRDefault="00A21433" w:rsidP="00654356"/>
        </w:tc>
        <w:tc>
          <w:tcPr>
            <w:tcW w:w="1082" w:type="dxa"/>
            <w:shd w:val="clear" w:color="auto" w:fill="auto"/>
          </w:tcPr>
          <w:p w14:paraId="0044112B" w14:textId="77777777" w:rsidR="00A21433" w:rsidRPr="00D03B0C" w:rsidRDefault="00A21433" w:rsidP="00654356"/>
        </w:tc>
        <w:tc>
          <w:tcPr>
            <w:tcW w:w="1082" w:type="dxa"/>
            <w:shd w:val="clear" w:color="auto" w:fill="auto"/>
          </w:tcPr>
          <w:p w14:paraId="4E533C71" w14:textId="77777777" w:rsidR="00A21433" w:rsidRPr="00D03B0C" w:rsidRDefault="00A21433" w:rsidP="00654356"/>
        </w:tc>
        <w:tc>
          <w:tcPr>
            <w:tcW w:w="1082" w:type="dxa"/>
            <w:shd w:val="clear" w:color="auto" w:fill="auto"/>
          </w:tcPr>
          <w:p w14:paraId="6A42A021" w14:textId="77777777" w:rsidR="00A21433" w:rsidRPr="00D03B0C" w:rsidRDefault="00A21433" w:rsidP="00654356"/>
        </w:tc>
      </w:tr>
      <w:tr w:rsidR="00A21433" w14:paraId="2C5CFEF7" w14:textId="77777777" w:rsidTr="00162CD5">
        <w:trPr>
          <w:jc w:val="center"/>
        </w:trPr>
        <w:tc>
          <w:tcPr>
            <w:tcW w:w="2547" w:type="dxa"/>
            <w:shd w:val="clear" w:color="auto" w:fill="auto"/>
          </w:tcPr>
          <w:p w14:paraId="4CBF9CE9" w14:textId="77777777" w:rsidR="00A21433" w:rsidRDefault="00A21433" w:rsidP="004F55FA">
            <w:pPr>
              <w:pStyle w:val="PlainText"/>
              <w:jc w:val="right"/>
              <w:rPr>
                <w:rFonts w:ascii="Arial" w:hAnsi="Arial" w:cs="Arial"/>
                <w:sz w:val="20"/>
                <w:szCs w:val="20"/>
              </w:rPr>
            </w:pPr>
          </w:p>
        </w:tc>
        <w:tc>
          <w:tcPr>
            <w:tcW w:w="540" w:type="dxa"/>
            <w:shd w:val="clear" w:color="auto" w:fill="auto"/>
          </w:tcPr>
          <w:p w14:paraId="6DF36EFC" w14:textId="77777777" w:rsidR="00A21433" w:rsidRDefault="00A21433" w:rsidP="00F61E3C">
            <w:pPr>
              <w:jc w:val="center"/>
              <w:rPr>
                <w:b/>
                <w:bCs/>
              </w:rPr>
            </w:pPr>
          </w:p>
        </w:tc>
        <w:tc>
          <w:tcPr>
            <w:tcW w:w="541" w:type="dxa"/>
            <w:shd w:val="clear" w:color="auto" w:fill="auto"/>
          </w:tcPr>
          <w:p w14:paraId="2EF5994E" w14:textId="77777777" w:rsidR="00A21433" w:rsidRDefault="00A21433" w:rsidP="00F61E3C">
            <w:pPr>
              <w:jc w:val="center"/>
              <w:rPr>
                <w:b/>
                <w:bCs/>
              </w:rPr>
            </w:pPr>
          </w:p>
        </w:tc>
        <w:tc>
          <w:tcPr>
            <w:tcW w:w="541" w:type="dxa"/>
            <w:shd w:val="clear" w:color="auto" w:fill="auto"/>
          </w:tcPr>
          <w:p w14:paraId="1F072492" w14:textId="77777777" w:rsidR="00A21433" w:rsidRDefault="00A21433" w:rsidP="00654356">
            <w:pPr>
              <w:rPr>
                <w:b/>
                <w:bCs/>
              </w:rPr>
            </w:pPr>
          </w:p>
        </w:tc>
        <w:tc>
          <w:tcPr>
            <w:tcW w:w="541" w:type="dxa"/>
            <w:shd w:val="clear" w:color="auto" w:fill="auto"/>
          </w:tcPr>
          <w:p w14:paraId="7012C9B5" w14:textId="77777777" w:rsidR="00A21433" w:rsidRDefault="00A21433" w:rsidP="00654356">
            <w:pPr>
              <w:rPr>
                <w:b/>
                <w:bCs/>
              </w:rPr>
            </w:pPr>
          </w:p>
        </w:tc>
        <w:tc>
          <w:tcPr>
            <w:tcW w:w="1082" w:type="dxa"/>
            <w:shd w:val="clear" w:color="auto" w:fill="auto"/>
          </w:tcPr>
          <w:p w14:paraId="1BD10856" w14:textId="77777777" w:rsidR="00A21433" w:rsidRPr="00D03B0C" w:rsidRDefault="00A21433" w:rsidP="00654356"/>
        </w:tc>
        <w:tc>
          <w:tcPr>
            <w:tcW w:w="1082" w:type="dxa"/>
            <w:shd w:val="clear" w:color="auto" w:fill="auto"/>
          </w:tcPr>
          <w:p w14:paraId="3D398E27" w14:textId="77777777" w:rsidR="00A21433" w:rsidRPr="00D03B0C" w:rsidRDefault="00A21433" w:rsidP="00654356"/>
        </w:tc>
        <w:tc>
          <w:tcPr>
            <w:tcW w:w="1082" w:type="dxa"/>
            <w:shd w:val="clear" w:color="auto" w:fill="auto"/>
          </w:tcPr>
          <w:p w14:paraId="640F4FDF" w14:textId="77777777" w:rsidR="00A21433" w:rsidRPr="00D03B0C" w:rsidRDefault="00A21433" w:rsidP="00654356"/>
        </w:tc>
        <w:tc>
          <w:tcPr>
            <w:tcW w:w="1082" w:type="dxa"/>
            <w:shd w:val="clear" w:color="auto" w:fill="auto"/>
          </w:tcPr>
          <w:p w14:paraId="3A7818D2" w14:textId="77777777" w:rsidR="00A21433" w:rsidRPr="00D03B0C" w:rsidRDefault="00A21433" w:rsidP="00654356"/>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654356">
        <w:trPr>
          <w:jc w:val="center"/>
        </w:trPr>
        <w:tc>
          <w:tcPr>
            <w:tcW w:w="4297" w:type="dxa"/>
            <w:shd w:val="clear" w:color="auto" w:fill="auto"/>
          </w:tcPr>
          <w:p w14:paraId="6A81EE33" w14:textId="77777777" w:rsidR="00EB70CE" w:rsidRPr="006D2F6B" w:rsidRDefault="00EB70CE" w:rsidP="00654356">
            <w:pPr>
              <w:rPr>
                <w:b/>
              </w:rPr>
            </w:pPr>
            <w:r w:rsidRPr="006D2F6B">
              <w:rPr>
                <w:b/>
              </w:rPr>
              <w:t>Targets or Measures</w:t>
            </w:r>
          </w:p>
        </w:tc>
        <w:tc>
          <w:tcPr>
            <w:tcW w:w="790" w:type="dxa"/>
            <w:shd w:val="clear" w:color="auto" w:fill="auto"/>
          </w:tcPr>
          <w:p w14:paraId="159C188F" w14:textId="77777777" w:rsidR="00EB70CE" w:rsidRPr="006D2F6B" w:rsidRDefault="00EB70CE" w:rsidP="00654356">
            <w:pPr>
              <w:jc w:val="center"/>
              <w:rPr>
                <w:b/>
              </w:rPr>
            </w:pPr>
            <w:r w:rsidRPr="006D2F6B">
              <w:rPr>
                <w:b/>
              </w:rPr>
              <w:t>Base</w:t>
            </w:r>
          </w:p>
        </w:tc>
        <w:tc>
          <w:tcPr>
            <w:tcW w:w="790" w:type="dxa"/>
            <w:shd w:val="clear" w:color="auto" w:fill="auto"/>
          </w:tcPr>
          <w:p w14:paraId="2066ED5C" w14:textId="77777777" w:rsidR="00EB70CE" w:rsidRPr="006D2F6B" w:rsidRDefault="00EB70CE" w:rsidP="00654356">
            <w:pPr>
              <w:jc w:val="center"/>
              <w:rPr>
                <w:b/>
              </w:rPr>
            </w:pPr>
            <w:r w:rsidRPr="006D2F6B">
              <w:rPr>
                <w:b/>
              </w:rPr>
              <w:t>Year 1</w:t>
            </w:r>
          </w:p>
        </w:tc>
        <w:tc>
          <w:tcPr>
            <w:tcW w:w="790" w:type="dxa"/>
            <w:shd w:val="clear" w:color="auto" w:fill="auto"/>
          </w:tcPr>
          <w:p w14:paraId="27AC99DF" w14:textId="77777777" w:rsidR="00EB70CE" w:rsidRPr="006D2F6B" w:rsidRDefault="00EB70CE" w:rsidP="00654356">
            <w:pPr>
              <w:jc w:val="center"/>
              <w:rPr>
                <w:b/>
              </w:rPr>
            </w:pPr>
            <w:r w:rsidRPr="006D2F6B">
              <w:rPr>
                <w:b/>
              </w:rPr>
              <w:t>Year 2</w:t>
            </w:r>
          </w:p>
        </w:tc>
        <w:tc>
          <w:tcPr>
            <w:tcW w:w="790" w:type="dxa"/>
            <w:shd w:val="clear" w:color="auto" w:fill="auto"/>
          </w:tcPr>
          <w:p w14:paraId="2397C360" w14:textId="77777777" w:rsidR="00EB70CE" w:rsidRPr="006D2F6B" w:rsidRDefault="00EB70CE" w:rsidP="00654356">
            <w:pPr>
              <w:jc w:val="center"/>
              <w:rPr>
                <w:b/>
              </w:rPr>
            </w:pPr>
            <w:r w:rsidRPr="006D2F6B">
              <w:rPr>
                <w:b/>
              </w:rPr>
              <w:t>Year 3</w:t>
            </w:r>
          </w:p>
        </w:tc>
        <w:tc>
          <w:tcPr>
            <w:tcW w:w="790" w:type="dxa"/>
            <w:shd w:val="clear" w:color="auto" w:fill="auto"/>
          </w:tcPr>
          <w:p w14:paraId="102EF8AB" w14:textId="77777777" w:rsidR="00EB70CE" w:rsidRPr="006D2F6B" w:rsidRDefault="00EB70CE" w:rsidP="00654356">
            <w:pPr>
              <w:jc w:val="center"/>
              <w:rPr>
                <w:b/>
              </w:rPr>
            </w:pPr>
            <w:r w:rsidRPr="006D2F6B">
              <w:rPr>
                <w:b/>
              </w:rPr>
              <w:t>Year 4</w:t>
            </w:r>
          </w:p>
        </w:tc>
        <w:tc>
          <w:tcPr>
            <w:tcW w:w="791" w:type="dxa"/>
            <w:shd w:val="clear" w:color="auto" w:fill="auto"/>
          </w:tcPr>
          <w:p w14:paraId="750673D6" w14:textId="77777777" w:rsidR="00EB70CE" w:rsidRPr="006D2F6B" w:rsidRDefault="00EB70CE" w:rsidP="00654356">
            <w:pPr>
              <w:jc w:val="center"/>
              <w:rPr>
                <w:b/>
              </w:rPr>
            </w:pPr>
            <w:r w:rsidRPr="006D2F6B">
              <w:rPr>
                <w:b/>
              </w:rPr>
              <w:t>Year 5</w:t>
            </w:r>
          </w:p>
        </w:tc>
      </w:tr>
      <w:tr w:rsidR="00EB70CE" w14:paraId="715AAF1C" w14:textId="77777777" w:rsidTr="00654356">
        <w:trPr>
          <w:jc w:val="center"/>
        </w:trPr>
        <w:tc>
          <w:tcPr>
            <w:tcW w:w="4297" w:type="dxa"/>
            <w:shd w:val="clear" w:color="auto" w:fill="auto"/>
          </w:tcPr>
          <w:p w14:paraId="1BB77CFA" w14:textId="1278C67B" w:rsidR="00EB70CE" w:rsidRPr="006D2F6B" w:rsidRDefault="00644BAE" w:rsidP="00644BAE">
            <w:pPr>
              <w:pStyle w:val="BodyText"/>
              <w:contextualSpacing/>
            </w:pPr>
            <w:r>
              <w:t>End of unit evaluation survey ‘</w:t>
            </w:r>
            <w:r w:rsidR="00E3779A">
              <w:t>I was always engaged in this unit’</w:t>
            </w:r>
            <w:r w:rsidR="00FE5FFA">
              <w:t xml:space="preserve"> – S2</w:t>
            </w:r>
          </w:p>
        </w:tc>
        <w:tc>
          <w:tcPr>
            <w:tcW w:w="790" w:type="dxa"/>
            <w:shd w:val="clear" w:color="auto" w:fill="auto"/>
          </w:tcPr>
          <w:p w14:paraId="694253E4" w14:textId="3E63297C" w:rsidR="00EB70CE" w:rsidRPr="006D2F6B" w:rsidRDefault="00FE5FFA" w:rsidP="00654356">
            <w:r>
              <w:t>36%</w:t>
            </w:r>
            <w:r w:rsidR="00E3779A">
              <w:t>*</w:t>
            </w:r>
          </w:p>
        </w:tc>
        <w:tc>
          <w:tcPr>
            <w:tcW w:w="790" w:type="dxa"/>
            <w:shd w:val="clear" w:color="auto" w:fill="auto"/>
          </w:tcPr>
          <w:p w14:paraId="30994033" w14:textId="0B497904" w:rsidR="00EB70CE" w:rsidRPr="006D2F6B" w:rsidRDefault="00E3779A" w:rsidP="00654356">
            <w:r>
              <w:t>70%</w:t>
            </w:r>
          </w:p>
        </w:tc>
        <w:tc>
          <w:tcPr>
            <w:tcW w:w="790" w:type="dxa"/>
            <w:shd w:val="clear" w:color="auto" w:fill="auto"/>
          </w:tcPr>
          <w:p w14:paraId="0240AD5D" w14:textId="77777777" w:rsidR="00EB70CE" w:rsidRPr="006D2F6B" w:rsidRDefault="00EB70CE" w:rsidP="00654356"/>
        </w:tc>
        <w:tc>
          <w:tcPr>
            <w:tcW w:w="790" w:type="dxa"/>
            <w:shd w:val="clear" w:color="auto" w:fill="auto"/>
          </w:tcPr>
          <w:p w14:paraId="06476B2E" w14:textId="77777777" w:rsidR="00EB70CE" w:rsidRPr="006D2F6B" w:rsidRDefault="00EB70CE" w:rsidP="00654356"/>
        </w:tc>
        <w:tc>
          <w:tcPr>
            <w:tcW w:w="790" w:type="dxa"/>
            <w:shd w:val="clear" w:color="auto" w:fill="auto"/>
          </w:tcPr>
          <w:p w14:paraId="7CE7857F" w14:textId="77777777" w:rsidR="00EB70CE" w:rsidRPr="006D2F6B" w:rsidRDefault="00EB70CE" w:rsidP="00654356"/>
        </w:tc>
        <w:tc>
          <w:tcPr>
            <w:tcW w:w="791" w:type="dxa"/>
            <w:shd w:val="clear" w:color="auto" w:fill="auto"/>
          </w:tcPr>
          <w:p w14:paraId="58F95C67" w14:textId="77777777" w:rsidR="00EB70CE" w:rsidRPr="006D2F6B" w:rsidRDefault="00EB70CE" w:rsidP="00654356"/>
        </w:tc>
      </w:tr>
      <w:tr w:rsidR="00EB70CE" w14:paraId="6DD2C688" w14:textId="77777777" w:rsidTr="00654356">
        <w:trPr>
          <w:jc w:val="center"/>
        </w:trPr>
        <w:tc>
          <w:tcPr>
            <w:tcW w:w="4297" w:type="dxa"/>
            <w:shd w:val="clear" w:color="auto" w:fill="auto"/>
          </w:tcPr>
          <w:p w14:paraId="3EFCC141" w14:textId="6515BEEA" w:rsidR="00EB70CE" w:rsidRPr="006D2F6B" w:rsidRDefault="00644BAE" w:rsidP="00644BAE">
            <w:pPr>
              <w:pStyle w:val="BodyText"/>
              <w:contextualSpacing/>
            </w:pPr>
            <w:r>
              <w:t>End of unit evaluation survey ‘My teacher presented learning activities that were challenging but achievable’</w:t>
            </w:r>
            <w:r w:rsidR="00FE5FFA">
              <w:t xml:space="preserve"> – S2</w:t>
            </w:r>
          </w:p>
        </w:tc>
        <w:tc>
          <w:tcPr>
            <w:tcW w:w="790" w:type="dxa"/>
            <w:shd w:val="clear" w:color="auto" w:fill="auto"/>
          </w:tcPr>
          <w:p w14:paraId="018EACAA" w14:textId="33192F56" w:rsidR="00EB70CE" w:rsidRPr="006D2F6B" w:rsidRDefault="00FE5FFA" w:rsidP="00654356">
            <w:r>
              <w:t>58%</w:t>
            </w:r>
          </w:p>
        </w:tc>
        <w:tc>
          <w:tcPr>
            <w:tcW w:w="790" w:type="dxa"/>
            <w:shd w:val="clear" w:color="auto" w:fill="auto"/>
          </w:tcPr>
          <w:p w14:paraId="5982A543" w14:textId="6FCF07A6" w:rsidR="00EB70CE" w:rsidRPr="006D2F6B" w:rsidRDefault="00E3779A" w:rsidP="00654356">
            <w:r>
              <w:t>77%</w:t>
            </w:r>
          </w:p>
        </w:tc>
        <w:tc>
          <w:tcPr>
            <w:tcW w:w="790" w:type="dxa"/>
            <w:shd w:val="clear" w:color="auto" w:fill="auto"/>
          </w:tcPr>
          <w:p w14:paraId="040ADB54" w14:textId="77777777" w:rsidR="00EB70CE" w:rsidRPr="006D2F6B" w:rsidRDefault="00EB70CE" w:rsidP="00654356"/>
        </w:tc>
        <w:tc>
          <w:tcPr>
            <w:tcW w:w="790" w:type="dxa"/>
            <w:shd w:val="clear" w:color="auto" w:fill="auto"/>
          </w:tcPr>
          <w:p w14:paraId="2F8CD83E" w14:textId="77777777" w:rsidR="00EB70CE" w:rsidRPr="006D2F6B" w:rsidRDefault="00EB70CE" w:rsidP="00654356"/>
        </w:tc>
        <w:tc>
          <w:tcPr>
            <w:tcW w:w="790" w:type="dxa"/>
            <w:shd w:val="clear" w:color="auto" w:fill="auto"/>
          </w:tcPr>
          <w:p w14:paraId="49509B3D" w14:textId="77777777" w:rsidR="00EB70CE" w:rsidRPr="006D2F6B" w:rsidRDefault="00EB70CE" w:rsidP="00654356"/>
        </w:tc>
        <w:tc>
          <w:tcPr>
            <w:tcW w:w="791" w:type="dxa"/>
            <w:shd w:val="clear" w:color="auto" w:fill="auto"/>
          </w:tcPr>
          <w:p w14:paraId="34604F66" w14:textId="77777777" w:rsidR="00EB70CE" w:rsidRPr="006D2F6B" w:rsidRDefault="00EB70CE" w:rsidP="00654356"/>
        </w:tc>
      </w:tr>
      <w:tr w:rsidR="00E3779A" w14:paraId="2961F344" w14:textId="77777777" w:rsidTr="00654356">
        <w:trPr>
          <w:jc w:val="center"/>
        </w:trPr>
        <w:tc>
          <w:tcPr>
            <w:tcW w:w="4297" w:type="dxa"/>
            <w:shd w:val="clear" w:color="auto" w:fill="auto"/>
          </w:tcPr>
          <w:p w14:paraId="43C080F4" w14:textId="139A3A89" w:rsidR="00E3779A" w:rsidRDefault="00E3779A" w:rsidP="00644BAE">
            <w:pPr>
              <w:pStyle w:val="BodyText"/>
              <w:contextualSpacing/>
            </w:pPr>
            <w:r>
              <w:lastRenderedPageBreak/>
              <w:t>Increase School Climate item ‘Resilience’</w:t>
            </w:r>
          </w:p>
        </w:tc>
        <w:tc>
          <w:tcPr>
            <w:tcW w:w="790" w:type="dxa"/>
            <w:shd w:val="clear" w:color="auto" w:fill="auto"/>
          </w:tcPr>
          <w:p w14:paraId="4B1FF4AB" w14:textId="5AD6A735" w:rsidR="00E3779A" w:rsidRDefault="00E3779A" w:rsidP="00654356">
            <w:r>
              <w:t>3.1</w:t>
            </w:r>
          </w:p>
        </w:tc>
        <w:tc>
          <w:tcPr>
            <w:tcW w:w="790" w:type="dxa"/>
            <w:shd w:val="clear" w:color="auto" w:fill="auto"/>
          </w:tcPr>
          <w:p w14:paraId="23FA30C5" w14:textId="4D3C0F9D" w:rsidR="00E3779A" w:rsidRDefault="006F6F01" w:rsidP="00654356">
            <w:r>
              <w:t>3.2</w:t>
            </w:r>
          </w:p>
        </w:tc>
        <w:tc>
          <w:tcPr>
            <w:tcW w:w="790" w:type="dxa"/>
            <w:shd w:val="clear" w:color="auto" w:fill="auto"/>
          </w:tcPr>
          <w:p w14:paraId="502DB794" w14:textId="77777777" w:rsidR="00E3779A" w:rsidRPr="006D2F6B" w:rsidRDefault="00E3779A" w:rsidP="00654356"/>
        </w:tc>
        <w:tc>
          <w:tcPr>
            <w:tcW w:w="790" w:type="dxa"/>
            <w:shd w:val="clear" w:color="auto" w:fill="auto"/>
          </w:tcPr>
          <w:p w14:paraId="04E88395" w14:textId="77777777" w:rsidR="00E3779A" w:rsidRPr="006D2F6B" w:rsidRDefault="00E3779A" w:rsidP="00654356"/>
        </w:tc>
        <w:tc>
          <w:tcPr>
            <w:tcW w:w="790" w:type="dxa"/>
            <w:shd w:val="clear" w:color="auto" w:fill="auto"/>
          </w:tcPr>
          <w:p w14:paraId="670CA44C" w14:textId="77777777" w:rsidR="00E3779A" w:rsidRPr="006D2F6B" w:rsidRDefault="00E3779A" w:rsidP="00654356"/>
        </w:tc>
        <w:tc>
          <w:tcPr>
            <w:tcW w:w="791" w:type="dxa"/>
            <w:shd w:val="clear" w:color="auto" w:fill="auto"/>
          </w:tcPr>
          <w:p w14:paraId="6B07E826" w14:textId="77777777" w:rsidR="00E3779A" w:rsidRPr="006D2F6B" w:rsidRDefault="00E3779A" w:rsidP="00654356"/>
        </w:tc>
      </w:tr>
      <w:tr w:rsidR="00E3779A" w14:paraId="5212DA8D" w14:textId="77777777" w:rsidTr="00654356">
        <w:trPr>
          <w:jc w:val="center"/>
        </w:trPr>
        <w:tc>
          <w:tcPr>
            <w:tcW w:w="4297" w:type="dxa"/>
            <w:shd w:val="clear" w:color="auto" w:fill="auto"/>
          </w:tcPr>
          <w:p w14:paraId="241D23CF" w14:textId="57F44565" w:rsidR="00E3779A" w:rsidRDefault="00E3779A" w:rsidP="00644BAE">
            <w:pPr>
              <w:pStyle w:val="BodyText"/>
              <w:contextualSpacing/>
            </w:pPr>
            <w:r>
              <w:t>Increase</w:t>
            </w:r>
            <w:r w:rsidR="00622C27">
              <w:t xml:space="preserve"> School Climate item</w:t>
            </w:r>
            <w:r>
              <w:t xml:space="preserve"> ‘Positive affect’</w:t>
            </w:r>
          </w:p>
        </w:tc>
        <w:tc>
          <w:tcPr>
            <w:tcW w:w="790" w:type="dxa"/>
            <w:shd w:val="clear" w:color="auto" w:fill="auto"/>
          </w:tcPr>
          <w:p w14:paraId="0CF37C7E" w14:textId="6FC65F8F" w:rsidR="00E3779A" w:rsidRDefault="00E3779A" w:rsidP="00654356">
            <w:r>
              <w:t>3.3</w:t>
            </w:r>
          </w:p>
        </w:tc>
        <w:tc>
          <w:tcPr>
            <w:tcW w:w="790" w:type="dxa"/>
            <w:shd w:val="clear" w:color="auto" w:fill="auto"/>
          </w:tcPr>
          <w:p w14:paraId="73FB9B67" w14:textId="36B4E4F5" w:rsidR="00E3779A" w:rsidRDefault="006F6F01" w:rsidP="00654356">
            <w:r>
              <w:t>3.4</w:t>
            </w:r>
          </w:p>
        </w:tc>
        <w:tc>
          <w:tcPr>
            <w:tcW w:w="790" w:type="dxa"/>
            <w:shd w:val="clear" w:color="auto" w:fill="auto"/>
          </w:tcPr>
          <w:p w14:paraId="1685B003" w14:textId="77777777" w:rsidR="00E3779A" w:rsidRPr="006D2F6B" w:rsidRDefault="00E3779A" w:rsidP="00654356"/>
        </w:tc>
        <w:tc>
          <w:tcPr>
            <w:tcW w:w="790" w:type="dxa"/>
            <w:shd w:val="clear" w:color="auto" w:fill="auto"/>
          </w:tcPr>
          <w:p w14:paraId="21BE24A7" w14:textId="77777777" w:rsidR="00E3779A" w:rsidRPr="006D2F6B" w:rsidRDefault="00E3779A" w:rsidP="00654356"/>
        </w:tc>
        <w:tc>
          <w:tcPr>
            <w:tcW w:w="790" w:type="dxa"/>
            <w:shd w:val="clear" w:color="auto" w:fill="auto"/>
          </w:tcPr>
          <w:p w14:paraId="1690F20A" w14:textId="77777777" w:rsidR="00E3779A" w:rsidRPr="006D2F6B" w:rsidRDefault="00E3779A" w:rsidP="00654356"/>
        </w:tc>
        <w:tc>
          <w:tcPr>
            <w:tcW w:w="791" w:type="dxa"/>
            <w:shd w:val="clear" w:color="auto" w:fill="auto"/>
          </w:tcPr>
          <w:p w14:paraId="51A2152A" w14:textId="77777777" w:rsidR="00E3779A" w:rsidRPr="006D2F6B" w:rsidRDefault="00E3779A" w:rsidP="00654356"/>
        </w:tc>
      </w:tr>
    </w:tbl>
    <w:p w14:paraId="4B1F3809" w14:textId="77777777" w:rsidR="004D6A3B" w:rsidRDefault="004D6A3B" w:rsidP="00AC61FB">
      <w:pPr>
        <w:rPr>
          <w:b/>
          <w:bCs/>
        </w:rPr>
      </w:pPr>
    </w:p>
    <w:p w14:paraId="53697900" w14:textId="48DC6BC5" w:rsidR="00AC61FB" w:rsidRDefault="00AC61FB" w:rsidP="00AC61FB">
      <w:pPr>
        <w:rPr>
          <w:b/>
          <w:bCs/>
        </w:rPr>
      </w:pPr>
      <w:r w:rsidRPr="00AC61FB">
        <w:rPr>
          <w:b/>
          <w:bCs/>
        </w:rPr>
        <w:t>Resilience</w:t>
      </w:r>
    </w:p>
    <w:p w14:paraId="3FEAA6D3" w14:textId="79E83216" w:rsidR="0073222C" w:rsidRPr="0073222C" w:rsidRDefault="0073222C" w:rsidP="00AC61FB">
      <w:r w:rsidRPr="0073222C">
        <w:t>Resilience is generally thought of as a positive adaptation after a stressful or adverse situation.</w:t>
      </w:r>
      <w:r>
        <w:t xml:space="preserve"> A score above 3.5 is considered high.</w:t>
      </w:r>
    </w:p>
    <w:p w14:paraId="7150F1BA" w14:textId="07B59873" w:rsidR="00AC61FB" w:rsidRDefault="00AC61FB" w:rsidP="00AC61FB">
      <w:pPr>
        <w:rPr>
          <w:b/>
          <w:bCs/>
        </w:rPr>
      </w:pPr>
      <w:r w:rsidRPr="00AC61FB">
        <w:rPr>
          <w:b/>
          <w:bCs/>
        </w:rPr>
        <w:t>Positive affect</w:t>
      </w:r>
    </w:p>
    <w:p w14:paraId="3ED4A06B" w14:textId="50E4B986" w:rsidR="0073222C" w:rsidRPr="004D6A3B" w:rsidRDefault="0073222C" w:rsidP="00AC61FB">
      <w:r w:rsidRPr="004D6A3B">
        <w:t>Positive Affect can be described as the propensity to experience positive emotions and interact with others and with life's challenges in a positive way. A score of 4.5 is considered high</w:t>
      </w:r>
      <w:r w:rsidR="004D6A3B" w:rsidRPr="004D6A3B">
        <w:t>.</w:t>
      </w:r>
    </w:p>
    <w:p w14:paraId="05EC0CAB" w14:textId="3DB7422D" w:rsidR="00EB70CE" w:rsidRDefault="00EB70CE" w:rsidP="005C7432">
      <w:pPr>
        <w:pStyle w:val="Heading3"/>
      </w:pPr>
      <w:r w:rsidRPr="00E061B8">
        <w:t>What this evidence tells us</w:t>
      </w:r>
    </w:p>
    <w:p w14:paraId="3A727A5C" w14:textId="642FC28F" w:rsidR="00A55621" w:rsidRDefault="006046F3" w:rsidP="00A55621">
      <w:r>
        <w:t xml:space="preserve">Despite the impact of COVID-19 engagement indicators have remained relatively high in the college. The causes for non-submission of </w:t>
      </w:r>
      <w:r w:rsidR="00545582">
        <w:t>assessment,</w:t>
      </w:r>
      <w:r>
        <w:t xml:space="preserve"> however, may not yet be clear</w:t>
      </w:r>
      <w:r w:rsidR="00545582">
        <w:t xml:space="preserve"> and tracking of other measure may be necessary to indicate progress towards the priority. Data points like the End of Unit evaluation survey, which are taken at the end of each semester seem like logical reference points if the college is going to track progress overtime. School Climate Survey wellbeing indicators strengthened for those students who completed the </w:t>
      </w:r>
      <w:proofErr w:type="gramStart"/>
      <w:r w:rsidR="00545582">
        <w:t>School</w:t>
      </w:r>
      <w:proofErr w:type="gramEnd"/>
      <w:r w:rsidR="00545582">
        <w:t xml:space="preserve"> satisfaction/School Climate survey. </w:t>
      </w:r>
    </w:p>
    <w:p w14:paraId="529C3E95" w14:textId="0BE20FDE" w:rsidR="00937D6F" w:rsidRDefault="00937D6F" w:rsidP="00937D6F">
      <w:pPr>
        <w:pStyle w:val="Heading3"/>
      </w:pPr>
      <w:r>
        <w:t>Our achievements for this priority</w:t>
      </w:r>
    </w:p>
    <w:p w14:paraId="29DF45DD" w14:textId="77777777" w:rsidR="00C85B77" w:rsidRDefault="00C85B77" w:rsidP="00C85B77">
      <w:pPr>
        <w:pStyle w:val="ListParagraph"/>
        <w:numPr>
          <w:ilvl w:val="0"/>
          <w:numId w:val="25"/>
        </w:numPr>
        <w:rPr>
          <w:b/>
          <w:bCs/>
        </w:rPr>
      </w:pPr>
      <w:r w:rsidRPr="008513D8">
        <w:rPr>
          <w:b/>
          <w:bCs/>
        </w:rPr>
        <w:t>UC Affiliated Schools Program</w:t>
      </w:r>
    </w:p>
    <w:p w14:paraId="7587F0EB" w14:textId="77777777" w:rsidR="00C85B77" w:rsidRDefault="00C85B77" w:rsidP="00C85B77">
      <w:pPr>
        <w:pStyle w:val="ListParagraph"/>
        <w:numPr>
          <w:ilvl w:val="1"/>
          <w:numId w:val="25"/>
        </w:numPr>
      </w:pPr>
      <w:r>
        <w:t xml:space="preserve">Hosted first </w:t>
      </w:r>
      <w:r w:rsidRPr="00713A19">
        <w:t>UC teaching clinic</w:t>
      </w:r>
      <w:r>
        <w:t xml:space="preserve"> for English</w:t>
      </w:r>
    </w:p>
    <w:p w14:paraId="7B326C11" w14:textId="7F4C36F0" w:rsidR="00C85B77" w:rsidRDefault="00C85B77" w:rsidP="00C85B77">
      <w:pPr>
        <w:pStyle w:val="ListParagraph"/>
        <w:numPr>
          <w:ilvl w:val="1"/>
          <w:numId w:val="25"/>
        </w:numPr>
      </w:pPr>
      <w:r>
        <w:t xml:space="preserve">Three college teachers were involved in the </w:t>
      </w:r>
      <w:r w:rsidRPr="00713A19">
        <w:rPr>
          <w:i/>
          <w:iCs/>
        </w:rPr>
        <w:t>Teachers as Researchers</w:t>
      </w:r>
      <w:r>
        <w:t xml:space="preserve"> program and completed a research project on college reporting that was presented at the UC Affiliated Schools annual conference</w:t>
      </w:r>
    </w:p>
    <w:p w14:paraId="31566D7A" w14:textId="77777777" w:rsidR="00C85B77" w:rsidRDefault="00C85B77" w:rsidP="00C85B77">
      <w:pPr>
        <w:pStyle w:val="ListParagraph"/>
        <w:numPr>
          <w:ilvl w:val="0"/>
          <w:numId w:val="25"/>
        </w:numPr>
        <w:rPr>
          <w:b/>
          <w:bCs/>
        </w:rPr>
      </w:pPr>
      <w:r w:rsidRPr="008513D8">
        <w:rPr>
          <w:b/>
          <w:bCs/>
        </w:rPr>
        <w:t>Development of Graduate Profile</w:t>
      </w:r>
    </w:p>
    <w:p w14:paraId="5BB29DDC" w14:textId="77777777" w:rsidR="00C85B77" w:rsidRPr="006C3E71" w:rsidRDefault="00C85B77" w:rsidP="00C85B77">
      <w:pPr>
        <w:pStyle w:val="ListParagraph"/>
        <w:numPr>
          <w:ilvl w:val="1"/>
          <w:numId w:val="25"/>
        </w:numPr>
        <w:rPr>
          <w:b/>
          <w:bCs/>
        </w:rPr>
      </w:pPr>
      <w:r>
        <w:t xml:space="preserve">A small group of teachers worked on re-fining the Graduate Profile over the course of the year, with particular emphasis on inclusion. This group also consulted on the Behaviours for Learning continuum that is now used to support teachers to assess students’ self-management capability in the mid semester reporting process. </w:t>
      </w:r>
    </w:p>
    <w:p w14:paraId="6E5EF821" w14:textId="3CE78C5E" w:rsidR="00C85B77" w:rsidRPr="00C85B77" w:rsidRDefault="00C85B77" w:rsidP="00C85B77">
      <w:pPr>
        <w:pStyle w:val="ListParagraph"/>
        <w:numPr>
          <w:ilvl w:val="1"/>
          <w:numId w:val="25"/>
        </w:numPr>
        <w:rPr>
          <w:b/>
          <w:bCs/>
        </w:rPr>
      </w:pPr>
      <w:r>
        <w:t xml:space="preserve">Small group of students came together with the </w:t>
      </w:r>
      <w:proofErr w:type="gramStart"/>
      <w:r>
        <w:t>Principal</w:t>
      </w:r>
      <w:proofErr w:type="gramEnd"/>
      <w:r>
        <w:t xml:space="preserve"> to work on the Graduate Profile and the Mastery Transcript. The work of this group was disrupted somewhat but students did complete initial testing of the Mastery Transcript platform and submitted evidence against credit criteria. </w:t>
      </w:r>
    </w:p>
    <w:p w14:paraId="7004AA5B" w14:textId="78AF7A3C" w:rsidR="00C85B77" w:rsidRDefault="00C85B77" w:rsidP="00C85B77">
      <w:pPr>
        <w:pStyle w:val="ListBullet2"/>
        <w:numPr>
          <w:ilvl w:val="0"/>
          <w:numId w:val="25"/>
        </w:numPr>
        <w:rPr>
          <w:b/>
          <w:bCs/>
        </w:rPr>
      </w:pPr>
      <w:r w:rsidRPr="00C85B77">
        <w:rPr>
          <w:b/>
          <w:bCs/>
        </w:rPr>
        <w:t>Self-management elements in mid-semester reporting</w:t>
      </w:r>
    </w:p>
    <w:p w14:paraId="7EF14CC6" w14:textId="73D7F49E" w:rsidR="00B15D70" w:rsidRPr="00B15D70" w:rsidRDefault="00B15D70" w:rsidP="00B15D70">
      <w:pPr>
        <w:pStyle w:val="ListBullet2"/>
        <w:numPr>
          <w:ilvl w:val="1"/>
          <w:numId w:val="25"/>
        </w:numPr>
      </w:pPr>
      <w:r>
        <w:t xml:space="preserve">Executive teacher responsible for college reporting consulted faculties and the </w:t>
      </w:r>
      <w:r w:rsidRPr="00B15D70">
        <w:rPr>
          <w:i/>
          <w:iCs/>
        </w:rPr>
        <w:t>DC Behaviours for Learning</w:t>
      </w:r>
      <w:r>
        <w:rPr>
          <w:i/>
          <w:iCs/>
        </w:rPr>
        <w:t xml:space="preserve"> </w:t>
      </w:r>
      <w:r>
        <w:t>that were included in Mid semester reports were modified to reflect the elements of Self-Management in the Australian Curriculum – General Capabilities. This was implemented in semester 1</w:t>
      </w:r>
      <w:r w:rsidR="00B91CCF">
        <w:t xml:space="preserve"> and completed with the final two elements being added to the reports in semester 2. </w:t>
      </w:r>
    </w:p>
    <w:p w14:paraId="22B45201" w14:textId="77777777" w:rsidR="00C85B77" w:rsidRDefault="00C85B77" w:rsidP="00C85B77">
      <w:pPr>
        <w:pStyle w:val="ListBullet2"/>
        <w:numPr>
          <w:ilvl w:val="0"/>
          <w:numId w:val="0"/>
        </w:numPr>
        <w:rPr>
          <w:b/>
          <w:bCs/>
        </w:rPr>
      </w:pPr>
    </w:p>
    <w:p w14:paraId="2172A1A3" w14:textId="268A8DC8" w:rsidR="00C85B77" w:rsidRDefault="00C85B77" w:rsidP="00C85B77">
      <w:pPr>
        <w:pStyle w:val="ListBullet2"/>
        <w:numPr>
          <w:ilvl w:val="0"/>
          <w:numId w:val="25"/>
        </w:numPr>
        <w:rPr>
          <w:b/>
          <w:bCs/>
        </w:rPr>
      </w:pPr>
      <w:r>
        <w:rPr>
          <w:b/>
          <w:bCs/>
        </w:rPr>
        <w:t>S</w:t>
      </w:r>
      <w:r w:rsidRPr="00C85B77">
        <w:rPr>
          <w:b/>
          <w:bCs/>
        </w:rPr>
        <w:t xml:space="preserve">elf-management continuum </w:t>
      </w:r>
      <w:r>
        <w:rPr>
          <w:b/>
          <w:bCs/>
        </w:rPr>
        <w:t xml:space="preserve">developed </w:t>
      </w:r>
      <w:r w:rsidRPr="00C85B77">
        <w:rPr>
          <w:b/>
          <w:bCs/>
        </w:rPr>
        <w:t>to support reporting on self-management</w:t>
      </w:r>
    </w:p>
    <w:p w14:paraId="2C6DF52B" w14:textId="365904AB" w:rsidR="00B91CCF" w:rsidRDefault="00B91CCF" w:rsidP="00B91CCF">
      <w:pPr>
        <w:pStyle w:val="ListBullet2"/>
        <w:numPr>
          <w:ilvl w:val="1"/>
          <w:numId w:val="25"/>
        </w:numPr>
      </w:pPr>
      <w:r w:rsidRPr="00B91CCF">
        <w:t>Through staff, faculty, and executive meetings</w:t>
      </w:r>
      <w:r>
        <w:t xml:space="preserve"> a continuum for self-management was developed to assist teachers assessing self-management on college reports. This </w:t>
      </w:r>
      <w:r>
        <w:lastRenderedPageBreak/>
        <w:t xml:space="preserve">continuum was refined again in semester two when all elements of self-management were added to the college mid semester reports. </w:t>
      </w:r>
    </w:p>
    <w:p w14:paraId="1014F621" w14:textId="4E294801" w:rsidR="00B91CCF" w:rsidRPr="00B91CCF" w:rsidRDefault="00B91CCF" w:rsidP="00B91CCF">
      <w:pPr>
        <w:pStyle w:val="ListBullet2"/>
        <w:numPr>
          <w:ilvl w:val="0"/>
          <w:numId w:val="25"/>
        </w:numPr>
        <w:rPr>
          <w:b/>
          <w:bCs/>
        </w:rPr>
      </w:pPr>
      <w:r w:rsidRPr="00B91CCF">
        <w:rPr>
          <w:b/>
          <w:bCs/>
        </w:rPr>
        <w:t>Staff Professional Learning on Self-Management/Self-regulation</w:t>
      </w:r>
    </w:p>
    <w:p w14:paraId="20BC297A" w14:textId="2495EAD2" w:rsidR="00B91CCF" w:rsidRPr="00B91CCF" w:rsidRDefault="00B91CCF" w:rsidP="00B91CCF">
      <w:pPr>
        <w:pStyle w:val="ListBullet2"/>
        <w:numPr>
          <w:ilvl w:val="1"/>
          <w:numId w:val="25"/>
        </w:numPr>
      </w:pPr>
      <w:r>
        <w:t xml:space="preserve">Teachers were introduced to the </w:t>
      </w:r>
      <w:r w:rsidR="00A55621">
        <w:t xml:space="preserve">research literature on Self-management/self-regulation along with strategies that teachers can use in the classroom to assist students to develop this capability. This was the first of several Professional Learning sessions delivered by Associate Professor, Education, University of Canberra, </w:t>
      </w:r>
      <w:proofErr w:type="spellStart"/>
      <w:r w:rsidR="00A55621">
        <w:t>Shyam</w:t>
      </w:r>
      <w:proofErr w:type="spellEnd"/>
      <w:r w:rsidR="00A55621">
        <w:t xml:space="preserve"> Barr. </w:t>
      </w:r>
    </w:p>
    <w:p w14:paraId="577E6236" w14:textId="77777777" w:rsidR="00B91CCF" w:rsidRPr="00C85B77" w:rsidRDefault="00B91CCF" w:rsidP="00B91CCF">
      <w:pPr>
        <w:pStyle w:val="ListBullet2"/>
        <w:numPr>
          <w:ilvl w:val="0"/>
          <w:numId w:val="0"/>
        </w:numPr>
        <w:ind w:left="720"/>
        <w:rPr>
          <w:b/>
          <w:bCs/>
        </w:rPr>
      </w:pPr>
    </w:p>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p w14:paraId="0FD44264" w14:textId="09FD201A" w:rsidR="00937D6F" w:rsidRDefault="00545582" w:rsidP="00545582">
      <w:pPr>
        <w:pStyle w:val="BodyText"/>
        <w:numPr>
          <w:ilvl w:val="0"/>
          <w:numId w:val="28"/>
        </w:numPr>
      </w:pPr>
      <w:r>
        <w:t xml:space="preserve">Implementing strategies </w:t>
      </w:r>
      <w:r w:rsidR="00055A8E">
        <w:t>for Self-Management</w:t>
      </w:r>
    </w:p>
    <w:p w14:paraId="0AE93896" w14:textId="77777777" w:rsidR="00055A8E" w:rsidRDefault="00055A8E" w:rsidP="00055A8E">
      <w:pPr>
        <w:pStyle w:val="BodyText"/>
        <w:numPr>
          <w:ilvl w:val="1"/>
          <w:numId w:val="28"/>
        </w:numPr>
      </w:pPr>
      <w:r>
        <w:t>Through all curriculum areas</w:t>
      </w:r>
    </w:p>
    <w:p w14:paraId="5548C76D" w14:textId="77777777" w:rsidR="00055A8E" w:rsidRDefault="00055A8E" w:rsidP="00055A8E">
      <w:pPr>
        <w:pStyle w:val="BodyText"/>
        <w:numPr>
          <w:ilvl w:val="1"/>
          <w:numId w:val="28"/>
        </w:numPr>
      </w:pPr>
      <w:r>
        <w:t>Building student awareness of the value of self-management to support learning</w:t>
      </w:r>
    </w:p>
    <w:p w14:paraId="3D21593C" w14:textId="77777777" w:rsidR="00055A8E" w:rsidRDefault="00055A8E" w:rsidP="00055A8E">
      <w:pPr>
        <w:pStyle w:val="BodyText"/>
        <w:numPr>
          <w:ilvl w:val="0"/>
          <w:numId w:val="28"/>
        </w:numPr>
      </w:pPr>
      <w:r>
        <w:t>Developing structures and processes that support</w:t>
      </w:r>
    </w:p>
    <w:p w14:paraId="54F65E2B" w14:textId="2DD8E726" w:rsidR="00055A8E" w:rsidRDefault="00055A8E" w:rsidP="00055A8E">
      <w:pPr>
        <w:pStyle w:val="BodyText"/>
        <w:numPr>
          <w:ilvl w:val="1"/>
          <w:numId w:val="28"/>
        </w:numPr>
      </w:pPr>
      <w:r>
        <w:t xml:space="preserve">Improved engagement in class and </w:t>
      </w:r>
      <w:r w:rsidR="00A718CF">
        <w:t xml:space="preserve">in </w:t>
      </w:r>
      <w:r>
        <w:t xml:space="preserve">the Dickson </w:t>
      </w:r>
      <w:r w:rsidR="00A718CF">
        <w:t>C</w:t>
      </w:r>
      <w:r>
        <w:t xml:space="preserve">ollege community </w:t>
      </w:r>
    </w:p>
    <w:p w14:paraId="4EC52A76" w14:textId="6E84BE8A" w:rsidR="00055A8E" w:rsidRDefault="00055A8E" w:rsidP="00055A8E">
      <w:pPr>
        <w:pStyle w:val="BodyText"/>
        <w:numPr>
          <w:ilvl w:val="1"/>
          <w:numId w:val="28"/>
        </w:numPr>
      </w:pPr>
      <w:r>
        <w:t xml:space="preserve">Improved ability to </w:t>
      </w:r>
      <w:r w:rsidR="00386234">
        <w:t xml:space="preserve">set goals and work towards them </w:t>
      </w:r>
      <w:r w:rsidR="00A718CF">
        <w:t>i.e.,</w:t>
      </w:r>
      <w:r w:rsidR="00386234">
        <w:t xml:space="preserve"> to </w:t>
      </w:r>
      <w:r>
        <w:t xml:space="preserve">submit </w:t>
      </w:r>
      <w:r w:rsidR="00386234">
        <w:t>assessment</w:t>
      </w:r>
      <w:r>
        <w:t xml:space="preserve">  </w:t>
      </w:r>
    </w:p>
    <w:p w14:paraId="5D03B15F" w14:textId="0E62D6AA" w:rsidR="00EB70CE" w:rsidRDefault="00EB70CE" w:rsidP="00EB70CE">
      <w:pPr>
        <w:rPr>
          <w:b/>
        </w:rPr>
      </w:pPr>
    </w:p>
    <w:sectPr w:rsidR="00EB70CE" w:rsidSect="00C77B0A">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DF3E9D4"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6E4038">
              <w:rPr>
                <w:rFonts w:ascii="Arial" w:hAnsi="Arial" w:cs="Arial"/>
                <w:noProof/>
                <w:color w:val="808080" w:themeColor="background1" w:themeShade="80"/>
                <w:sz w:val="20"/>
                <w:szCs w:val="20"/>
              </w:rPr>
              <w:t>Friday, 11 March 2022</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1"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1"/>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C8E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B58C9"/>
    <w:multiLevelType w:val="hybridMultilevel"/>
    <w:tmpl w:val="E362A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4D3865"/>
    <w:multiLevelType w:val="hybridMultilevel"/>
    <w:tmpl w:val="6228FDD6"/>
    <w:lvl w:ilvl="0" w:tplc="9D10021A">
      <w:start w:val="1"/>
      <w:numFmt w:val="bullet"/>
      <w:lvlText w:val=""/>
      <w:lvlJc w:val="left"/>
      <w:pPr>
        <w:tabs>
          <w:tab w:val="num" w:pos="720"/>
        </w:tabs>
        <w:ind w:left="720" w:hanging="360"/>
      </w:pPr>
      <w:rPr>
        <w:rFonts w:ascii="Symbol" w:hAnsi="Symbol" w:hint="default"/>
      </w:rPr>
    </w:lvl>
    <w:lvl w:ilvl="1" w:tplc="E16EEF6E">
      <w:start w:val="1"/>
      <w:numFmt w:val="bullet"/>
      <w:lvlText w:val=""/>
      <w:lvlJc w:val="left"/>
      <w:pPr>
        <w:tabs>
          <w:tab w:val="num" w:pos="1440"/>
        </w:tabs>
        <w:ind w:left="1440" w:hanging="360"/>
      </w:pPr>
      <w:rPr>
        <w:rFonts w:ascii="Symbol" w:hAnsi="Symbol" w:hint="default"/>
      </w:rPr>
    </w:lvl>
    <w:lvl w:ilvl="2" w:tplc="DA4E97E6">
      <w:start w:val="1"/>
      <w:numFmt w:val="bullet"/>
      <w:lvlText w:val=""/>
      <w:lvlJc w:val="left"/>
      <w:pPr>
        <w:tabs>
          <w:tab w:val="num" w:pos="2160"/>
        </w:tabs>
        <w:ind w:left="2160" w:hanging="360"/>
      </w:pPr>
      <w:rPr>
        <w:rFonts w:ascii="Symbol" w:hAnsi="Symbol" w:hint="default"/>
      </w:rPr>
    </w:lvl>
    <w:lvl w:ilvl="3" w:tplc="F4E4569C">
      <w:start w:val="1"/>
      <w:numFmt w:val="bullet"/>
      <w:lvlText w:val=""/>
      <w:lvlJc w:val="left"/>
      <w:pPr>
        <w:tabs>
          <w:tab w:val="num" w:pos="2880"/>
        </w:tabs>
        <w:ind w:left="2880" w:hanging="360"/>
      </w:pPr>
      <w:rPr>
        <w:rFonts w:ascii="Symbol" w:hAnsi="Symbol" w:hint="default"/>
      </w:rPr>
    </w:lvl>
    <w:lvl w:ilvl="4" w:tplc="14EE4C02">
      <w:start w:val="1"/>
      <w:numFmt w:val="bullet"/>
      <w:lvlText w:val=""/>
      <w:lvlJc w:val="left"/>
      <w:pPr>
        <w:tabs>
          <w:tab w:val="num" w:pos="3600"/>
        </w:tabs>
        <w:ind w:left="3600" w:hanging="360"/>
      </w:pPr>
      <w:rPr>
        <w:rFonts w:ascii="Symbol" w:hAnsi="Symbol" w:hint="default"/>
      </w:rPr>
    </w:lvl>
    <w:lvl w:ilvl="5" w:tplc="39D4DC9C">
      <w:start w:val="1"/>
      <w:numFmt w:val="bullet"/>
      <w:lvlText w:val=""/>
      <w:lvlJc w:val="left"/>
      <w:pPr>
        <w:tabs>
          <w:tab w:val="num" w:pos="4320"/>
        </w:tabs>
        <w:ind w:left="4320" w:hanging="360"/>
      </w:pPr>
      <w:rPr>
        <w:rFonts w:ascii="Symbol" w:hAnsi="Symbol" w:hint="default"/>
      </w:rPr>
    </w:lvl>
    <w:lvl w:ilvl="6" w:tplc="0E8ED10E">
      <w:start w:val="1"/>
      <w:numFmt w:val="bullet"/>
      <w:lvlText w:val=""/>
      <w:lvlJc w:val="left"/>
      <w:pPr>
        <w:tabs>
          <w:tab w:val="num" w:pos="5040"/>
        </w:tabs>
        <w:ind w:left="5040" w:hanging="360"/>
      </w:pPr>
      <w:rPr>
        <w:rFonts w:ascii="Symbol" w:hAnsi="Symbol" w:hint="default"/>
      </w:rPr>
    </w:lvl>
    <w:lvl w:ilvl="7" w:tplc="C0786076">
      <w:start w:val="1"/>
      <w:numFmt w:val="bullet"/>
      <w:lvlText w:val=""/>
      <w:lvlJc w:val="left"/>
      <w:pPr>
        <w:tabs>
          <w:tab w:val="num" w:pos="5760"/>
        </w:tabs>
        <w:ind w:left="5760" w:hanging="360"/>
      </w:pPr>
      <w:rPr>
        <w:rFonts w:ascii="Symbol" w:hAnsi="Symbol" w:hint="default"/>
      </w:rPr>
    </w:lvl>
    <w:lvl w:ilvl="8" w:tplc="FA287A10">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EB70E20"/>
    <w:multiLevelType w:val="hybridMultilevel"/>
    <w:tmpl w:val="1436A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8B39D8"/>
    <w:multiLevelType w:val="hybridMultilevel"/>
    <w:tmpl w:val="9A3A3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F6104"/>
    <w:multiLevelType w:val="hybridMultilevel"/>
    <w:tmpl w:val="23B8A4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EE2C96"/>
    <w:multiLevelType w:val="hybridMultilevel"/>
    <w:tmpl w:val="6CA8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5"/>
  </w:num>
  <w:num w:numId="2">
    <w:abstractNumId w:val="10"/>
  </w:num>
  <w:num w:numId="3">
    <w:abstractNumId w:val="21"/>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2"/>
  </w:num>
  <w:num w:numId="18">
    <w:abstractNumId w:val="14"/>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3"/>
  </w:num>
  <w:num w:numId="26">
    <w:abstractNumId w:val="1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5A8E"/>
    <w:rsid w:val="00057DAD"/>
    <w:rsid w:val="000709A0"/>
    <w:rsid w:val="000F7E7C"/>
    <w:rsid w:val="00107AE2"/>
    <w:rsid w:val="00115AA9"/>
    <w:rsid w:val="00127C5E"/>
    <w:rsid w:val="00132917"/>
    <w:rsid w:val="001560F6"/>
    <w:rsid w:val="00161E50"/>
    <w:rsid w:val="00163579"/>
    <w:rsid w:val="00183DE5"/>
    <w:rsid w:val="001B26EA"/>
    <w:rsid w:val="001B2E33"/>
    <w:rsid w:val="002145F7"/>
    <w:rsid w:val="0024781C"/>
    <w:rsid w:val="00266E77"/>
    <w:rsid w:val="00271528"/>
    <w:rsid w:val="00282D2C"/>
    <w:rsid w:val="002F2C6F"/>
    <w:rsid w:val="002F4184"/>
    <w:rsid w:val="00300F72"/>
    <w:rsid w:val="00327C67"/>
    <w:rsid w:val="00334BBF"/>
    <w:rsid w:val="00336EBC"/>
    <w:rsid w:val="00342B3F"/>
    <w:rsid w:val="00365890"/>
    <w:rsid w:val="00365A1C"/>
    <w:rsid w:val="00373DC0"/>
    <w:rsid w:val="00377F0F"/>
    <w:rsid w:val="00386234"/>
    <w:rsid w:val="003B5E3D"/>
    <w:rsid w:val="003C2864"/>
    <w:rsid w:val="003C5D01"/>
    <w:rsid w:val="003C69DC"/>
    <w:rsid w:val="003E1EFB"/>
    <w:rsid w:val="00435AB7"/>
    <w:rsid w:val="00435C6B"/>
    <w:rsid w:val="00436626"/>
    <w:rsid w:val="00461D07"/>
    <w:rsid w:val="00466F32"/>
    <w:rsid w:val="00481BD2"/>
    <w:rsid w:val="00492440"/>
    <w:rsid w:val="00497890"/>
    <w:rsid w:val="004C32E2"/>
    <w:rsid w:val="004D00F4"/>
    <w:rsid w:val="004D5E45"/>
    <w:rsid w:val="004D6A3B"/>
    <w:rsid w:val="004F55FA"/>
    <w:rsid w:val="004F6F8E"/>
    <w:rsid w:val="00520A86"/>
    <w:rsid w:val="005254A2"/>
    <w:rsid w:val="00533461"/>
    <w:rsid w:val="00545582"/>
    <w:rsid w:val="00557F65"/>
    <w:rsid w:val="005611F4"/>
    <w:rsid w:val="0057672E"/>
    <w:rsid w:val="0058339C"/>
    <w:rsid w:val="0059350F"/>
    <w:rsid w:val="005A4749"/>
    <w:rsid w:val="005C7432"/>
    <w:rsid w:val="005D1142"/>
    <w:rsid w:val="005E4EDF"/>
    <w:rsid w:val="005E76E4"/>
    <w:rsid w:val="005F1669"/>
    <w:rsid w:val="005F3B55"/>
    <w:rsid w:val="006046F3"/>
    <w:rsid w:val="00610A38"/>
    <w:rsid w:val="00622C27"/>
    <w:rsid w:val="00631663"/>
    <w:rsid w:val="00644BAE"/>
    <w:rsid w:val="0066643F"/>
    <w:rsid w:val="00674E1D"/>
    <w:rsid w:val="006830C3"/>
    <w:rsid w:val="006A31D6"/>
    <w:rsid w:val="006A5062"/>
    <w:rsid w:val="006C3E71"/>
    <w:rsid w:val="006C3F26"/>
    <w:rsid w:val="006C50B2"/>
    <w:rsid w:val="006D2F6B"/>
    <w:rsid w:val="006E4038"/>
    <w:rsid w:val="006F6F01"/>
    <w:rsid w:val="00713A19"/>
    <w:rsid w:val="0073222C"/>
    <w:rsid w:val="007347A7"/>
    <w:rsid w:val="007375B4"/>
    <w:rsid w:val="00751D4B"/>
    <w:rsid w:val="00752390"/>
    <w:rsid w:val="00774F8E"/>
    <w:rsid w:val="007A0EEF"/>
    <w:rsid w:val="007B0189"/>
    <w:rsid w:val="007D407C"/>
    <w:rsid w:val="008300DD"/>
    <w:rsid w:val="00837137"/>
    <w:rsid w:val="00846E51"/>
    <w:rsid w:val="008513D8"/>
    <w:rsid w:val="00862EF9"/>
    <w:rsid w:val="008679D5"/>
    <w:rsid w:val="00896B58"/>
    <w:rsid w:val="008A01DA"/>
    <w:rsid w:val="008B3418"/>
    <w:rsid w:val="00912A67"/>
    <w:rsid w:val="00915ADE"/>
    <w:rsid w:val="00916761"/>
    <w:rsid w:val="00926532"/>
    <w:rsid w:val="0093040B"/>
    <w:rsid w:val="00932E67"/>
    <w:rsid w:val="00937D6F"/>
    <w:rsid w:val="00954DF1"/>
    <w:rsid w:val="00997CD0"/>
    <w:rsid w:val="009B454E"/>
    <w:rsid w:val="009B7107"/>
    <w:rsid w:val="009E2D26"/>
    <w:rsid w:val="00A00CF6"/>
    <w:rsid w:val="00A112C4"/>
    <w:rsid w:val="00A1525D"/>
    <w:rsid w:val="00A21433"/>
    <w:rsid w:val="00A35C79"/>
    <w:rsid w:val="00A55621"/>
    <w:rsid w:val="00A718CF"/>
    <w:rsid w:val="00A967A3"/>
    <w:rsid w:val="00AB3505"/>
    <w:rsid w:val="00AC61FB"/>
    <w:rsid w:val="00AD7D38"/>
    <w:rsid w:val="00AE1CAD"/>
    <w:rsid w:val="00AE2FBD"/>
    <w:rsid w:val="00AE3C70"/>
    <w:rsid w:val="00AF0BBA"/>
    <w:rsid w:val="00B06296"/>
    <w:rsid w:val="00B07C95"/>
    <w:rsid w:val="00B10319"/>
    <w:rsid w:val="00B1160D"/>
    <w:rsid w:val="00B15D70"/>
    <w:rsid w:val="00B36AF4"/>
    <w:rsid w:val="00B41802"/>
    <w:rsid w:val="00B4243C"/>
    <w:rsid w:val="00B4262A"/>
    <w:rsid w:val="00B53B59"/>
    <w:rsid w:val="00B734D8"/>
    <w:rsid w:val="00B85A72"/>
    <w:rsid w:val="00B91CCF"/>
    <w:rsid w:val="00BA7B82"/>
    <w:rsid w:val="00BD2A6E"/>
    <w:rsid w:val="00C0648C"/>
    <w:rsid w:val="00C06492"/>
    <w:rsid w:val="00C3438C"/>
    <w:rsid w:val="00C36B48"/>
    <w:rsid w:val="00C53C9D"/>
    <w:rsid w:val="00C57606"/>
    <w:rsid w:val="00C63CC4"/>
    <w:rsid w:val="00C66C88"/>
    <w:rsid w:val="00C77B0A"/>
    <w:rsid w:val="00C85B77"/>
    <w:rsid w:val="00C91C8E"/>
    <w:rsid w:val="00CA0BAD"/>
    <w:rsid w:val="00CA26FB"/>
    <w:rsid w:val="00CA2D33"/>
    <w:rsid w:val="00CE4B2F"/>
    <w:rsid w:val="00CF3F40"/>
    <w:rsid w:val="00D01373"/>
    <w:rsid w:val="00D03B0C"/>
    <w:rsid w:val="00D21886"/>
    <w:rsid w:val="00D4537E"/>
    <w:rsid w:val="00D56F59"/>
    <w:rsid w:val="00D66148"/>
    <w:rsid w:val="00D731BD"/>
    <w:rsid w:val="00D842A6"/>
    <w:rsid w:val="00DA09ED"/>
    <w:rsid w:val="00DA3989"/>
    <w:rsid w:val="00DA4480"/>
    <w:rsid w:val="00DB037A"/>
    <w:rsid w:val="00DB477B"/>
    <w:rsid w:val="00DE43E6"/>
    <w:rsid w:val="00DE4AF5"/>
    <w:rsid w:val="00DE75EB"/>
    <w:rsid w:val="00DF0245"/>
    <w:rsid w:val="00DF695B"/>
    <w:rsid w:val="00E048D1"/>
    <w:rsid w:val="00E061B8"/>
    <w:rsid w:val="00E07B2C"/>
    <w:rsid w:val="00E14A54"/>
    <w:rsid w:val="00E3779A"/>
    <w:rsid w:val="00E434FA"/>
    <w:rsid w:val="00E7138D"/>
    <w:rsid w:val="00E80822"/>
    <w:rsid w:val="00EA1B8A"/>
    <w:rsid w:val="00EB70CE"/>
    <w:rsid w:val="00EC2E1C"/>
    <w:rsid w:val="00EF2574"/>
    <w:rsid w:val="00F05C79"/>
    <w:rsid w:val="00F536D7"/>
    <w:rsid w:val="00F61E3C"/>
    <w:rsid w:val="00F657FE"/>
    <w:rsid w:val="00F72EA8"/>
    <w:rsid w:val="00F86837"/>
    <w:rsid w:val="00F87A19"/>
    <w:rsid w:val="00FA6811"/>
    <w:rsid w:val="00FA6A61"/>
    <w:rsid w:val="00FB31F0"/>
    <w:rsid w:val="00FD638C"/>
    <w:rsid w:val="00FE1945"/>
    <w:rsid w:val="00FE365C"/>
    <w:rsid w:val="00FE5425"/>
    <w:rsid w:val="00FE5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14046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 w:val="00AE2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D806DA20C1E4CB7455746709AED36" ma:contentTypeVersion="13" ma:contentTypeDescription="Create a new document." ma:contentTypeScope="" ma:versionID="46b85256afa5570f79db525025ceaa07">
  <xsd:schema xmlns:xsd="http://www.w3.org/2001/XMLSchema" xmlns:xs="http://www.w3.org/2001/XMLSchema" xmlns:p="http://schemas.microsoft.com/office/2006/metadata/properties" xmlns:ns2="12cbbaa5-faf7-4332-9f4f-32d45544ecd2" xmlns:ns3="943aa880-2c7a-48c0-9f0d-e9c0ff8aea19" targetNamespace="http://schemas.microsoft.com/office/2006/metadata/properties" ma:root="true" ma:fieldsID="9a9566c628c090a237c857fd0dcd1467" ns2:_="" ns3:_="">
    <xsd:import namespace="12cbbaa5-faf7-4332-9f4f-32d45544ecd2"/>
    <xsd:import namespace="943aa880-2c7a-48c0-9f0d-e9c0ff8ae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bbaa5-faf7-4332-9f4f-32d45544e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aa880-2c7a-48c0-9f0d-e9c0ff8aea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D836-A407-4A0B-80C7-8D5C98C90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EF59A-4CC0-44E0-AC62-BBCFBEAB0E7C}">
  <ds:schemaRefs>
    <ds:schemaRef ds:uri="http://schemas.microsoft.com/sharepoint/v3/contenttype/forms"/>
  </ds:schemaRefs>
</ds:datastoreItem>
</file>

<file path=customXml/itemProps3.xml><?xml version="1.0" encoding="utf-8"?>
<ds:datastoreItem xmlns:ds="http://schemas.openxmlformats.org/officeDocument/2006/customXml" ds:itemID="{EA880114-3AB2-46DF-B440-20F0CE7F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bbaa5-faf7-4332-9f4f-32d45544ecd2"/>
    <ds:schemaRef ds:uri="943aa880-2c7a-48c0-9f0d-e9c0ff8a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01411-AC22-46AD-A026-092A4F5E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8</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Tool - Impact Report v07Dec2020</vt:lpstr>
    </vt:vector>
  </TitlesOfParts>
  <Company>ACT Government</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 Impact Report v07Dec2020</dc:title>
  <dc:subject/>
  <dc:creator>ACT Education Directorate</dc:creator>
  <cp:keywords>School improvement</cp:keywords>
  <dc:description/>
  <cp:lastModifiedBy>Edwards, Craig</cp:lastModifiedBy>
  <cp:revision>36</cp:revision>
  <cp:lastPrinted>2018-11-20T01:48:00Z</cp:lastPrinted>
  <dcterms:created xsi:type="dcterms:W3CDTF">2022-02-27T22:07:00Z</dcterms:created>
  <dcterms:modified xsi:type="dcterms:W3CDTF">2022-03-30T03:52:00Z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0x010100054D806DA20C1E4CB7455746709AED36</vt:lpwstr>
  </property>
</Properties>
</file>