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choolName"/>
        </w:rPr>
        <w:alias w:val="DDList"/>
        <w:tag w:val="DDList"/>
        <w:id w:val="4240380"/>
        <w:placeholder>
          <w:docPart w:val="D009FF18D63449F38EF834228DC3F6AB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D7A55D6" w14:textId="77777777" w:rsidR="00BA52B3" w:rsidRPr="0029006B" w:rsidRDefault="00D358B3" w:rsidP="0029006B">
          <w:pPr>
            <w:pStyle w:val="Title"/>
            <w:spacing w:after="120"/>
            <w:rPr>
              <w:rStyle w:val="SchoolName"/>
            </w:rPr>
          </w:pPr>
          <w:r>
            <w:rPr>
              <w:rStyle w:val="SchoolName"/>
            </w:rPr>
            <w:t>Telopea Park School</w:t>
          </w:r>
        </w:p>
      </w:sdtContent>
    </w:sdt>
    <w:p w14:paraId="393BECCD" w14:textId="77777777" w:rsidR="00BA52B3" w:rsidRPr="005F3926" w:rsidRDefault="00BA52B3" w:rsidP="00BA52B3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712BCF00AFE4403FA02BBDC801656C5D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D358B3">
            <w:t>South Canberra/ Weston</w:t>
          </w:r>
        </w:sdtContent>
      </w:sdt>
    </w:p>
    <w:p w14:paraId="4AF84A31" w14:textId="584A4129" w:rsidR="00BA52B3" w:rsidRDefault="002A177D" w:rsidP="00D73CC7">
      <w:pPr>
        <w:pStyle w:val="Title"/>
        <w:spacing w:after="120"/>
      </w:pPr>
      <w:r>
        <w:t>Action</w:t>
      </w:r>
      <w:r w:rsidR="00BA52B3">
        <w:t xml:space="preserve"> </w:t>
      </w:r>
      <w:r w:rsidR="00BA52B3" w:rsidRPr="005F3926">
        <w:t xml:space="preserve">Plan </w:t>
      </w:r>
      <w:r w:rsidR="00BA52B3">
        <w:t>20</w:t>
      </w:r>
      <w:r w:rsidR="00F31779">
        <w:t>2</w:t>
      </w:r>
      <w:r w:rsidR="00EC1180">
        <w:t>1</w:t>
      </w:r>
    </w:p>
    <w:p w14:paraId="32430BD9" w14:textId="51659018" w:rsidR="00460F6D" w:rsidRPr="00E140FA" w:rsidRDefault="00460F6D" w:rsidP="00BC589B">
      <w:pPr>
        <w:pStyle w:val="Heading1"/>
      </w:pPr>
      <w:r w:rsidRPr="00E140FA">
        <w:t>The purpose of this document</w:t>
      </w:r>
    </w:p>
    <w:p w14:paraId="512A59B3" w14:textId="77777777" w:rsidR="000C1B4B" w:rsidRPr="00825280" w:rsidRDefault="000C1B4B" w:rsidP="00825280">
      <w:pPr>
        <w:pStyle w:val="BodyText"/>
      </w:pPr>
      <w:r w:rsidRPr="00825280">
        <w:t xml:space="preserve">This </w:t>
      </w:r>
      <w:r w:rsidR="0047385D" w:rsidRPr="00825280">
        <w:t xml:space="preserve">is a </w:t>
      </w:r>
      <w:r w:rsidR="0047385D" w:rsidRPr="00825280">
        <w:rPr>
          <w:i/>
          <w:u w:val="single"/>
        </w:rPr>
        <w:t xml:space="preserve">working </w:t>
      </w:r>
      <w:r w:rsidRPr="00825280">
        <w:rPr>
          <w:i/>
          <w:u w:val="single"/>
        </w:rPr>
        <w:t>document</w:t>
      </w:r>
      <w:r w:rsidRPr="00825280">
        <w:t xml:space="preserve"> </w:t>
      </w:r>
      <w:r w:rsidR="0047385D" w:rsidRPr="00825280">
        <w:t xml:space="preserve">and </w:t>
      </w:r>
      <w:r w:rsidRPr="00825280">
        <w:t>should be read in conjunction with, and flows dire</w:t>
      </w:r>
      <w:r w:rsidR="00235B19" w:rsidRPr="00825280">
        <w:t xml:space="preserve">ctly from, our </w:t>
      </w:r>
      <w:r w:rsidR="00825280">
        <w:t>School Improvement Plan</w:t>
      </w:r>
      <w:r w:rsidRPr="00825280">
        <w:t xml:space="preserve"> which articulates:</w:t>
      </w:r>
    </w:p>
    <w:p w14:paraId="60C00802" w14:textId="77777777" w:rsidR="000C1B4B" w:rsidRDefault="000C1B4B" w:rsidP="000A207B">
      <w:pPr>
        <w:pStyle w:val="DotPointLVL1"/>
      </w:pPr>
      <w:r>
        <w:t>a commitment to t</w:t>
      </w:r>
      <w:r w:rsidRPr="007E3C23">
        <w:t>he Education Directorate</w:t>
      </w:r>
      <w:r>
        <w:t>’s</w:t>
      </w:r>
      <w:r w:rsidRPr="007E3C23">
        <w:t xml:space="preserve"> </w:t>
      </w:r>
      <w:r w:rsidR="00A214B7">
        <w:t>three S</w:t>
      </w:r>
      <w:r>
        <w:t xml:space="preserve">trategic </w:t>
      </w:r>
      <w:r w:rsidR="00A214B7">
        <w:t>I</w:t>
      </w:r>
      <w:r w:rsidRPr="007E3C23">
        <w:t>ndicators for 2018-2021</w:t>
      </w:r>
    </w:p>
    <w:p w14:paraId="420028B7" w14:textId="77777777" w:rsidR="000C1B4B" w:rsidRPr="00825280" w:rsidRDefault="000C1B4B" w:rsidP="000A207B">
      <w:pPr>
        <w:pStyle w:val="DotPointLVL2"/>
      </w:pPr>
      <w:r w:rsidRPr="00825280">
        <w:t>To promote greater equity in learning outcomes in and across ACT public schools</w:t>
      </w:r>
    </w:p>
    <w:p w14:paraId="1B26D537" w14:textId="77777777" w:rsidR="000C1B4B" w:rsidRPr="00825280" w:rsidRDefault="000C1B4B" w:rsidP="000A207B">
      <w:pPr>
        <w:pStyle w:val="DotPointLVL2"/>
      </w:pPr>
      <w:r w:rsidRPr="00825280">
        <w:t>To facilitate high quality teaching in ACT public schools and strengthen educational outcomes</w:t>
      </w:r>
    </w:p>
    <w:p w14:paraId="3BCE6590" w14:textId="77777777" w:rsidR="000C1B4B" w:rsidRPr="00825280" w:rsidRDefault="000C1B4B" w:rsidP="000A207B">
      <w:pPr>
        <w:pStyle w:val="DotPointLVL2"/>
      </w:pPr>
      <w:r w:rsidRPr="00825280">
        <w:t>To centre teaching and learning around students as individuals</w:t>
      </w:r>
    </w:p>
    <w:p w14:paraId="781B2332" w14:textId="77777777" w:rsidR="000C1B4B" w:rsidRDefault="003C346B" w:rsidP="000A207B">
      <w:pPr>
        <w:pStyle w:val="DotPointLVL1"/>
      </w:pPr>
      <w:r>
        <w:t xml:space="preserve">our </w:t>
      </w:r>
      <w:r w:rsidR="000C1B4B">
        <w:t>priorities, as informed by the Directorate</w:t>
      </w:r>
      <w:r w:rsidR="00A214B7">
        <w:t>’</w:t>
      </w:r>
      <w:r w:rsidR="000C1B4B">
        <w:t xml:space="preserve">s Strategic Indicators, School Review findings and analysis of multiple sources of </w:t>
      </w:r>
      <w:r w:rsidR="00217CF8">
        <w:t>evidence</w:t>
      </w:r>
      <w:r w:rsidR="0080461F">
        <w:t xml:space="preserve"> are:</w:t>
      </w:r>
    </w:p>
    <w:p w14:paraId="442225DB" w14:textId="77777777" w:rsidR="000C1B4B" w:rsidRPr="000A207B" w:rsidRDefault="00A148C9" w:rsidP="000A207B">
      <w:pPr>
        <w:pStyle w:val="DotPointLVL2"/>
        <w:rPr>
          <w:i w:val="0"/>
        </w:rPr>
      </w:pPr>
      <w:r>
        <w:rPr>
          <w:i w:val="0"/>
        </w:rPr>
        <w:t>To maximise the growth in learning for all students</w:t>
      </w:r>
    </w:p>
    <w:p w14:paraId="6D132397" w14:textId="77777777" w:rsidR="006E3C0D" w:rsidRPr="000A207B" w:rsidRDefault="00A148C9" w:rsidP="000A207B">
      <w:pPr>
        <w:pStyle w:val="DotPointLVL2"/>
        <w:rPr>
          <w:i w:val="0"/>
        </w:rPr>
      </w:pPr>
      <w:r>
        <w:rPr>
          <w:i w:val="0"/>
        </w:rPr>
        <w:t>To develop a culture of inquiry across the school</w:t>
      </w:r>
    </w:p>
    <w:p w14:paraId="12493A50" w14:textId="77777777" w:rsidR="000C1B4B" w:rsidRPr="000A207B" w:rsidRDefault="00A148C9" w:rsidP="000A207B">
      <w:pPr>
        <w:pStyle w:val="DotPointLVL2"/>
        <w:rPr>
          <w:i w:val="0"/>
        </w:rPr>
      </w:pPr>
      <w:r>
        <w:rPr>
          <w:i w:val="0"/>
        </w:rPr>
        <w:t>To strengthen communication and collaboration across the school community</w:t>
      </w:r>
    </w:p>
    <w:p w14:paraId="1E4EDC9E" w14:textId="77777777" w:rsidR="000C1B4B" w:rsidRDefault="00217CF8" w:rsidP="000A207B">
      <w:pPr>
        <w:pStyle w:val="BodyText"/>
      </w:pPr>
      <w:r>
        <w:t>This Action Plan (A</w:t>
      </w:r>
      <w:r w:rsidR="000C1B4B">
        <w:t xml:space="preserve">P) translates the actions to be taken in the current year of our </w:t>
      </w:r>
      <w:r w:rsidR="00650173">
        <w:t>four</w:t>
      </w:r>
      <w:r w:rsidR="00F129F8">
        <w:t>-year</w:t>
      </w:r>
      <w:r w:rsidR="000C1B4B">
        <w:t xml:space="preserve"> school improvement cycle, continuing the emphasis on:</w:t>
      </w:r>
    </w:p>
    <w:p w14:paraId="52724CCC" w14:textId="77777777" w:rsidR="000C1B4B" w:rsidRDefault="000C1B4B" w:rsidP="000A207B">
      <w:pPr>
        <w:pStyle w:val="DotPointLVL1"/>
      </w:pPr>
      <w:r>
        <w:t>improving student outcomes</w:t>
      </w:r>
    </w:p>
    <w:p w14:paraId="05F91F2E" w14:textId="77777777" w:rsidR="000C1B4B" w:rsidRDefault="000C1B4B" w:rsidP="000A207B">
      <w:pPr>
        <w:pStyle w:val="DotPointLVL1"/>
      </w:pPr>
      <w:r>
        <w:t>monitoring and implementation of an inquiry approach to action scho</w:t>
      </w:r>
      <w:r w:rsidRPr="006E3C0D">
        <w:t xml:space="preserve">ol </w:t>
      </w:r>
      <w:r w:rsidR="00217CF8" w:rsidRPr="006E3C0D">
        <w:t>improvement</w:t>
      </w:r>
    </w:p>
    <w:p w14:paraId="412DDEDC" w14:textId="77777777" w:rsidR="000C1B4B" w:rsidRDefault="000C1B4B" w:rsidP="000A207B">
      <w:pPr>
        <w:pStyle w:val="DotPointLVL1"/>
      </w:pPr>
      <w:r>
        <w:t>monitoring and inquiry to inform daily teaching</w:t>
      </w:r>
    </w:p>
    <w:p w14:paraId="17CB6BC6" w14:textId="77777777" w:rsidR="00AF3B67" w:rsidRDefault="00AF3B67" w:rsidP="00A113DB">
      <w:pPr>
        <w:pStyle w:val="DotPointLVL1"/>
        <w:spacing w:after="0"/>
      </w:pPr>
      <w:r>
        <w:t>identification and mitigation of risks to the delivery of our f</w:t>
      </w:r>
      <w:r w:rsidR="00A91EA7">
        <w:t>our</w:t>
      </w:r>
      <w:r>
        <w:t xml:space="preserve">-year </w:t>
      </w:r>
      <w:r w:rsidR="00EE3B84">
        <w:t>S</w:t>
      </w:r>
      <w:r>
        <w:t xml:space="preserve">chool </w:t>
      </w:r>
      <w:r w:rsidR="00EE3B84">
        <w:t>I</w:t>
      </w:r>
      <w:r>
        <w:t xml:space="preserve">mprovement </w:t>
      </w:r>
      <w:r w:rsidR="00EE3B84">
        <w:t>P</w:t>
      </w:r>
      <w:r>
        <w:t>lan.</w:t>
      </w:r>
    </w:p>
    <w:p w14:paraId="797B5D78" w14:textId="45C74560" w:rsidR="00D22B30" w:rsidRPr="00D22B30" w:rsidRDefault="00757C87" w:rsidP="00A113DB">
      <w:pPr>
        <w:pStyle w:val="Heading1"/>
        <w:spacing w:after="0"/>
      </w:pPr>
      <w:r>
        <w:t>Changes affect</w:t>
      </w:r>
      <w:r w:rsidRPr="006E3C0D">
        <w:t xml:space="preserve">ing </w:t>
      </w:r>
      <w:r w:rsidR="00217CF8" w:rsidRPr="006E3C0D">
        <w:t xml:space="preserve">our school’s </w:t>
      </w:r>
      <w:r w:rsidRPr="006E3C0D">
        <w:t>a</w:t>
      </w:r>
      <w:r>
        <w:t>nnual planning</w:t>
      </w:r>
    </w:p>
    <w:p w14:paraId="0CBDCA0B" w14:textId="147873C8" w:rsidR="00E23344" w:rsidRDefault="00E23344" w:rsidP="00141602">
      <w:pPr>
        <w:pStyle w:val="DotPointLVL1"/>
      </w:pPr>
      <w:r>
        <w:t xml:space="preserve">To </w:t>
      </w:r>
      <w:r w:rsidR="00C2457E">
        <w:t>focus on targeted</w:t>
      </w:r>
      <w:r>
        <w:t xml:space="preserve"> </w:t>
      </w:r>
      <w:r w:rsidRPr="00533050">
        <w:rPr>
          <w:i/>
        </w:rPr>
        <w:t>Professional Learning</w:t>
      </w:r>
      <w:r>
        <w:t xml:space="preserve"> </w:t>
      </w:r>
      <w:r w:rsidR="00C2457E">
        <w:t>in</w:t>
      </w:r>
      <w:r>
        <w:t xml:space="preserve"> 20</w:t>
      </w:r>
      <w:r w:rsidR="00F31779">
        <w:t>2</w:t>
      </w:r>
      <w:r w:rsidR="00EC1180">
        <w:t>1</w:t>
      </w:r>
      <w:r>
        <w:t xml:space="preserve"> </w:t>
      </w:r>
      <w:r w:rsidR="00533050">
        <w:t>to develop teachers’ c</w:t>
      </w:r>
      <w:r w:rsidR="00C2457E">
        <w:t xml:space="preserve">apacity </w:t>
      </w:r>
      <w:r w:rsidR="00533050">
        <w:t>to promot</w:t>
      </w:r>
      <w:r w:rsidR="00C2457E">
        <w:t>e</w:t>
      </w:r>
      <w:r w:rsidR="00533050">
        <w:t xml:space="preserve"> student learning</w:t>
      </w:r>
      <w:r w:rsidR="00C2457E">
        <w:t xml:space="preserve"> across the school, kindergarten to Year 10</w:t>
      </w:r>
      <w:r w:rsidR="00533050">
        <w:t>.</w:t>
      </w:r>
    </w:p>
    <w:p w14:paraId="67FCCECD" w14:textId="77777777" w:rsidR="00C2457E" w:rsidRDefault="00C2457E" w:rsidP="00141602">
      <w:pPr>
        <w:pStyle w:val="DotPointLVL1"/>
      </w:pPr>
      <w:r>
        <w:t>In line with ACT ED strategic directions</w:t>
      </w:r>
      <w:r w:rsidR="00555786">
        <w:t xml:space="preserve"> and contemporary research, a renewed structural approach to Professional Learning Teams (PLT) </w:t>
      </w:r>
      <w:r w:rsidR="000A08DF">
        <w:t>is being</w:t>
      </w:r>
      <w:r w:rsidR="00555786">
        <w:t xml:space="preserve"> developed across the school.</w:t>
      </w:r>
    </w:p>
    <w:p w14:paraId="68968143" w14:textId="42A17CC4" w:rsidR="000A08DF" w:rsidRDefault="000A08DF" w:rsidP="000A08DF">
      <w:pPr>
        <w:pStyle w:val="DotPointLVL1"/>
      </w:pPr>
      <w:r>
        <w:t>IB Evaluation</w:t>
      </w:r>
      <w:r w:rsidR="002D6FA9">
        <w:t xml:space="preserve"> Report</w:t>
      </w:r>
      <w:r>
        <w:t xml:space="preserve"> in 2020 require</w:t>
      </w:r>
      <w:r w:rsidR="003E50E3">
        <w:t>s action</w:t>
      </w:r>
      <w:r>
        <w:t xml:space="preserve"> during </w:t>
      </w:r>
      <w:r w:rsidR="00A07673">
        <w:t>the next four years</w:t>
      </w:r>
      <w:r>
        <w:t xml:space="preserve"> to demonstrate I</w:t>
      </w:r>
      <w:r w:rsidR="00AE76C6">
        <w:t xml:space="preserve">nternational </w:t>
      </w:r>
      <w:r>
        <w:t>B</w:t>
      </w:r>
      <w:r w:rsidR="00AE76C6">
        <w:t>accalaureate (IB)</w:t>
      </w:r>
      <w:r>
        <w:t xml:space="preserve"> M</w:t>
      </w:r>
      <w:r w:rsidR="00AE76C6">
        <w:t xml:space="preserve">iddle </w:t>
      </w:r>
      <w:r>
        <w:t>Y</w:t>
      </w:r>
      <w:r w:rsidR="00AE76C6">
        <w:t xml:space="preserve">ears </w:t>
      </w:r>
      <w:r>
        <w:t>P</w:t>
      </w:r>
      <w:r w:rsidR="00446866">
        <w:t>rogramme (MYP)</w:t>
      </w:r>
      <w:r>
        <w:t xml:space="preserve"> compliance in the </w:t>
      </w:r>
      <w:r w:rsidR="00261FF9">
        <w:t>Secondary Sector</w:t>
      </w:r>
      <w:r w:rsidR="00A07673">
        <w:t xml:space="preserve"> </w:t>
      </w:r>
    </w:p>
    <w:p w14:paraId="70E9CBAB" w14:textId="77777777" w:rsidR="00757C87" w:rsidRPr="002728BA" w:rsidRDefault="00757C87" w:rsidP="00A113DB">
      <w:pPr>
        <w:pStyle w:val="Heading1"/>
        <w:spacing w:after="0"/>
      </w:pPr>
      <w:r>
        <w:t>Ou</w:t>
      </w:r>
      <w:r w:rsidRPr="006E3C0D">
        <w:t xml:space="preserve">r </w:t>
      </w:r>
      <w:r w:rsidR="00217CF8" w:rsidRPr="006E3C0D">
        <w:t xml:space="preserve">school’s </w:t>
      </w:r>
      <w:r w:rsidRPr="006E3C0D">
        <w:t>ap</w:t>
      </w:r>
      <w:r>
        <w:t>proach to inquiry and professional learning communities</w:t>
      </w:r>
    </w:p>
    <w:p w14:paraId="45B01D4D" w14:textId="77777777" w:rsidR="00A113DB" w:rsidRDefault="00A113DB" w:rsidP="00A113DB">
      <w:pPr>
        <w:spacing w:after="0"/>
        <w:rPr>
          <w:rFonts w:eastAsiaTheme="majorEastAsia" w:cstheme="minorHAnsi"/>
        </w:rPr>
      </w:pPr>
    </w:p>
    <w:p w14:paraId="66D018D5" w14:textId="6B41B14A" w:rsidR="00F22811" w:rsidRDefault="00555786" w:rsidP="00A113DB">
      <w:pPr>
        <w:spacing w:after="0"/>
        <w:rPr>
          <w:rFonts w:eastAsiaTheme="majorEastAsia" w:cstheme="minorHAnsi"/>
        </w:rPr>
      </w:pPr>
      <w:r w:rsidRPr="00B94AEB">
        <w:rPr>
          <w:rFonts w:eastAsiaTheme="majorEastAsia" w:cstheme="minorHAnsi"/>
        </w:rPr>
        <w:t>In 20</w:t>
      </w:r>
      <w:r w:rsidR="00E90C40">
        <w:rPr>
          <w:rFonts w:eastAsiaTheme="majorEastAsia" w:cstheme="minorHAnsi"/>
        </w:rPr>
        <w:t>20</w:t>
      </w:r>
      <w:r w:rsidRPr="00B94AEB">
        <w:rPr>
          <w:rFonts w:eastAsiaTheme="majorEastAsia" w:cstheme="minorHAnsi"/>
        </w:rPr>
        <w:t xml:space="preserve"> the school will focus on growth in student learning</w:t>
      </w:r>
      <w:r w:rsidR="00D614A5">
        <w:rPr>
          <w:rFonts w:eastAsiaTheme="majorEastAsia" w:cstheme="minorHAnsi"/>
        </w:rPr>
        <w:t xml:space="preserve"> and engagement</w:t>
      </w:r>
      <w:r w:rsidRPr="00B94AEB">
        <w:rPr>
          <w:rFonts w:eastAsiaTheme="majorEastAsia" w:cstheme="minorHAnsi"/>
        </w:rPr>
        <w:t xml:space="preserve"> by</w:t>
      </w:r>
      <w:r w:rsidR="00B94AEB">
        <w:rPr>
          <w:rFonts w:eastAsiaTheme="majorEastAsia" w:cstheme="minorHAnsi"/>
        </w:rPr>
        <w:t xml:space="preserve"> a focus on:</w:t>
      </w:r>
    </w:p>
    <w:p w14:paraId="58558DA0" w14:textId="77777777" w:rsidR="00B94AEB" w:rsidRPr="00B94AEB" w:rsidRDefault="00B94AEB" w:rsidP="00C459CE">
      <w:pPr>
        <w:pStyle w:val="ListParagraph"/>
        <w:numPr>
          <w:ilvl w:val="0"/>
          <w:numId w:val="4"/>
        </w:numPr>
        <w:rPr>
          <w:rFonts w:eastAsiaTheme="majorEastAsia" w:cstheme="minorHAnsi"/>
        </w:rPr>
      </w:pPr>
      <w:r w:rsidRPr="00B94AEB">
        <w:rPr>
          <w:rFonts w:eastAsiaTheme="majorEastAsia" w:cstheme="minorHAnsi"/>
        </w:rPr>
        <w:t>Formative assessment practices</w:t>
      </w:r>
      <w:r>
        <w:rPr>
          <w:rFonts w:eastAsiaTheme="majorEastAsia" w:cstheme="minorHAnsi"/>
        </w:rPr>
        <w:t xml:space="preserve"> to inform teachers where the</w:t>
      </w:r>
      <w:r w:rsidR="00B42F17">
        <w:rPr>
          <w:rFonts w:eastAsiaTheme="majorEastAsia" w:cstheme="minorHAnsi"/>
        </w:rPr>
        <w:t>re are</w:t>
      </w:r>
      <w:r>
        <w:rPr>
          <w:rFonts w:eastAsiaTheme="majorEastAsia" w:cstheme="minorHAnsi"/>
        </w:rPr>
        <w:t xml:space="preserve"> learning gaps </w:t>
      </w:r>
      <w:r w:rsidR="00B42F17">
        <w:rPr>
          <w:rFonts w:eastAsiaTheme="majorEastAsia" w:cstheme="minorHAnsi"/>
        </w:rPr>
        <w:t>and then to</w:t>
      </w:r>
      <w:r>
        <w:rPr>
          <w:rFonts w:eastAsiaTheme="majorEastAsia" w:cstheme="minorHAnsi"/>
        </w:rPr>
        <w:t xml:space="preserve"> </w:t>
      </w:r>
      <w:proofErr w:type="gramStart"/>
      <w:r>
        <w:rPr>
          <w:rFonts w:eastAsiaTheme="majorEastAsia" w:cstheme="minorHAnsi"/>
        </w:rPr>
        <w:t>make adjustments to</w:t>
      </w:r>
      <w:proofErr w:type="gramEnd"/>
      <w:r>
        <w:rPr>
          <w:rFonts w:eastAsiaTheme="majorEastAsia" w:cstheme="minorHAnsi"/>
        </w:rPr>
        <w:t xml:space="preserve"> </w:t>
      </w:r>
      <w:r w:rsidR="00B42F17">
        <w:rPr>
          <w:rFonts w:eastAsiaTheme="majorEastAsia" w:cstheme="minorHAnsi"/>
        </w:rPr>
        <w:t>pedagogy</w:t>
      </w:r>
    </w:p>
    <w:p w14:paraId="652722B1" w14:textId="77777777" w:rsidR="00B94AEB" w:rsidRDefault="00B94AEB" w:rsidP="00C459CE">
      <w:pPr>
        <w:pStyle w:val="ListParagraph"/>
        <w:numPr>
          <w:ilvl w:val="0"/>
          <w:numId w:val="4"/>
        </w:numPr>
        <w:rPr>
          <w:rFonts w:eastAsiaTheme="majorEastAsia" w:cstheme="minorHAnsi"/>
        </w:rPr>
      </w:pPr>
      <w:r w:rsidRPr="00B94AEB">
        <w:rPr>
          <w:rFonts w:eastAsiaTheme="majorEastAsia" w:cstheme="minorHAnsi"/>
        </w:rPr>
        <w:t>Differentiation in every classroom</w:t>
      </w:r>
      <w:r w:rsidR="00B42F17">
        <w:rPr>
          <w:rFonts w:eastAsiaTheme="majorEastAsia" w:cstheme="minorHAnsi"/>
        </w:rPr>
        <w:t xml:space="preserve"> so that every child </w:t>
      </w:r>
      <w:proofErr w:type="gramStart"/>
      <w:r w:rsidR="00B42F17">
        <w:rPr>
          <w:rFonts w:eastAsiaTheme="majorEastAsia" w:cstheme="minorHAnsi"/>
        </w:rPr>
        <w:t>has the opportunity to</w:t>
      </w:r>
      <w:proofErr w:type="gramEnd"/>
      <w:r w:rsidR="00B42F17">
        <w:rPr>
          <w:rFonts w:eastAsiaTheme="majorEastAsia" w:cstheme="minorHAnsi"/>
        </w:rPr>
        <w:t xml:space="preserve"> learn</w:t>
      </w:r>
    </w:p>
    <w:p w14:paraId="296ACBE6" w14:textId="77777777" w:rsidR="00B94AEB" w:rsidRPr="00B94AEB" w:rsidRDefault="00B94AEB" w:rsidP="00C459CE">
      <w:pPr>
        <w:pStyle w:val="ListParagraph"/>
        <w:numPr>
          <w:ilvl w:val="0"/>
          <w:numId w:val="4"/>
        </w:numPr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Feedback to inform </w:t>
      </w:r>
      <w:r w:rsidR="000A08DF">
        <w:rPr>
          <w:rFonts w:eastAsiaTheme="majorEastAsia" w:cstheme="minorHAnsi"/>
        </w:rPr>
        <w:t xml:space="preserve">learning and </w:t>
      </w:r>
      <w:r>
        <w:rPr>
          <w:rFonts w:eastAsiaTheme="majorEastAsia" w:cstheme="minorHAnsi"/>
        </w:rPr>
        <w:t>teaching</w:t>
      </w:r>
      <w:r w:rsidR="000A08DF">
        <w:rPr>
          <w:rFonts w:eastAsiaTheme="majorEastAsia" w:cstheme="minorHAnsi"/>
        </w:rPr>
        <w:t xml:space="preserve"> </w:t>
      </w:r>
    </w:p>
    <w:p w14:paraId="33FFBF30" w14:textId="77777777" w:rsidR="00B94AEB" w:rsidRPr="00B94AEB" w:rsidRDefault="00B94AEB" w:rsidP="00B94AEB">
      <w:pPr>
        <w:rPr>
          <w:rFonts w:eastAsiaTheme="majorEastAsia" w:cstheme="minorHAnsi"/>
        </w:rPr>
        <w:sectPr w:rsidR="00B94AEB" w:rsidRPr="00B94AEB" w:rsidSect="00003DC6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567684" w14:textId="77777777" w:rsidR="000C1B4B" w:rsidRPr="00DD4E6B" w:rsidRDefault="00882120" w:rsidP="000F0410">
      <w:pPr>
        <w:pStyle w:val="Heading1"/>
      </w:pPr>
      <w:r>
        <w:lastRenderedPageBreak/>
        <w:t>S</w:t>
      </w:r>
      <w:r w:rsidR="000C1B4B" w:rsidRPr="00DD4E6B">
        <w:t>trategies and actions</w:t>
      </w:r>
    </w:p>
    <w:p w14:paraId="110D9D3E" w14:textId="77777777" w:rsidR="00E85CE9" w:rsidRDefault="000F0410" w:rsidP="00E85CE9">
      <w:pPr>
        <w:pStyle w:val="Heading2"/>
      </w:pPr>
      <w:r w:rsidRPr="000F0410">
        <w:t>Priority 1:</w:t>
      </w:r>
      <w:r w:rsidRPr="000F0410">
        <w:rPr>
          <w:color w:val="auto"/>
        </w:rPr>
        <w:tab/>
      </w:r>
      <w:r w:rsidR="00E85CE9">
        <w:t xml:space="preserve">To maximise the growth in learning for all students </w:t>
      </w:r>
    </w:p>
    <w:p w14:paraId="52560D98" w14:textId="77777777" w:rsidR="00396A2A" w:rsidRPr="00396A2A" w:rsidRDefault="00396A2A" w:rsidP="00396A2A">
      <w:pPr>
        <w:pStyle w:val="BodyText"/>
        <w:rPr>
          <w:lang w:eastAsia="en-US" w:bidi="ar-SA"/>
        </w:rPr>
      </w:pPr>
    </w:p>
    <w:p w14:paraId="4A54514A" w14:textId="77777777" w:rsidR="00396A2A" w:rsidRDefault="00882120" w:rsidP="00396A2A">
      <w:pPr>
        <w:pStyle w:val="Heading2"/>
      </w:pPr>
      <w:r>
        <w:t>Strategies</w:t>
      </w:r>
    </w:p>
    <w:p w14:paraId="1FBF7241" w14:textId="77777777" w:rsidR="00396A2A" w:rsidRPr="00396A2A" w:rsidRDefault="00396A2A" w:rsidP="00396A2A">
      <w:pPr>
        <w:pStyle w:val="BodyText"/>
        <w:rPr>
          <w:lang w:eastAsia="en-US" w:bidi="ar-SA"/>
        </w:rPr>
      </w:pPr>
    </w:p>
    <w:p w14:paraId="55E00503" w14:textId="76651A8F" w:rsidR="00CE50D4" w:rsidRPr="00FC1207" w:rsidRDefault="00CE50D4" w:rsidP="00CE50D4">
      <w:pPr>
        <w:pStyle w:val="NumberedList"/>
        <w:ind w:left="357" w:hanging="357"/>
        <w:rPr>
          <w:rFonts w:eastAsia="Times New Roman"/>
          <w:lang w:eastAsia="x-none"/>
        </w:rPr>
      </w:pPr>
      <w:r w:rsidRPr="00FC1207">
        <w:rPr>
          <w:rFonts w:eastAsia="Times New Roman"/>
          <w:lang w:eastAsia="x-none"/>
        </w:rPr>
        <w:t>Continue focus on providing feedback to students about their learning</w:t>
      </w:r>
    </w:p>
    <w:p w14:paraId="1FB8D9EF" w14:textId="3DDD6807" w:rsidR="00CE50D4" w:rsidRPr="00FC1207" w:rsidRDefault="00CE50D4" w:rsidP="00CE50D4">
      <w:pPr>
        <w:pStyle w:val="NumberedList"/>
        <w:ind w:left="357" w:hanging="357"/>
        <w:rPr>
          <w:rFonts w:eastAsia="Times New Roman"/>
          <w:lang w:eastAsia="x-none"/>
        </w:rPr>
      </w:pPr>
      <w:r w:rsidRPr="00FC1207">
        <w:rPr>
          <w:rFonts w:eastAsia="Times New Roman"/>
          <w:lang w:eastAsia="x-none"/>
        </w:rPr>
        <w:t>Review/Refine data plan and assessment calendar</w:t>
      </w:r>
    </w:p>
    <w:p w14:paraId="71EC9833" w14:textId="1C97DD8E" w:rsidR="00CE50D4" w:rsidRPr="00FC1207" w:rsidRDefault="00CE50D4" w:rsidP="00CE50D4">
      <w:pPr>
        <w:pStyle w:val="NumberedList"/>
        <w:ind w:left="357" w:hanging="357"/>
        <w:rPr>
          <w:rFonts w:eastAsia="Times New Roman"/>
          <w:lang w:eastAsia="x-none"/>
        </w:rPr>
      </w:pPr>
      <w:r w:rsidRPr="00FC1207">
        <w:rPr>
          <w:rFonts w:eastAsia="Times New Roman"/>
          <w:lang w:eastAsia="x-none"/>
        </w:rPr>
        <w:t>Analyse data from multiple sources to inform improvement actions</w:t>
      </w:r>
    </w:p>
    <w:p w14:paraId="02F6C7E1" w14:textId="77777777" w:rsidR="00BB233A" w:rsidRDefault="00CE50D4" w:rsidP="00BB233A">
      <w:pPr>
        <w:pStyle w:val="NumberedList"/>
        <w:ind w:left="357" w:hanging="357"/>
        <w:rPr>
          <w:rFonts w:eastAsia="Times New Roman"/>
          <w:lang w:eastAsia="x-none"/>
        </w:rPr>
      </w:pPr>
      <w:r w:rsidRPr="00FC1207">
        <w:rPr>
          <w:rFonts w:eastAsia="Times New Roman"/>
          <w:lang w:eastAsia="x-none"/>
        </w:rPr>
        <w:t>Engage staff in collaborative ‘data chats’</w:t>
      </w:r>
    </w:p>
    <w:p w14:paraId="6BD9492A" w14:textId="7AE3746F" w:rsidR="00CE50D4" w:rsidRPr="00BB233A" w:rsidRDefault="00CE50D4" w:rsidP="00BB233A">
      <w:pPr>
        <w:pStyle w:val="NumberedList"/>
        <w:ind w:left="357" w:hanging="357"/>
        <w:rPr>
          <w:rFonts w:eastAsia="Times New Roman"/>
          <w:lang w:eastAsia="x-none"/>
        </w:rPr>
      </w:pPr>
      <w:r w:rsidRPr="00BB233A">
        <w:rPr>
          <w:rFonts w:eastAsia="Times New Roman"/>
          <w:lang w:eastAsia="x-none"/>
        </w:rPr>
        <w:t>Investigation of Pedagogical Framework for Telopea</w:t>
      </w:r>
      <w:r w:rsidR="00C459CE" w:rsidRPr="00BB233A">
        <w:rPr>
          <w:rFonts w:eastAsia="Times New Roman"/>
          <w:lang w:eastAsia="x-none"/>
        </w:rPr>
        <w:t xml:space="preserve"> (Sem 2)</w:t>
      </w:r>
    </w:p>
    <w:p w14:paraId="1AFC29A3" w14:textId="77777777" w:rsidR="00966686" w:rsidRDefault="008E63DF" w:rsidP="00BC589B">
      <w:pPr>
        <w:pStyle w:val="Heading3"/>
      </w:pPr>
      <w:r>
        <w:t>Actions</w:t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47385D" w14:paraId="20A7CA43" w14:textId="77777777" w:rsidTr="004B386E">
        <w:trPr>
          <w:tblHeader/>
          <w:jc w:val="center"/>
        </w:trPr>
        <w:tc>
          <w:tcPr>
            <w:tcW w:w="3524" w:type="dxa"/>
            <w:shd w:val="clear" w:color="auto" w:fill="00AEEF"/>
          </w:tcPr>
          <w:p w14:paraId="56D60996" w14:textId="77777777" w:rsidR="0047385D" w:rsidRPr="00882120" w:rsidRDefault="0047385D" w:rsidP="001904EF">
            <w:pPr>
              <w:pStyle w:val="TableColumnHeaderLeft"/>
            </w:pPr>
            <w:r w:rsidRPr="00882120">
              <w:t xml:space="preserve">What </w:t>
            </w:r>
            <w:r w:rsidRPr="00882120">
              <w:rPr>
                <w:b/>
                <w:i/>
                <w:u w:val="single"/>
              </w:rPr>
              <w:t>resources</w:t>
            </w:r>
            <w:r w:rsidRPr="00882120">
              <w:t xml:space="preserve"> are needed?</w:t>
            </w:r>
          </w:p>
        </w:tc>
        <w:tc>
          <w:tcPr>
            <w:tcW w:w="3524" w:type="dxa"/>
            <w:shd w:val="clear" w:color="auto" w:fill="00AEEF"/>
          </w:tcPr>
          <w:p w14:paraId="6C3AA23F" w14:textId="77777777" w:rsidR="0047385D" w:rsidRPr="00882120" w:rsidRDefault="0047385D" w:rsidP="001904EF">
            <w:pPr>
              <w:pStyle w:val="TableColumnHeaderLeft"/>
            </w:pPr>
            <w:r w:rsidRPr="00882120">
              <w:t xml:space="preserve">Who will </w:t>
            </w:r>
            <w:r w:rsidRPr="00882120">
              <w:rPr>
                <w:b/>
                <w:i/>
                <w:u w:val="single"/>
              </w:rPr>
              <w:t>lead</w:t>
            </w:r>
            <w:r w:rsidRPr="00882120">
              <w:t xml:space="preserve"> this action?</w:t>
            </w:r>
          </w:p>
        </w:tc>
        <w:tc>
          <w:tcPr>
            <w:tcW w:w="3524" w:type="dxa"/>
            <w:shd w:val="clear" w:color="auto" w:fill="00AEEF"/>
          </w:tcPr>
          <w:p w14:paraId="206F342A" w14:textId="77777777" w:rsidR="0047385D" w:rsidRPr="00247B71" w:rsidRDefault="0047385D" w:rsidP="001904EF">
            <w:pPr>
              <w:pStyle w:val="TableColumnHeaderLeft"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 xml:space="preserve"> to support this action?</w:t>
            </w:r>
          </w:p>
        </w:tc>
        <w:tc>
          <w:tcPr>
            <w:tcW w:w="3524" w:type="dxa"/>
            <w:shd w:val="clear" w:color="auto" w:fill="00AEEF"/>
          </w:tcPr>
          <w:p w14:paraId="6530EAAD" w14:textId="77777777" w:rsidR="0047385D" w:rsidRPr="002E73E5" w:rsidRDefault="0047385D" w:rsidP="001904EF">
            <w:pPr>
              <w:pStyle w:val="TableColumnHeaderLeft"/>
            </w:pPr>
            <w:r w:rsidRPr="002E73E5">
              <w:t xml:space="preserve">How will this action </w:t>
            </w:r>
            <w:r w:rsidRPr="002E73E5">
              <w:rPr>
                <w:b/>
                <w:i/>
                <w:u w:val="single"/>
              </w:rPr>
              <w:t>impact</w:t>
            </w:r>
            <w:r w:rsidRPr="002E73E5">
              <w:t xml:space="preserve"> on student learning?</w:t>
            </w:r>
          </w:p>
        </w:tc>
      </w:tr>
      <w:tr w:rsidR="006F350C" w14:paraId="0FD1BEC5" w14:textId="77777777" w:rsidTr="00162782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600736E4" w14:textId="75D4FE06" w:rsidR="006F350C" w:rsidRPr="00003DC6" w:rsidRDefault="006F350C" w:rsidP="009371B7">
            <w:pPr>
              <w:pStyle w:val="TableBodyLeft"/>
              <w:rPr>
                <w:bCs/>
              </w:rPr>
            </w:pPr>
            <w:r w:rsidRPr="00003DC6">
              <w:rPr>
                <w:b/>
              </w:rPr>
              <w:t>ACTION</w:t>
            </w:r>
            <w:r w:rsidR="00E33A48" w:rsidRPr="00003DC6">
              <w:rPr>
                <w:b/>
              </w:rPr>
              <w:t xml:space="preserve"> 1</w:t>
            </w:r>
            <w:r w:rsidRPr="00003DC6">
              <w:rPr>
                <w:b/>
              </w:rPr>
              <w:t>:</w:t>
            </w:r>
            <w:r w:rsidR="000F0410" w:rsidRPr="00003DC6">
              <w:rPr>
                <w:b/>
              </w:rPr>
              <w:t xml:space="preserve"> </w:t>
            </w:r>
            <w:r w:rsidR="00764C92" w:rsidRPr="00003DC6">
              <w:rPr>
                <w:bCs/>
              </w:rPr>
              <w:t>Analyse and provide reports about data sets to exec and the whole school staff</w:t>
            </w:r>
            <w:r w:rsidR="00FC1207" w:rsidRPr="00003DC6">
              <w:rPr>
                <w:bCs/>
              </w:rPr>
              <w:t xml:space="preserve"> </w:t>
            </w:r>
            <w:r w:rsidR="00764C92" w:rsidRPr="00003DC6">
              <w:rPr>
                <w:bCs/>
              </w:rPr>
              <w:t xml:space="preserve">to gain a stronger whole school data profile and </w:t>
            </w:r>
            <w:r w:rsidR="000C169A" w:rsidRPr="00003DC6">
              <w:rPr>
                <w:bCs/>
              </w:rPr>
              <w:t>to inform future directions</w:t>
            </w:r>
            <w:r w:rsidR="00764C92" w:rsidRPr="00003DC6">
              <w:rPr>
                <w:bCs/>
              </w:rPr>
              <w:t>.</w:t>
            </w:r>
          </w:p>
        </w:tc>
      </w:tr>
      <w:tr w:rsidR="0047385D" w14:paraId="60417164" w14:textId="77777777" w:rsidTr="00162782">
        <w:trPr>
          <w:jc w:val="center"/>
        </w:trPr>
        <w:tc>
          <w:tcPr>
            <w:tcW w:w="3524" w:type="dxa"/>
            <w:shd w:val="clear" w:color="auto" w:fill="auto"/>
          </w:tcPr>
          <w:p w14:paraId="5AE4965E" w14:textId="463E2FA4" w:rsidR="00D4361C" w:rsidRPr="00003DC6" w:rsidRDefault="00D4361C" w:rsidP="00D4361C">
            <w:pPr>
              <w:pStyle w:val="DotPointLVL1"/>
              <w:ind w:left="366" w:hanging="219"/>
            </w:pPr>
            <w:r w:rsidRPr="00003DC6">
              <w:rPr>
                <w:shd w:val="clear" w:color="auto" w:fill="FFFFFF"/>
              </w:rPr>
              <w:t>Time - including for teams to meet</w:t>
            </w:r>
          </w:p>
          <w:p w14:paraId="0E698A17" w14:textId="5AB67819" w:rsidR="00D4361C" w:rsidRPr="00003DC6" w:rsidRDefault="00D4361C" w:rsidP="00D4361C">
            <w:pPr>
              <w:pStyle w:val="DotPointLVL1"/>
              <w:ind w:left="366" w:hanging="219"/>
            </w:pPr>
            <w:r w:rsidRPr="00003DC6">
              <w:rPr>
                <w:shd w:val="clear" w:color="auto" w:fill="FFFFFF"/>
              </w:rPr>
              <w:t>Critical Friend, a data expert</w:t>
            </w:r>
          </w:p>
          <w:p w14:paraId="01E34417" w14:textId="102AF57C" w:rsidR="00D4361C" w:rsidRPr="00003DC6" w:rsidRDefault="00D4361C" w:rsidP="00D4361C">
            <w:pPr>
              <w:pStyle w:val="DotPointLVL1"/>
              <w:ind w:left="366" w:hanging="219"/>
            </w:pPr>
            <w:r w:rsidRPr="00003DC6">
              <w:rPr>
                <w:shd w:val="clear" w:color="auto" w:fill="FFFFFF"/>
              </w:rPr>
              <w:t xml:space="preserve">A common data analysis </w:t>
            </w:r>
            <w:r w:rsidR="00704D1F" w:rsidRPr="00003DC6">
              <w:rPr>
                <w:shd w:val="clear" w:color="auto" w:fill="FFFFFF"/>
              </w:rPr>
              <w:t>methodology</w:t>
            </w:r>
            <w:r w:rsidRPr="00003DC6">
              <w:rPr>
                <w:shd w:val="clear" w:color="auto" w:fill="FFFFFF"/>
              </w:rPr>
              <w:t xml:space="preserve"> across the school</w:t>
            </w:r>
          </w:p>
          <w:p w14:paraId="06B7CE85" w14:textId="77777777" w:rsidR="00D4361C" w:rsidRPr="00003DC6" w:rsidRDefault="00D4361C" w:rsidP="00D4361C">
            <w:pPr>
              <w:pStyle w:val="DotPointLVL1"/>
              <w:ind w:left="366" w:hanging="219"/>
            </w:pPr>
            <w:r w:rsidRPr="00003DC6">
              <w:rPr>
                <w:shd w:val="clear" w:color="auto" w:fill="FFFFFF"/>
              </w:rPr>
              <w:t>Common language across the school</w:t>
            </w:r>
          </w:p>
          <w:p w14:paraId="547A8595" w14:textId="77777777" w:rsidR="00D4361C" w:rsidRPr="00003DC6" w:rsidRDefault="00D4361C" w:rsidP="00D4361C">
            <w:pPr>
              <w:pStyle w:val="DotPointLVL1"/>
              <w:ind w:left="366" w:hanging="219"/>
            </w:pPr>
            <w:r w:rsidRPr="00003DC6">
              <w:rPr>
                <w:shd w:val="clear" w:color="auto" w:fill="FFFFFF"/>
              </w:rPr>
              <w:t>Multiple sources of data</w:t>
            </w:r>
          </w:p>
          <w:p w14:paraId="4B6864AD" w14:textId="4D959BCE" w:rsidR="00F70E5D" w:rsidRPr="00003DC6" w:rsidRDefault="00D4361C" w:rsidP="000C169A">
            <w:pPr>
              <w:pStyle w:val="DotPointLVL1"/>
              <w:ind w:left="366" w:hanging="219"/>
            </w:pPr>
            <w:r w:rsidRPr="00003DC6">
              <w:rPr>
                <w:shd w:val="clear" w:color="auto" w:fill="FFFFFF"/>
              </w:rPr>
              <w:t>Common storage place</w:t>
            </w:r>
          </w:p>
        </w:tc>
        <w:tc>
          <w:tcPr>
            <w:tcW w:w="3524" w:type="dxa"/>
            <w:shd w:val="clear" w:color="auto" w:fill="auto"/>
          </w:tcPr>
          <w:p w14:paraId="5E6EEF1A" w14:textId="77777777" w:rsidR="000C169A" w:rsidRPr="00003DC6" w:rsidRDefault="00D4361C" w:rsidP="00D4361C">
            <w:pPr>
              <w:pStyle w:val="DotPointLVL1"/>
              <w:ind w:left="366" w:hanging="219"/>
            </w:pPr>
            <w:r w:rsidRPr="00003DC6">
              <w:t>SLCs will lead faculty/</w:t>
            </w:r>
            <w:proofErr w:type="gramStart"/>
            <w:r w:rsidRPr="00003DC6">
              <w:t>teams</w:t>
            </w:r>
            <w:proofErr w:type="gramEnd"/>
            <w:r w:rsidRPr="00003DC6">
              <w:t xml:space="preserve"> data</w:t>
            </w:r>
          </w:p>
          <w:p w14:paraId="56D11AB7" w14:textId="77777777" w:rsidR="009371B7" w:rsidRPr="00003DC6" w:rsidRDefault="000C169A" w:rsidP="00D4361C">
            <w:pPr>
              <w:pStyle w:val="DotPointLVL1"/>
              <w:ind w:left="366" w:hanging="219"/>
            </w:pPr>
            <w:r w:rsidRPr="00003DC6">
              <w:t>S</w:t>
            </w:r>
            <w:r w:rsidR="00D4361C" w:rsidRPr="00003DC6">
              <w:t>enior executive lead whole school data</w:t>
            </w:r>
            <w:r w:rsidRPr="00003DC6">
              <w:t xml:space="preserve"> collection, </w:t>
            </w:r>
            <w:proofErr w:type="gramStart"/>
            <w:r w:rsidRPr="00003DC6">
              <w:t>analysis</w:t>
            </w:r>
            <w:proofErr w:type="gramEnd"/>
            <w:r w:rsidRPr="00003DC6">
              <w:t xml:space="preserve"> and reporting</w:t>
            </w:r>
          </w:p>
          <w:p w14:paraId="03CB989A" w14:textId="2EFAC00A" w:rsidR="000C169A" w:rsidRPr="00003DC6" w:rsidRDefault="000C169A" w:rsidP="00D4361C">
            <w:pPr>
              <w:pStyle w:val="DotPointLVL1"/>
              <w:ind w:left="366" w:hanging="219"/>
            </w:pPr>
            <w:r w:rsidRPr="00003DC6">
              <w:rPr>
                <w:shd w:val="clear" w:color="auto" w:fill="FFFFFF"/>
              </w:rPr>
              <w:t>All executive to identify trends to identify student learning</w:t>
            </w:r>
          </w:p>
        </w:tc>
        <w:tc>
          <w:tcPr>
            <w:tcW w:w="3524" w:type="dxa"/>
            <w:shd w:val="clear" w:color="auto" w:fill="auto"/>
          </w:tcPr>
          <w:p w14:paraId="3F87410B" w14:textId="29864286" w:rsidR="000C169A" w:rsidRPr="00003DC6" w:rsidRDefault="000C169A" w:rsidP="00D4361C">
            <w:pPr>
              <w:pStyle w:val="DotPointLVL1"/>
              <w:ind w:left="366" w:hanging="219"/>
            </w:pPr>
            <w:r w:rsidRPr="00003DC6">
              <w:t xml:space="preserve">Clarity about data we collect and report on to staff, </w:t>
            </w:r>
            <w:proofErr w:type="gramStart"/>
            <w:r w:rsidR="00704D1F" w:rsidRPr="00003DC6">
              <w:t>students</w:t>
            </w:r>
            <w:proofErr w:type="gramEnd"/>
            <w:r w:rsidRPr="00003DC6">
              <w:t xml:space="preserve"> and parents/carers</w:t>
            </w:r>
          </w:p>
          <w:p w14:paraId="0325350C" w14:textId="781B0477" w:rsidR="009371B7" w:rsidRPr="00003DC6" w:rsidRDefault="00D4361C" w:rsidP="00D4361C">
            <w:pPr>
              <w:pStyle w:val="DotPointLVL1"/>
              <w:ind w:left="366" w:hanging="219"/>
            </w:pPr>
            <w:r w:rsidRPr="00003DC6">
              <w:t>Data skills audit of Executive</w:t>
            </w:r>
            <w:r w:rsidRPr="00003DC6"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14:paraId="2437B250" w14:textId="2EAFFD61" w:rsidR="000C169A" w:rsidRPr="00003DC6" w:rsidRDefault="00D4361C" w:rsidP="000C169A">
            <w:pPr>
              <w:pStyle w:val="DotPointLVL1"/>
              <w:ind w:left="366" w:hanging="219"/>
            </w:pPr>
            <w:r w:rsidRPr="00003DC6">
              <w:t>I</w:t>
            </w:r>
            <w:r w:rsidRPr="00003DC6">
              <w:t xml:space="preserve">mprove teacher </w:t>
            </w:r>
            <w:r w:rsidR="000C169A" w:rsidRPr="00003DC6">
              <w:t>awareness of student achievement (or lack of), allowing more targeted interventions and differentiation</w:t>
            </w:r>
            <w:r w:rsidR="00704D1F" w:rsidRPr="00003DC6">
              <w:t xml:space="preserve"> by teachers</w:t>
            </w:r>
          </w:p>
          <w:p w14:paraId="309850E0" w14:textId="0C8191F4" w:rsidR="00C51772" w:rsidRPr="00003DC6" w:rsidRDefault="00C51772" w:rsidP="000C169A">
            <w:pPr>
              <w:pStyle w:val="DotPointLVL1"/>
              <w:ind w:left="366" w:hanging="219"/>
            </w:pPr>
            <w:r w:rsidRPr="00003DC6">
              <w:t>Improved understanding of school wide and cohort data informing strategies and specific program adoption</w:t>
            </w:r>
          </w:p>
          <w:p w14:paraId="36366806" w14:textId="5B18445A" w:rsidR="00E33A48" w:rsidRPr="00003DC6" w:rsidRDefault="00E33A48" w:rsidP="00704D1F">
            <w:pPr>
              <w:pStyle w:val="DotPointLVL1"/>
              <w:numPr>
                <w:ilvl w:val="0"/>
                <w:numId w:val="0"/>
              </w:numPr>
              <w:ind w:left="720" w:hanging="360"/>
            </w:pPr>
          </w:p>
        </w:tc>
      </w:tr>
      <w:tr w:rsidR="00BB233A" w14:paraId="2440CDF7" w14:textId="77777777" w:rsidTr="00CC6CAB">
        <w:trPr>
          <w:tblHeader/>
          <w:jc w:val="center"/>
        </w:trPr>
        <w:tc>
          <w:tcPr>
            <w:tcW w:w="3524" w:type="dxa"/>
            <w:shd w:val="clear" w:color="auto" w:fill="00AEEF"/>
          </w:tcPr>
          <w:p w14:paraId="74547715" w14:textId="459107C5" w:rsidR="00BB233A" w:rsidRPr="00882120" w:rsidRDefault="00BB233A" w:rsidP="00CC6CAB">
            <w:pPr>
              <w:pStyle w:val="TableColumnHeaderLeft"/>
            </w:pPr>
          </w:p>
        </w:tc>
        <w:tc>
          <w:tcPr>
            <w:tcW w:w="3524" w:type="dxa"/>
            <w:shd w:val="clear" w:color="auto" w:fill="00AEEF"/>
          </w:tcPr>
          <w:p w14:paraId="676953A4" w14:textId="06DC1EAA" w:rsidR="00BB233A" w:rsidRPr="00882120" w:rsidRDefault="00BB233A" w:rsidP="00CC6CAB">
            <w:pPr>
              <w:pStyle w:val="TableColumnHeaderLeft"/>
            </w:pPr>
          </w:p>
        </w:tc>
        <w:tc>
          <w:tcPr>
            <w:tcW w:w="3524" w:type="dxa"/>
            <w:shd w:val="clear" w:color="auto" w:fill="00AEEF"/>
          </w:tcPr>
          <w:p w14:paraId="4EBAB3E3" w14:textId="2322BDE7" w:rsidR="00BB233A" w:rsidRPr="00247B71" w:rsidRDefault="00BB233A" w:rsidP="00CC6CAB">
            <w:pPr>
              <w:pStyle w:val="TableColumnHeaderLeft"/>
            </w:pPr>
          </w:p>
        </w:tc>
        <w:tc>
          <w:tcPr>
            <w:tcW w:w="3524" w:type="dxa"/>
            <w:shd w:val="clear" w:color="auto" w:fill="00AEEF"/>
          </w:tcPr>
          <w:p w14:paraId="6B93E839" w14:textId="652A4EED" w:rsidR="00BB233A" w:rsidRPr="002E73E5" w:rsidRDefault="00BB233A" w:rsidP="00CC6CAB">
            <w:pPr>
              <w:pStyle w:val="TableColumnHeaderLeft"/>
            </w:pPr>
          </w:p>
        </w:tc>
      </w:tr>
      <w:tr w:rsidR="00194DF6" w14:paraId="485E1ED2" w14:textId="77777777" w:rsidTr="00162782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49A7E08B" w14:textId="575780E5" w:rsidR="00194DF6" w:rsidRPr="00003DC6" w:rsidRDefault="00194DF6" w:rsidP="009371B7">
            <w:pPr>
              <w:pStyle w:val="TableBodyLeft"/>
              <w:rPr>
                <w:b/>
              </w:rPr>
            </w:pPr>
            <w:r w:rsidRPr="00003DC6">
              <w:rPr>
                <w:b/>
              </w:rPr>
              <w:t>ACTION</w:t>
            </w:r>
            <w:r w:rsidR="00E33A48" w:rsidRPr="00003DC6">
              <w:rPr>
                <w:b/>
              </w:rPr>
              <w:t xml:space="preserve"> 2</w:t>
            </w:r>
            <w:r w:rsidRPr="00003DC6">
              <w:rPr>
                <w:b/>
              </w:rPr>
              <w:t xml:space="preserve">: </w:t>
            </w:r>
            <w:r w:rsidR="00764C92" w:rsidRPr="00003DC6">
              <w:rPr>
                <w:bCs/>
              </w:rPr>
              <w:t>Build staff knowledge and language about data and analy</w:t>
            </w:r>
            <w:r w:rsidR="00CE5ADC" w:rsidRPr="00003DC6">
              <w:rPr>
                <w:bCs/>
              </w:rPr>
              <w:t>sis</w:t>
            </w:r>
          </w:p>
        </w:tc>
      </w:tr>
      <w:tr w:rsidR="00194DF6" w14:paraId="31A41D42" w14:textId="77777777" w:rsidTr="00162782">
        <w:trPr>
          <w:jc w:val="center"/>
        </w:trPr>
        <w:tc>
          <w:tcPr>
            <w:tcW w:w="3524" w:type="dxa"/>
            <w:shd w:val="clear" w:color="auto" w:fill="auto"/>
          </w:tcPr>
          <w:p w14:paraId="1E3EF842" w14:textId="77777777" w:rsidR="00194DF6" w:rsidRPr="00003DC6" w:rsidRDefault="00C51772" w:rsidP="00C51772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Time - including for teams to mee</w:t>
            </w:r>
            <w:r w:rsidRPr="00003DC6">
              <w:rPr>
                <w:shd w:val="clear" w:color="auto" w:fill="FFFFFF"/>
              </w:rPr>
              <w:t>t</w:t>
            </w:r>
          </w:p>
          <w:p w14:paraId="5DD12E76" w14:textId="3FE2A486" w:rsidR="00C51772" w:rsidRPr="00003DC6" w:rsidRDefault="00C51772" w:rsidP="00C51772">
            <w:pPr>
              <w:pStyle w:val="DotPointLVL1"/>
              <w:ind w:left="366" w:hanging="219"/>
            </w:pPr>
            <w:r w:rsidRPr="00003DC6">
              <w:rPr>
                <w:shd w:val="clear" w:color="auto" w:fill="FFFFFF"/>
              </w:rPr>
              <w:t>Data focus in meetings – agenda item</w:t>
            </w:r>
          </w:p>
        </w:tc>
        <w:tc>
          <w:tcPr>
            <w:tcW w:w="3524" w:type="dxa"/>
            <w:shd w:val="clear" w:color="auto" w:fill="auto"/>
          </w:tcPr>
          <w:p w14:paraId="3CF04C58" w14:textId="6FA95B94" w:rsidR="00194DF6" w:rsidRPr="00003DC6" w:rsidRDefault="00C51772" w:rsidP="00C51772">
            <w:pPr>
              <w:pStyle w:val="DotPointLVL1"/>
              <w:ind w:left="366" w:hanging="219"/>
            </w:pPr>
            <w:r w:rsidRPr="00003DC6">
              <w:rPr>
                <w:shd w:val="clear" w:color="auto" w:fill="FFFFFF"/>
              </w:rPr>
              <w:t>SLCs and experienced teachers</w:t>
            </w:r>
          </w:p>
        </w:tc>
        <w:tc>
          <w:tcPr>
            <w:tcW w:w="3524" w:type="dxa"/>
            <w:shd w:val="clear" w:color="auto" w:fill="auto"/>
          </w:tcPr>
          <w:p w14:paraId="072389C6" w14:textId="77777777" w:rsidR="001E639A" w:rsidRPr="00003DC6" w:rsidRDefault="00C51772" w:rsidP="00C51772">
            <w:pPr>
              <w:pStyle w:val="DotPointLVL1"/>
              <w:ind w:left="366" w:hanging="219"/>
            </w:pPr>
            <w:r w:rsidRPr="00003DC6">
              <w:rPr>
                <w:shd w:val="clear" w:color="auto" w:fill="FFFFFF"/>
              </w:rPr>
              <w:t>Revised assessment calendar and data plan</w:t>
            </w:r>
          </w:p>
          <w:p w14:paraId="428C7F8B" w14:textId="3E70FF14" w:rsidR="00C51772" w:rsidRPr="00003DC6" w:rsidRDefault="00C51772" w:rsidP="00C51772">
            <w:pPr>
              <w:pStyle w:val="DotPointLVL1"/>
              <w:ind w:left="366" w:hanging="219"/>
            </w:pPr>
            <w:r w:rsidRPr="00003DC6">
              <w:rPr>
                <w:shd w:val="clear" w:color="auto" w:fill="FFFFFF"/>
              </w:rPr>
              <w:t>Discipline dialogue procedures for staff meetings</w:t>
            </w:r>
          </w:p>
        </w:tc>
        <w:tc>
          <w:tcPr>
            <w:tcW w:w="3524" w:type="dxa"/>
            <w:shd w:val="clear" w:color="auto" w:fill="auto"/>
          </w:tcPr>
          <w:p w14:paraId="2305D409" w14:textId="5E70F691" w:rsidR="000A1F4E" w:rsidRPr="00003DC6" w:rsidRDefault="00C51772" w:rsidP="000F0410">
            <w:pPr>
              <w:pStyle w:val="DotPointLVL1"/>
              <w:ind w:left="366" w:hanging="219"/>
            </w:pPr>
            <w:r w:rsidRPr="00003DC6">
              <w:t>Improve teacher awareness of student achievement (or lack of), allowing more targeted interventions and differentiation by teachers</w:t>
            </w:r>
          </w:p>
        </w:tc>
      </w:tr>
      <w:tr w:rsidR="00764C92" w14:paraId="0A91B73F" w14:textId="77777777" w:rsidTr="000F5E2F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04354481" w14:textId="6787E5DF" w:rsidR="00764C92" w:rsidRPr="00003DC6" w:rsidRDefault="00CE5ADC" w:rsidP="000F0410">
            <w:pPr>
              <w:pStyle w:val="TableBodyLeft"/>
              <w:rPr>
                <w:b/>
              </w:rPr>
            </w:pPr>
            <w:r w:rsidRPr="00003DC6">
              <w:rPr>
                <w:b/>
              </w:rPr>
              <w:t xml:space="preserve">Action 3: </w:t>
            </w:r>
            <w:r w:rsidRPr="00003DC6">
              <w:rPr>
                <w:bCs/>
              </w:rPr>
              <w:t>PLC structures to support pedagogical reflection/practice</w:t>
            </w:r>
            <w:r w:rsidRPr="00003DC6">
              <w:rPr>
                <w:bCs/>
              </w:rPr>
              <w:t xml:space="preserve"> (Sem 2)</w:t>
            </w:r>
          </w:p>
        </w:tc>
      </w:tr>
      <w:tr w:rsidR="00764C92" w14:paraId="174E433D" w14:textId="77777777" w:rsidTr="00162782">
        <w:trPr>
          <w:jc w:val="center"/>
        </w:trPr>
        <w:tc>
          <w:tcPr>
            <w:tcW w:w="3524" w:type="dxa"/>
            <w:shd w:val="clear" w:color="auto" w:fill="auto"/>
          </w:tcPr>
          <w:p w14:paraId="2BDC5E61" w14:textId="77777777" w:rsidR="00C51772" w:rsidRPr="00003DC6" w:rsidRDefault="00C51772" w:rsidP="00ED064D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Identification of relevant PL</w:t>
            </w:r>
          </w:p>
          <w:p w14:paraId="32D9BF15" w14:textId="2E4864F1" w:rsidR="00ED064D" w:rsidRPr="00003DC6" w:rsidRDefault="00C51772" w:rsidP="00ED064D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6 s</w:t>
            </w:r>
            <w:r w:rsidR="00ED064D" w:rsidRPr="00003DC6">
              <w:rPr>
                <w:shd w:val="clear" w:color="auto" w:fill="FFFFFF"/>
              </w:rPr>
              <w:t xml:space="preserve">taff </w:t>
            </w:r>
            <w:r w:rsidRPr="00003DC6">
              <w:rPr>
                <w:shd w:val="clear" w:color="auto" w:fill="FFFFFF"/>
              </w:rPr>
              <w:t>attending</w:t>
            </w:r>
            <w:r w:rsidR="00ED064D" w:rsidRPr="00003DC6">
              <w:rPr>
                <w:shd w:val="clear" w:color="auto" w:fill="FFFFFF"/>
              </w:rPr>
              <w:t xml:space="preserve"> Pedagogical Framework</w:t>
            </w:r>
            <w:r w:rsidRPr="00003DC6">
              <w:rPr>
                <w:shd w:val="clear" w:color="auto" w:fill="FFFFFF"/>
              </w:rPr>
              <w:t xml:space="preserve"> PL </w:t>
            </w:r>
            <w:r w:rsidR="004272C2" w:rsidRPr="00003DC6">
              <w:rPr>
                <w:shd w:val="clear" w:color="auto" w:fill="FFFFFF"/>
              </w:rPr>
              <w:t>(relief cover)</w:t>
            </w:r>
          </w:p>
          <w:p w14:paraId="6684543B" w14:textId="2A554BFE" w:rsidR="00ED064D" w:rsidRPr="00003DC6" w:rsidRDefault="00ED064D" w:rsidP="00ED064D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ED pedagogical leaders to support staff</w:t>
            </w:r>
          </w:p>
          <w:p w14:paraId="0B8F6FEA" w14:textId="77777777" w:rsidR="00764C92" w:rsidRPr="00003DC6" w:rsidRDefault="00764C92" w:rsidP="000F0410">
            <w:pPr>
              <w:pStyle w:val="TableBodyLeft"/>
            </w:pPr>
          </w:p>
        </w:tc>
        <w:tc>
          <w:tcPr>
            <w:tcW w:w="3524" w:type="dxa"/>
            <w:shd w:val="clear" w:color="auto" w:fill="auto"/>
          </w:tcPr>
          <w:p w14:paraId="34D2D24B" w14:textId="77777777" w:rsidR="00764C92" w:rsidRPr="00003DC6" w:rsidRDefault="00ED064D" w:rsidP="00ED064D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The 6 staff members who undertake the PL</w:t>
            </w:r>
          </w:p>
          <w:p w14:paraId="18C51264" w14:textId="1B656BE8" w:rsidR="004272C2" w:rsidRPr="00003DC6" w:rsidRDefault="004272C2" w:rsidP="00ED064D">
            <w:pPr>
              <w:pStyle w:val="DotPointLVL1"/>
              <w:ind w:left="366" w:hanging="219"/>
            </w:pPr>
            <w:r w:rsidRPr="00003DC6">
              <w:rPr>
                <w:shd w:val="clear" w:color="auto" w:fill="FFFFFF"/>
              </w:rPr>
              <w:t>Senior executive</w:t>
            </w:r>
          </w:p>
        </w:tc>
        <w:tc>
          <w:tcPr>
            <w:tcW w:w="3524" w:type="dxa"/>
            <w:shd w:val="clear" w:color="auto" w:fill="auto"/>
          </w:tcPr>
          <w:p w14:paraId="02D66B79" w14:textId="2A5F70AE" w:rsidR="00ED064D" w:rsidRPr="00003DC6" w:rsidRDefault="00ED064D" w:rsidP="00ED064D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 xml:space="preserve">A common language </w:t>
            </w:r>
            <w:r w:rsidR="004272C2" w:rsidRPr="00003DC6">
              <w:rPr>
                <w:shd w:val="clear" w:color="auto" w:fill="FFFFFF"/>
              </w:rPr>
              <w:t xml:space="preserve">regarding pedagogy </w:t>
            </w:r>
            <w:r w:rsidRPr="00003DC6">
              <w:rPr>
                <w:shd w:val="clear" w:color="auto" w:fill="FFFFFF"/>
              </w:rPr>
              <w:t>across the school</w:t>
            </w:r>
          </w:p>
          <w:p w14:paraId="67757EE8" w14:textId="77777777" w:rsidR="00ED064D" w:rsidRPr="00003DC6" w:rsidRDefault="00ED064D" w:rsidP="00ED064D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Utilising the capacity of teachers within the school to build capacity of others in the school</w:t>
            </w:r>
          </w:p>
          <w:p w14:paraId="219280E5" w14:textId="77777777" w:rsidR="00ED064D" w:rsidRPr="00003DC6" w:rsidRDefault="00ED064D" w:rsidP="00ED064D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A common set of agreed approaches to teaching and learning </w:t>
            </w:r>
          </w:p>
          <w:p w14:paraId="5B5F4A83" w14:textId="77777777" w:rsidR="00764C92" w:rsidRPr="00003DC6" w:rsidRDefault="00764C92" w:rsidP="000F0410">
            <w:pPr>
              <w:pStyle w:val="TableBodyLeft"/>
            </w:pPr>
          </w:p>
        </w:tc>
        <w:tc>
          <w:tcPr>
            <w:tcW w:w="3524" w:type="dxa"/>
            <w:shd w:val="clear" w:color="auto" w:fill="auto"/>
          </w:tcPr>
          <w:p w14:paraId="62E75351" w14:textId="77777777" w:rsidR="00764C92" w:rsidRPr="00003DC6" w:rsidRDefault="004272C2" w:rsidP="004272C2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Improved quality of pedagogy to meet the diverse needs of students</w:t>
            </w:r>
          </w:p>
          <w:p w14:paraId="71BA68AA" w14:textId="4A59D3E0" w:rsidR="004272C2" w:rsidRPr="00003DC6" w:rsidRDefault="004272C2" w:rsidP="004272C2">
            <w:pPr>
              <w:pStyle w:val="DotPointLVL1"/>
              <w:ind w:left="366" w:hanging="219"/>
            </w:pPr>
            <w:r w:rsidRPr="00003DC6">
              <w:rPr>
                <w:shd w:val="clear" w:color="auto" w:fill="FFFFFF"/>
              </w:rPr>
              <w:t>Options for students to engage in learning in different ways</w:t>
            </w:r>
          </w:p>
        </w:tc>
      </w:tr>
    </w:tbl>
    <w:p w14:paraId="63AC1931" w14:textId="77777777" w:rsidR="008E63DF" w:rsidRPr="000F0410" w:rsidRDefault="008E63DF" w:rsidP="000F0410">
      <w:pPr>
        <w:pStyle w:val="BodyText"/>
      </w:pPr>
    </w:p>
    <w:p w14:paraId="5C4F6014" w14:textId="77777777" w:rsidR="006F350C" w:rsidRPr="000F0410" w:rsidRDefault="006F350C" w:rsidP="000F0410">
      <w:pPr>
        <w:pStyle w:val="BodyText"/>
        <w:sectPr w:rsidR="006F350C" w:rsidRPr="000F0410" w:rsidSect="00003DC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C25B761" w14:textId="77777777" w:rsidR="00155F05" w:rsidRPr="000F0410" w:rsidRDefault="00155F05" w:rsidP="00155F05">
      <w:pPr>
        <w:pStyle w:val="Heading2"/>
        <w:rPr>
          <w:color w:val="auto"/>
        </w:rPr>
      </w:pPr>
      <w:r w:rsidRPr="000F0410">
        <w:lastRenderedPageBreak/>
        <w:t xml:space="preserve">Priority </w:t>
      </w:r>
      <w:r w:rsidR="00DC2AD7">
        <w:t>2</w:t>
      </w:r>
      <w:r w:rsidRPr="000F0410">
        <w:t>:</w:t>
      </w:r>
      <w:r w:rsidRPr="000F0410">
        <w:rPr>
          <w:color w:val="auto"/>
        </w:rPr>
        <w:tab/>
      </w:r>
      <w:r w:rsidR="00204197">
        <w:rPr>
          <w:color w:val="auto"/>
        </w:rPr>
        <w:t>T</w:t>
      </w:r>
      <w:r w:rsidR="00204197">
        <w:rPr>
          <w:szCs w:val="24"/>
        </w:rPr>
        <w:t>o develop a culture of inquiry across the school</w:t>
      </w:r>
    </w:p>
    <w:p w14:paraId="7DF8F574" w14:textId="77777777" w:rsidR="00155F05" w:rsidRDefault="00155F05" w:rsidP="00155F05">
      <w:pPr>
        <w:pStyle w:val="Heading3"/>
      </w:pPr>
      <w:r>
        <w:t>Strategies</w:t>
      </w:r>
    </w:p>
    <w:p w14:paraId="70A0DE55" w14:textId="667E5B70" w:rsidR="00CE50D4" w:rsidRPr="004549C2" w:rsidRDefault="00CE50D4" w:rsidP="00C459CE">
      <w:pPr>
        <w:pStyle w:val="NumberedList"/>
        <w:numPr>
          <w:ilvl w:val="0"/>
          <w:numId w:val="3"/>
        </w:numPr>
        <w:rPr>
          <w:rFonts w:eastAsia="Times New Roman"/>
          <w:lang w:eastAsia="x-none"/>
        </w:rPr>
      </w:pPr>
      <w:r w:rsidRPr="004549C2">
        <w:rPr>
          <w:rFonts w:eastAsia="Times New Roman"/>
          <w:lang w:eastAsia="x-none"/>
        </w:rPr>
        <w:t>Further embed Inquiry learning</w:t>
      </w:r>
    </w:p>
    <w:p w14:paraId="4BF4DE65" w14:textId="77777777" w:rsidR="00155F05" w:rsidRDefault="00155F05" w:rsidP="00155F05">
      <w:pPr>
        <w:pStyle w:val="Heading3"/>
      </w:pPr>
      <w:r>
        <w:t>Actions</w:t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155F05" w14:paraId="2A74F161" w14:textId="77777777" w:rsidTr="004B386E">
        <w:trPr>
          <w:tblHeader/>
          <w:jc w:val="center"/>
        </w:trPr>
        <w:tc>
          <w:tcPr>
            <w:tcW w:w="3524" w:type="dxa"/>
            <w:shd w:val="clear" w:color="auto" w:fill="00AEEF"/>
          </w:tcPr>
          <w:p w14:paraId="0C04AFA5" w14:textId="77777777" w:rsidR="00155F05" w:rsidRPr="00882120" w:rsidRDefault="00155F05" w:rsidP="00EA1296">
            <w:pPr>
              <w:pStyle w:val="TableColumnHeaderLeft"/>
            </w:pPr>
            <w:r w:rsidRPr="00882120">
              <w:t xml:space="preserve">What </w:t>
            </w:r>
            <w:r w:rsidRPr="00882120">
              <w:rPr>
                <w:b/>
                <w:i/>
                <w:u w:val="single"/>
              </w:rPr>
              <w:t>resources</w:t>
            </w:r>
            <w:r w:rsidRPr="00882120">
              <w:t xml:space="preserve"> are needed?</w:t>
            </w:r>
          </w:p>
        </w:tc>
        <w:tc>
          <w:tcPr>
            <w:tcW w:w="3524" w:type="dxa"/>
            <w:shd w:val="clear" w:color="auto" w:fill="00AEEF"/>
          </w:tcPr>
          <w:p w14:paraId="2AD31673" w14:textId="77777777" w:rsidR="00155F05" w:rsidRPr="00882120" w:rsidRDefault="00155F05" w:rsidP="00EA1296">
            <w:pPr>
              <w:pStyle w:val="TableColumnHeaderLeft"/>
            </w:pPr>
            <w:r w:rsidRPr="00882120">
              <w:t xml:space="preserve">Who will </w:t>
            </w:r>
            <w:r w:rsidRPr="00882120">
              <w:rPr>
                <w:b/>
                <w:i/>
                <w:u w:val="single"/>
              </w:rPr>
              <w:t>lead</w:t>
            </w:r>
            <w:r w:rsidRPr="00882120">
              <w:t xml:space="preserve"> this action?</w:t>
            </w:r>
          </w:p>
        </w:tc>
        <w:tc>
          <w:tcPr>
            <w:tcW w:w="3524" w:type="dxa"/>
            <w:shd w:val="clear" w:color="auto" w:fill="00AEEF"/>
          </w:tcPr>
          <w:p w14:paraId="7F10F485" w14:textId="77777777" w:rsidR="00155F05" w:rsidRPr="00247B71" w:rsidRDefault="00155F05" w:rsidP="00EA1296">
            <w:pPr>
              <w:pStyle w:val="TableColumnHeaderLeft"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 xml:space="preserve"> to support this action?</w:t>
            </w:r>
          </w:p>
        </w:tc>
        <w:tc>
          <w:tcPr>
            <w:tcW w:w="3524" w:type="dxa"/>
            <w:shd w:val="clear" w:color="auto" w:fill="00AEEF"/>
          </w:tcPr>
          <w:p w14:paraId="48817BBE" w14:textId="77777777" w:rsidR="00155F05" w:rsidRPr="002E73E5" w:rsidRDefault="00155F05" w:rsidP="00EA1296">
            <w:pPr>
              <w:pStyle w:val="TableColumnHeaderLeft"/>
            </w:pPr>
            <w:r w:rsidRPr="002E73E5">
              <w:t xml:space="preserve">How will this action </w:t>
            </w:r>
            <w:r w:rsidRPr="002E73E5">
              <w:rPr>
                <w:b/>
                <w:i/>
                <w:u w:val="single"/>
              </w:rPr>
              <w:t>impact</w:t>
            </w:r>
            <w:r w:rsidRPr="002E73E5">
              <w:t xml:space="preserve"> on student learning?</w:t>
            </w:r>
          </w:p>
        </w:tc>
      </w:tr>
      <w:tr w:rsidR="00155F05" w14:paraId="237D004F" w14:textId="77777777" w:rsidTr="00162782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7E732C72" w14:textId="75275601" w:rsidR="00155F05" w:rsidRPr="00003DC6" w:rsidRDefault="00155F05" w:rsidP="00CE5ADC">
            <w:pPr>
              <w:pStyle w:val="NumberedList"/>
              <w:numPr>
                <w:ilvl w:val="0"/>
                <w:numId w:val="0"/>
              </w:numPr>
              <w:ind w:left="357" w:hanging="357"/>
            </w:pPr>
            <w:r w:rsidRPr="00003DC6">
              <w:rPr>
                <w:b/>
              </w:rPr>
              <w:t>ACTION</w:t>
            </w:r>
            <w:r w:rsidR="00E33A48" w:rsidRPr="00003DC6">
              <w:rPr>
                <w:b/>
              </w:rPr>
              <w:t xml:space="preserve"> 1</w:t>
            </w:r>
            <w:r w:rsidRPr="00003DC6">
              <w:t xml:space="preserve">: </w:t>
            </w:r>
            <w:r w:rsidR="00CE5ADC" w:rsidRPr="00003DC6">
              <w:rPr>
                <w:rFonts w:cstheme="minorHAnsi"/>
              </w:rPr>
              <w:t xml:space="preserve">Embed inquiry practices in curriculum documentations </w:t>
            </w:r>
            <w:proofErr w:type="spellStart"/>
            <w:r w:rsidR="00CE5ADC" w:rsidRPr="00003DC6">
              <w:rPr>
                <w:rFonts w:cstheme="minorHAnsi"/>
              </w:rPr>
              <w:t>ie</w:t>
            </w:r>
            <w:proofErr w:type="spellEnd"/>
            <w:r w:rsidR="00CE5ADC" w:rsidRPr="00003DC6">
              <w:rPr>
                <w:rFonts w:cstheme="minorHAnsi"/>
              </w:rPr>
              <w:t>. Unit planners</w:t>
            </w:r>
          </w:p>
        </w:tc>
      </w:tr>
      <w:tr w:rsidR="00316F4B" w:rsidRPr="00316F4B" w14:paraId="68E2A733" w14:textId="77777777" w:rsidTr="00162782">
        <w:trPr>
          <w:jc w:val="center"/>
        </w:trPr>
        <w:tc>
          <w:tcPr>
            <w:tcW w:w="3524" w:type="dxa"/>
            <w:shd w:val="clear" w:color="auto" w:fill="auto"/>
          </w:tcPr>
          <w:p w14:paraId="3A43CEDE" w14:textId="77777777" w:rsidR="00ED064D" w:rsidRPr="00003DC6" w:rsidRDefault="00ED064D" w:rsidP="00525A00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PL for staff (completed Jan 2021)</w:t>
            </w:r>
          </w:p>
          <w:p w14:paraId="5663F037" w14:textId="77777777" w:rsidR="00ED064D" w:rsidRPr="00003DC6" w:rsidRDefault="00ED064D" w:rsidP="00525A00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Time and planning days</w:t>
            </w:r>
          </w:p>
          <w:p w14:paraId="53035874" w14:textId="77777777" w:rsidR="00ED064D" w:rsidRPr="00003DC6" w:rsidRDefault="00ED064D" w:rsidP="00525A00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A commitment of staff to inquiry in teaching </w:t>
            </w:r>
          </w:p>
          <w:p w14:paraId="42653840" w14:textId="77777777" w:rsidR="00ED064D" w:rsidRPr="00003DC6" w:rsidRDefault="00ED064D" w:rsidP="00525A00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Showcase of best practice</w:t>
            </w:r>
          </w:p>
          <w:p w14:paraId="30BFA4D9" w14:textId="4FEB3BB2" w:rsidR="00155F05" w:rsidRPr="00003DC6" w:rsidRDefault="00ED064D" w:rsidP="00525A00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Time for reflection and moderation within teams/faculties</w:t>
            </w:r>
          </w:p>
        </w:tc>
        <w:tc>
          <w:tcPr>
            <w:tcW w:w="3524" w:type="dxa"/>
            <w:shd w:val="clear" w:color="auto" w:fill="auto"/>
          </w:tcPr>
          <w:p w14:paraId="4E9CC391" w14:textId="77777777" w:rsidR="00155F05" w:rsidRPr="00003DC6" w:rsidRDefault="004272C2" w:rsidP="004272C2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 xml:space="preserve">SLCs </w:t>
            </w:r>
          </w:p>
          <w:p w14:paraId="4323EC74" w14:textId="2CB19955" w:rsidR="004272C2" w:rsidRPr="00003DC6" w:rsidRDefault="004272C2" w:rsidP="004272C2">
            <w:pPr>
              <w:pStyle w:val="DotPointLVL1"/>
              <w:ind w:left="366" w:hanging="219"/>
              <w:rPr>
                <w:sz w:val="24"/>
              </w:rPr>
            </w:pPr>
            <w:r w:rsidRPr="00003DC6">
              <w:rPr>
                <w:shd w:val="clear" w:color="auto" w:fill="FFFFFF"/>
              </w:rPr>
              <w:t>Experienced/skilled classroom teachers</w:t>
            </w:r>
          </w:p>
        </w:tc>
        <w:tc>
          <w:tcPr>
            <w:tcW w:w="3524" w:type="dxa"/>
            <w:shd w:val="clear" w:color="auto" w:fill="auto"/>
          </w:tcPr>
          <w:p w14:paraId="49433384" w14:textId="77777777" w:rsidR="00525A00" w:rsidRPr="00003DC6" w:rsidRDefault="00525A00" w:rsidP="00525A00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A culture of acceptance of change of practice </w:t>
            </w:r>
          </w:p>
          <w:p w14:paraId="144153D7" w14:textId="77777777" w:rsidR="006253F9" w:rsidRPr="00003DC6" w:rsidRDefault="004272C2" w:rsidP="00525A00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 xml:space="preserve">Mechanisms for </w:t>
            </w:r>
            <w:r w:rsidR="006253F9" w:rsidRPr="00003DC6">
              <w:rPr>
                <w:shd w:val="clear" w:color="auto" w:fill="FFFFFF"/>
              </w:rPr>
              <w:t>checking that the p</w:t>
            </w:r>
            <w:r w:rsidR="00525A00" w:rsidRPr="00003DC6">
              <w:rPr>
                <w:shd w:val="clear" w:color="auto" w:fill="FFFFFF"/>
              </w:rPr>
              <w:t xml:space="preserve">lanned </w:t>
            </w:r>
            <w:r w:rsidR="006253F9" w:rsidRPr="00003DC6">
              <w:rPr>
                <w:shd w:val="clear" w:color="auto" w:fill="FFFFFF"/>
              </w:rPr>
              <w:t>c</w:t>
            </w:r>
            <w:r w:rsidR="00525A00" w:rsidRPr="00003DC6">
              <w:rPr>
                <w:shd w:val="clear" w:color="auto" w:fill="FFFFFF"/>
              </w:rPr>
              <w:t xml:space="preserve">urriculum is </w:t>
            </w:r>
            <w:r w:rsidR="006253F9" w:rsidRPr="00003DC6">
              <w:rPr>
                <w:shd w:val="clear" w:color="auto" w:fill="FFFFFF"/>
              </w:rPr>
              <w:t xml:space="preserve">the </w:t>
            </w:r>
            <w:r w:rsidR="00525A00" w:rsidRPr="00003DC6">
              <w:rPr>
                <w:shd w:val="clear" w:color="auto" w:fill="FFFFFF"/>
              </w:rPr>
              <w:t xml:space="preserve">delivered curriculum </w:t>
            </w:r>
          </w:p>
          <w:p w14:paraId="321C3A2D" w14:textId="293A26BD" w:rsidR="00525A00" w:rsidRPr="00003DC6" w:rsidRDefault="00525A00" w:rsidP="00525A00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Secondary MYP Unit plans / Primary inquiry unit planning</w:t>
            </w:r>
          </w:p>
          <w:p w14:paraId="7FB118E5" w14:textId="5C7CEB56" w:rsidR="00247A79" w:rsidRPr="00003DC6" w:rsidRDefault="006253F9" w:rsidP="00525A00">
            <w:pPr>
              <w:pStyle w:val="DotPointLVL1"/>
              <w:ind w:left="366" w:hanging="219"/>
            </w:pPr>
            <w:r w:rsidRPr="00003DC6">
              <w:rPr>
                <w:shd w:val="clear" w:color="auto" w:fill="FFFFFF"/>
              </w:rPr>
              <w:t>Mechanism for gathering s</w:t>
            </w:r>
            <w:r w:rsidR="00525A00" w:rsidRPr="00003DC6">
              <w:rPr>
                <w:shd w:val="clear" w:color="auto" w:fill="FFFFFF"/>
              </w:rPr>
              <w:t>tudent reflection/student voice on the impact of inquiry learning</w:t>
            </w:r>
          </w:p>
        </w:tc>
        <w:tc>
          <w:tcPr>
            <w:tcW w:w="3524" w:type="dxa"/>
            <w:shd w:val="clear" w:color="auto" w:fill="auto"/>
          </w:tcPr>
          <w:p w14:paraId="7574FBFC" w14:textId="77777777" w:rsidR="00155F05" w:rsidRPr="00003DC6" w:rsidRDefault="00525A00" w:rsidP="00525A00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Greater voice and autonomy in student learning</w:t>
            </w:r>
          </w:p>
          <w:p w14:paraId="0BD02023" w14:textId="77777777" w:rsidR="006253F9" w:rsidRPr="00003DC6" w:rsidRDefault="006253F9" w:rsidP="00525A00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Real world/relevant learning options for students</w:t>
            </w:r>
          </w:p>
          <w:p w14:paraId="48150160" w14:textId="0921ED19" w:rsidR="006253F9" w:rsidRPr="00003DC6" w:rsidRDefault="006253F9" w:rsidP="00525A00">
            <w:pPr>
              <w:pStyle w:val="DotPointLVL1"/>
              <w:ind w:left="366" w:hanging="219"/>
            </w:pPr>
            <w:r w:rsidRPr="00003DC6">
              <w:rPr>
                <w:shd w:val="clear" w:color="auto" w:fill="FFFFFF"/>
              </w:rPr>
              <w:t>Opportunities to draw on multiple learning disciplines as part of the learning process</w:t>
            </w:r>
          </w:p>
        </w:tc>
      </w:tr>
    </w:tbl>
    <w:p w14:paraId="084B4744" w14:textId="77777777" w:rsidR="00055125" w:rsidRPr="000F0410" w:rsidRDefault="00055125" w:rsidP="00155F05">
      <w:pPr>
        <w:pStyle w:val="BodyText"/>
        <w:sectPr w:rsidR="00055125" w:rsidRPr="000F0410" w:rsidSect="00003DC6">
          <w:head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AF9AE5B" w14:textId="77777777" w:rsidR="00204197" w:rsidRPr="00777A0E" w:rsidRDefault="00155F05" w:rsidP="00204197">
      <w:pPr>
        <w:pStyle w:val="Heading3"/>
        <w:rPr>
          <w:rFonts w:asciiTheme="minorHAnsi" w:hAnsiTheme="minorHAnsi"/>
          <w:i w:val="0"/>
        </w:rPr>
      </w:pPr>
      <w:r w:rsidRPr="000F0410">
        <w:lastRenderedPageBreak/>
        <w:t xml:space="preserve">Priority </w:t>
      </w:r>
      <w:r w:rsidR="00DC2AD7">
        <w:t>3</w:t>
      </w:r>
      <w:r w:rsidRPr="000F0410">
        <w:t>:</w:t>
      </w:r>
      <w:r w:rsidRPr="000F0410">
        <w:rPr>
          <w:color w:val="auto"/>
        </w:rPr>
        <w:tab/>
      </w:r>
      <w:r w:rsidR="00204197" w:rsidRPr="00777A0E">
        <w:rPr>
          <w:rFonts w:asciiTheme="minorHAnsi" w:hAnsiTheme="minorHAnsi"/>
          <w:i w:val="0"/>
          <w:sz w:val="28"/>
          <w:szCs w:val="28"/>
        </w:rPr>
        <w:t>To strengthen communication and collaboration across the school community</w:t>
      </w:r>
    </w:p>
    <w:p w14:paraId="67A2AACE" w14:textId="77777777" w:rsidR="00155F05" w:rsidRDefault="00155F05" w:rsidP="00155F05">
      <w:pPr>
        <w:pStyle w:val="Heading3"/>
      </w:pPr>
      <w:r>
        <w:t>Strategies</w:t>
      </w:r>
    </w:p>
    <w:p w14:paraId="19FE7F81" w14:textId="536E3647" w:rsidR="00764C92" w:rsidRPr="00003DC6" w:rsidRDefault="00764C92" w:rsidP="00C459CE">
      <w:pPr>
        <w:pStyle w:val="NumberedList"/>
        <w:numPr>
          <w:ilvl w:val="0"/>
          <w:numId w:val="3"/>
        </w:numPr>
      </w:pPr>
      <w:r w:rsidRPr="00003DC6">
        <w:rPr>
          <w:rFonts w:eastAsia="Times New Roman"/>
          <w:lang w:eastAsia="x-none"/>
        </w:rPr>
        <w:t>Identify/Assess/Evaluate data related to communication</w:t>
      </w:r>
    </w:p>
    <w:p w14:paraId="33ADF8A8" w14:textId="34292670" w:rsidR="00CE50D4" w:rsidRPr="00003DC6" w:rsidRDefault="00CE50D4" w:rsidP="00C459CE">
      <w:pPr>
        <w:pStyle w:val="NumberedList"/>
        <w:numPr>
          <w:ilvl w:val="0"/>
          <w:numId w:val="3"/>
        </w:numPr>
        <w:rPr>
          <w:rFonts w:eastAsia="Times New Roman"/>
          <w:lang w:eastAsia="x-none"/>
        </w:rPr>
      </w:pPr>
      <w:r w:rsidRPr="00003DC6">
        <w:rPr>
          <w:rFonts w:eastAsia="Times New Roman"/>
          <w:lang w:eastAsia="x-none"/>
        </w:rPr>
        <w:t>Identify mechanisms for increasing student voice and responding to concerns</w:t>
      </w:r>
    </w:p>
    <w:p w14:paraId="2DE0E094" w14:textId="77777777" w:rsidR="00155F05" w:rsidRPr="00003DC6" w:rsidRDefault="00155F05" w:rsidP="00155F05">
      <w:pPr>
        <w:pStyle w:val="Heading3"/>
        <w:rPr>
          <w:color w:val="auto"/>
        </w:rPr>
      </w:pPr>
      <w:r w:rsidRPr="00003DC6">
        <w:rPr>
          <w:color w:val="auto"/>
        </w:rPr>
        <w:t>Actions</w:t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155F05" w14:paraId="17EDF7F6" w14:textId="77777777" w:rsidTr="004B386E">
        <w:trPr>
          <w:tblHeader/>
          <w:jc w:val="center"/>
        </w:trPr>
        <w:tc>
          <w:tcPr>
            <w:tcW w:w="3524" w:type="dxa"/>
            <w:shd w:val="clear" w:color="auto" w:fill="00AEEF"/>
          </w:tcPr>
          <w:p w14:paraId="271464E9" w14:textId="77777777" w:rsidR="00155F05" w:rsidRPr="00427133" w:rsidRDefault="00155F05" w:rsidP="00EA1296">
            <w:pPr>
              <w:pStyle w:val="TableColumnHeaderLeft"/>
              <w:rPr>
                <w:color w:val="auto"/>
              </w:rPr>
            </w:pPr>
            <w:r w:rsidRPr="00427133">
              <w:rPr>
                <w:color w:val="auto"/>
              </w:rPr>
              <w:t xml:space="preserve">What </w:t>
            </w:r>
            <w:r w:rsidRPr="00427133">
              <w:rPr>
                <w:b/>
                <w:i/>
                <w:color w:val="auto"/>
                <w:u w:val="single"/>
              </w:rPr>
              <w:t>resources</w:t>
            </w:r>
            <w:r w:rsidRPr="00427133">
              <w:rPr>
                <w:color w:val="auto"/>
              </w:rPr>
              <w:t xml:space="preserve"> are needed?</w:t>
            </w:r>
          </w:p>
        </w:tc>
        <w:tc>
          <w:tcPr>
            <w:tcW w:w="3524" w:type="dxa"/>
            <w:shd w:val="clear" w:color="auto" w:fill="00AEEF"/>
          </w:tcPr>
          <w:p w14:paraId="546FFBA3" w14:textId="77777777" w:rsidR="00155F05" w:rsidRPr="004F027F" w:rsidRDefault="00155F05" w:rsidP="00EA1296">
            <w:pPr>
              <w:pStyle w:val="TableColumnHeaderLeft"/>
              <w:rPr>
                <w:rFonts w:asciiTheme="minorHAnsi" w:hAnsiTheme="minorHAnsi" w:cstheme="minorHAnsi"/>
              </w:rPr>
            </w:pPr>
            <w:r w:rsidRPr="004F027F">
              <w:rPr>
                <w:rFonts w:asciiTheme="minorHAnsi" w:hAnsiTheme="minorHAnsi" w:cstheme="minorHAnsi"/>
              </w:rPr>
              <w:t xml:space="preserve">Who will </w:t>
            </w:r>
            <w:r w:rsidRPr="004F027F">
              <w:rPr>
                <w:rFonts w:asciiTheme="minorHAnsi" w:hAnsiTheme="minorHAnsi" w:cstheme="minorHAnsi"/>
                <w:b/>
                <w:i/>
                <w:u w:val="single"/>
              </w:rPr>
              <w:t>lead</w:t>
            </w:r>
            <w:r w:rsidRPr="004F027F">
              <w:rPr>
                <w:rFonts w:asciiTheme="minorHAnsi" w:hAnsiTheme="minorHAnsi" w:cstheme="minorHAnsi"/>
              </w:rPr>
              <w:t xml:space="preserve"> this action?</w:t>
            </w:r>
          </w:p>
        </w:tc>
        <w:tc>
          <w:tcPr>
            <w:tcW w:w="3524" w:type="dxa"/>
            <w:shd w:val="clear" w:color="auto" w:fill="00AEEF"/>
          </w:tcPr>
          <w:p w14:paraId="67157082" w14:textId="77777777" w:rsidR="00155F05" w:rsidRPr="00247B71" w:rsidRDefault="00155F05" w:rsidP="00EA1296">
            <w:pPr>
              <w:pStyle w:val="TableColumnHeaderLeft"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 xml:space="preserve"> to support this action?</w:t>
            </w:r>
          </w:p>
        </w:tc>
        <w:tc>
          <w:tcPr>
            <w:tcW w:w="3524" w:type="dxa"/>
            <w:shd w:val="clear" w:color="auto" w:fill="00AEEF"/>
          </w:tcPr>
          <w:p w14:paraId="3C8A1254" w14:textId="77777777" w:rsidR="00155F05" w:rsidRPr="002E73E5" w:rsidRDefault="00155F05" w:rsidP="00EA1296">
            <w:pPr>
              <w:pStyle w:val="TableColumnHeaderLeft"/>
            </w:pPr>
            <w:r w:rsidRPr="002E73E5">
              <w:t xml:space="preserve">How will this action </w:t>
            </w:r>
            <w:r w:rsidRPr="002E73E5">
              <w:rPr>
                <w:b/>
                <w:i/>
                <w:u w:val="single"/>
              </w:rPr>
              <w:t>impact</w:t>
            </w:r>
            <w:r w:rsidRPr="002E73E5">
              <w:t xml:space="preserve"> on student learning?</w:t>
            </w:r>
          </w:p>
        </w:tc>
      </w:tr>
      <w:tr w:rsidR="00155F05" w14:paraId="199B10D3" w14:textId="77777777" w:rsidTr="00162782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1F4E4ADF" w14:textId="26447425" w:rsidR="00155F05" w:rsidRPr="00003DC6" w:rsidRDefault="00155F05" w:rsidP="00051FE9">
            <w:pPr>
              <w:pStyle w:val="NumberedList"/>
              <w:numPr>
                <w:ilvl w:val="0"/>
                <w:numId w:val="0"/>
              </w:numPr>
              <w:ind w:left="357" w:hanging="357"/>
              <w:rPr>
                <w:rFonts w:cstheme="minorHAnsi"/>
              </w:rPr>
            </w:pPr>
            <w:r w:rsidRPr="00003DC6">
              <w:rPr>
                <w:rFonts w:cstheme="minorHAnsi"/>
                <w:b/>
                <w:bCs/>
              </w:rPr>
              <w:t>ACTION</w:t>
            </w:r>
            <w:r w:rsidR="009C604D" w:rsidRPr="00003DC6">
              <w:rPr>
                <w:rFonts w:cstheme="minorHAnsi"/>
                <w:b/>
                <w:bCs/>
              </w:rPr>
              <w:t xml:space="preserve"> 1</w:t>
            </w:r>
            <w:r w:rsidRPr="00003DC6">
              <w:rPr>
                <w:rFonts w:cstheme="minorHAnsi"/>
              </w:rPr>
              <w:t xml:space="preserve">: </w:t>
            </w:r>
            <w:r w:rsidR="00051FE9" w:rsidRPr="00003DC6">
              <w:rPr>
                <w:rFonts w:cstheme="minorHAnsi"/>
              </w:rPr>
              <w:t xml:space="preserve">Analysis of the </w:t>
            </w:r>
            <w:r w:rsidR="00051FE9" w:rsidRPr="00003DC6">
              <w:rPr>
                <w:rFonts w:cstheme="minorHAnsi"/>
              </w:rPr>
              <w:t>effective</w:t>
            </w:r>
            <w:r w:rsidR="00051FE9" w:rsidRPr="00003DC6">
              <w:rPr>
                <w:rFonts w:cstheme="minorHAnsi"/>
              </w:rPr>
              <w:t>ness</w:t>
            </w:r>
            <w:r w:rsidR="00051FE9" w:rsidRPr="00003DC6">
              <w:rPr>
                <w:rFonts w:cstheme="minorHAnsi"/>
              </w:rPr>
              <w:t xml:space="preserve"> </w:t>
            </w:r>
            <w:r w:rsidR="00227769" w:rsidRPr="00003DC6">
              <w:rPr>
                <w:rFonts w:cstheme="minorHAnsi"/>
              </w:rPr>
              <w:t>of</w:t>
            </w:r>
            <w:r w:rsidR="00051FE9" w:rsidRPr="00003DC6">
              <w:rPr>
                <w:rFonts w:cstheme="minorHAnsi"/>
              </w:rPr>
              <w:t xml:space="preserve"> our communication </w:t>
            </w:r>
            <w:r w:rsidR="00051FE9" w:rsidRPr="00003DC6">
              <w:rPr>
                <w:rFonts w:cstheme="minorHAnsi"/>
              </w:rPr>
              <w:t>with/</w:t>
            </w:r>
            <w:r w:rsidR="00051FE9" w:rsidRPr="00003DC6">
              <w:rPr>
                <w:rFonts w:cstheme="minorHAnsi"/>
              </w:rPr>
              <w:t xml:space="preserve">between staff, </w:t>
            </w:r>
            <w:proofErr w:type="gramStart"/>
            <w:r w:rsidR="00051FE9" w:rsidRPr="00003DC6">
              <w:rPr>
                <w:rFonts w:cstheme="minorHAnsi"/>
              </w:rPr>
              <w:t>students</w:t>
            </w:r>
            <w:proofErr w:type="gramEnd"/>
            <w:r w:rsidR="00051FE9" w:rsidRPr="00003DC6">
              <w:rPr>
                <w:rFonts w:cstheme="minorHAnsi"/>
              </w:rPr>
              <w:t xml:space="preserve"> and the parents.</w:t>
            </w:r>
          </w:p>
        </w:tc>
      </w:tr>
      <w:tr w:rsidR="00155F05" w14:paraId="46DAA1F5" w14:textId="77777777" w:rsidTr="00003DC6">
        <w:trPr>
          <w:jc w:val="center"/>
        </w:trPr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</w:tcPr>
          <w:p w14:paraId="5A3C6848" w14:textId="77777777" w:rsidR="00525A00" w:rsidRPr="00003DC6" w:rsidRDefault="00525A00" w:rsidP="003B440D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A communication audit tool</w:t>
            </w:r>
          </w:p>
          <w:p w14:paraId="5A7986BE" w14:textId="43DC77CA" w:rsidR="00525A00" w:rsidRPr="00003DC6" w:rsidRDefault="006253F9" w:rsidP="003B440D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Time to produce a</w:t>
            </w:r>
            <w:r w:rsidR="00525A00" w:rsidRPr="00003DC6">
              <w:rPr>
                <w:shd w:val="clear" w:color="auto" w:fill="FFFFFF"/>
              </w:rPr>
              <w:t xml:space="preserve"> standard form/protocol of communication</w:t>
            </w:r>
          </w:p>
          <w:p w14:paraId="5A58460E" w14:textId="77777777" w:rsidR="00525A00" w:rsidRPr="00003DC6" w:rsidRDefault="00525A00" w:rsidP="003B440D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Communication tool that allows tracking</w:t>
            </w:r>
          </w:p>
          <w:p w14:paraId="361D0511" w14:textId="77777777" w:rsidR="00DE58AF" w:rsidRPr="00003DC6" w:rsidRDefault="00525A00" w:rsidP="003B440D">
            <w:pPr>
              <w:pStyle w:val="DotPointLVL1"/>
              <w:ind w:left="366" w:hanging="219"/>
            </w:pPr>
            <w:r w:rsidRPr="00003DC6">
              <w:rPr>
                <w:shd w:val="clear" w:color="auto" w:fill="FFFFFF"/>
              </w:rPr>
              <w:t>Access to schools who have effective communication protocols in place</w:t>
            </w:r>
          </w:p>
          <w:p w14:paraId="2DBB3091" w14:textId="461CDE81" w:rsidR="006253F9" w:rsidRPr="00003DC6" w:rsidRDefault="006253F9" w:rsidP="003B440D">
            <w:pPr>
              <w:pStyle w:val="DotPointLVL1"/>
              <w:ind w:left="366" w:hanging="219"/>
            </w:pPr>
            <w:r w:rsidRPr="00003DC6">
              <w:rPr>
                <w:shd w:val="clear" w:color="auto" w:fill="FFFFFF"/>
              </w:rPr>
              <w:t xml:space="preserve">Communications expertise (ED, </w:t>
            </w:r>
            <w:r w:rsidR="003A6420" w:rsidRPr="00003DC6">
              <w:rPr>
                <w:shd w:val="clear" w:color="auto" w:fill="FFFFFF"/>
              </w:rPr>
              <w:t>consultant)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</w:tcPr>
          <w:p w14:paraId="4F980CCF" w14:textId="77777777" w:rsidR="001D4881" w:rsidRPr="00003DC6" w:rsidRDefault="003A6420" w:rsidP="003A6420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Business Manager</w:t>
            </w:r>
          </w:p>
          <w:p w14:paraId="1283D2C2" w14:textId="77777777" w:rsidR="003A6420" w:rsidRPr="00003DC6" w:rsidRDefault="003A6420" w:rsidP="003A6420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Senior Executive</w:t>
            </w:r>
          </w:p>
          <w:p w14:paraId="5BDDEE43" w14:textId="0F924C40" w:rsidR="003A6420" w:rsidRPr="00003DC6" w:rsidRDefault="003A6420" w:rsidP="003A6420">
            <w:pPr>
              <w:pStyle w:val="DotPointLVL1"/>
              <w:ind w:left="366" w:hanging="219"/>
            </w:pPr>
            <w:r w:rsidRPr="00003DC6">
              <w:rPr>
                <w:shd w:val="clear" w:color="auto" w:fill="FFFFFF"/>
              </w:rPr>
              <w:t>TLPS communications officer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</w:tcPr>
          <w:p w14:paraId="448A979D" w14:textId="77777777" w:rsidR="00525A00" w:rsidRPr="00003DC6" w:rsidRDefault="00525A00" w:rsidP="003B440D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 xml:space="preserve">A communication </w:t>
            </w:r>
            <w:proofErr w:type="gramStart"/>
            <w:r w:rsidRPr="00003DC6">
              <w:rPr>
                <w:shd w:val="clear" w:color="auto" w:fill="FFFFFF"/>
              </w:rPr>
              <w:t>map</w:t>
            </w:r>
            <w:proofErr w:type="gramEnd"/>
          </w:p>
          <w:p w14:paraId="399C01D1" w14:textId="77777777" w:rsidR="004D30A9" w:rsidRPr="00003DC6" w:rsidRDefault="00525A00" w:rsidP="003B440D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Communication protocols</w:t>
            </w:r>
          </w:p>
          <w:p w14:paraId="4946064D" w14:textId="590F681D" w:rsidR="003A6420" w:rsidRPr="00003DC6" w:rsidRDefault="003A6420" w:rsidP="003B440D">
            <w:pPr>
              <w:pStyle w:val="DotPointLVL1"/>
              <w:ind w:left="366" w:hanging="219"/>
            </w:pPr>
            <w:r w:rsidRPr="00003DC6">
              <w:rPr>
                <w:shd w:val="clear" w:color="auto" w:fill="FFFFFF"/>
              </w:rPr>
              <w:t xml:space="preserve">A plan for reviewing communication </w:t>
            </w:r>
            <w:proofErr w:type="gramStart"/>
            <w:r w:rsidRPr="00003DC6">
              <w:rPr>
                <w:shd w:val="clear" w:color="auto" w:fill="FFFFFF"/>
              </w:rPr>
              <w:t>effectiveness,  modes</w:t>
            </w:r>
            <w:proofErr w:type="gramEnd"/>
            <w:r w:rsidRPr="00003DC6">
              <w:rPr>
                <w:shd w:val="clear" w:color="auto" w:fill="FFFFFF"/>
              </w:rPr>
              <w:t xml:space="preserve"> and frequencies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</w:tcPr>
          <w:p w14:paraId="2BB29AC1" w14:textId="35C09B25" w:rsidR="00155F05" w:rsidRPr="00003DC6" w:rsidRDefault="003A6420" w:rsidP="003B440D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Potential for student voice or student driven communication</w:t>
            </w:r>
          </w:p>
          <w:p w14:paraId="1E6C969C" w14:textId="096F86FC" w:rsidR="00525A00" w:rsidRPr="00003DC6" w:rsidRDefault="00525A00" w:rsidP="003B440D">
            <w:pPr>
              <w:pStyle w:val="DotPointLVL1"/>
              <w:ind w:left="366" w:hanging="219"/>
            </w:pPr>
            <w:r w:rsidRPr="00003DC6">
              <w:rPr>
                <w:shd w:val="clear" w:color="auto" w:fill="FFFFFF"/>
              </w:rPr>
              <w:t xml:space="preserve">An </w:t>
            </w:r>
            <w:r w:rsidR="003A6420" w:rsidRPr="00003DC6">
              <w:rPr>
                <w:shd w:val="clear" w:color="auto" w:fill="FFFFFF"/>
              </w:rPr>
              <w:t xml:space="preserve">informed and </w:t>
            </w:r>
            <w:r w:rsidRPr="00003DC6">
              <w:rPr>
                <w:shd w:val="clear" w:color="auto" w:fill="FFFFFF"/>
              </w:rPr>
              <w:t>engaged communit</w:t>
            </w:r>
            <w:r w:rsidRPr="00003DC6">
              <w:rPr>
                <w:shd w:val="clear" w:color="auto" w:fill="FFFFFF"/>
              </w:rPr>
              <w:t>y</w:t>
            </w:r>
            <w:r w:rsidR="003A6420" w:rsidRPr="00003DC6">
              <w:rPr>
                <w:shd w:val="clear" w:color="auto" w:fill="FFFFFF"/>
              </w:rPr>
              <w:t xml:space="preserve"> – clarity of events, </w:t>
            </w:r>
            <w:proofErr w:type="gramStart"/>
            <w:r w:rsidR="003A6420" w:rsidRPr="00003DC6">
              <w:rPr>
                <w:shd w:val="clear" w:color="auto" w:fill="FFFFFF"/>
              </w:rPr>
              <w:t>expectations</w:t>
            </w:r>
            <w:proofErr w:type="gramEnd"/>
            <w:r w:rsidR="003A6420" w:rsidRPr="00003DC6">
              <w:rPr>
                <w:shd w:val="clear" w:color="auto" w:fill="FFFFFF"/>
              </w:rPr>
              <w:t xml:space="preserve"> and information</w:t>
            </w:r>
          </w:p>
        </w:tc>
      </w:tr>
      <w:tr w:rsidR="00003DC6" w14:paraId="724CDF61" w14:textId="77777777" w:rsidTr="00003DC6">
        <w:trPr>
          <w:tblHeader/>
          <w:jc w:val="center"/>
        </w:trPr>
        <w:tc>
          <w:tcPr>
            <w:tcW w:w="352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2B428F" w14:textId="77777777" w:rsidR="00003DC6" w:rsidRDefault="00003DC6" w:rsidP="00CC6CAB">
            <w:pPr>
              <w:pStyle w:val="TableColumnHeaderLeft"/>
              <w:rPr>
                <w:color w:val="auto"/>
              </w:rPr>
            </w:pPr>
          </w:p>
          <w:p w14:paraId="3EF0307E" w14:textId="77777777" w:rsidR="00003DC6" w:rsidRDefault="00003DC6" w:rsidP="00003DC6">
            <w:pPr>
              <w:pStyle w:val="BodyText"/>
              <w:rPr>
                <w:lang w:val="en-US" w:eastAsia="en-US" w:bidi="ar-SA"/>
              </w:rPr>
            </w:pPr>
          </w:p>
          <w:p w14:paraId="364587C5" w14:textId="77777777" w:rsidR="00003DC6" w:rsidRDefault="00003DC6" w:rsidP="00003DC6">
            <w:pPr>
              <w:pStyle w:val="BodyText"/>
              <w:rPr>
                <w:lang w:val="en-US" w:eastAsia="en-US" w:bidi="ar-SA"/>
              </w:rPr>
            </w:pPr>
          </w:p>
          <w:p w14:paraId="6EE55D8D" w14:textId="4B1F8FCA" w:rsidR="00003DC6" w:rsidRDefault="00003DC6" w:rsidP="00003DC6">
            <w:pPr>
              <w:pStyle w:val="BodyText"/>
              <w:rPr>
                <w:lang w:val="en-US" w:eastAsia="en-US" w:bidi="ar-SA"/>
              </w:rPr>
            </w:pPr>
          </w:p>
          <w:p w14:paraId="14DC0962" w14:textId="77777777" w:rsidR="00003DC6" w:rsidRDefault="00003DC6" w:rsidP="00003DC6">
            <w:pPr>
              <w:pStyle w:val="BodyText"/>
              <w:rPr>
                <w:lang w:val="en-US" w:eastAsia="en-US" w:bidi="ar-SA"/>
              </w:rPr>
            </w:pPr>
          </w:p>
          <w:p w14:paraId="52C3625C" w14:textId="77777777" w:rsidR="00003DC6" w:rsidRDefault="00003DC6" w:rsidP="00003DC6">
            <w:pPr>
              <w:pStyle w:val="BodyText"/>
              <w:rPr>
                <w:lang w:val="en-US" w:eastAsia="en-US" w:bidi="ar-SA"/>
              </w:rPr>
            </w:pPr>
          </w:p>
          <w:p w14:paraId="5DB1DF07" w14:textId="7042EE78" w:rsidR="00003DC6" w:rsidRPr="00003DC6" w:rsidRDefault="00003DC6" w:rsidP="00003DC6">
            <w:pPr>
              <w:pStyle w:val="BodyText"/>
              <w:rPr>
                <w:lang w:val="en-US" w:eastAsia="en-US" w:bidi="ar-SA"/>
              </w:rPr>
            </w:pPr>
          </w:p>
        </w:tc>
        <w:tc>
          <w:tcPr>
            <w:tcW w:w="352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C5EB2F" w14:textId="77777777" w:rsidR="00003DC6" w:rsidRPr="004F027F" w:rsidRDefault="00003DC6" w:rsidP="00CC6CAB">
            <w:pPr>
              <w:pStyle w:val="TableColumnHeaderLeft"/>
              <w:rPr>
                <w:rFonts w:asciiTheme="minorHAnsi" w:hAnsiTheme="minorHAnsi" w:cstheme="minorHAnsi"/>
              </w:rPr>
            </w:pPr>
          </w:p>
        </w:tc>
        <w:tc>
          <w:tcPr>
            <w:tcW w:w="352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DC232B" w14:textId="77777777" w:rsidR="00003DC6" w:rsidRDefault="00003DC6" w:rsidP="00CC6CAB">
            <w:pPr>
              <w:pStyle w:val="TableColumnHeaderLeft"/>
            </w:pPr>
          </w:p>
        </w:tc>
        <w:tc>
          <w:tcPr>
            <w:tcW w:w="352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3E1233" w14:textId="77777777" w:rsidR="00003DC6" w:rsidRPr="002E73E5" w:rsidRDefault="00003DC6" w:rsidP="00CC6CAB">
            <w:pPr>
              <w:pStyle w:val="TableColumnHeaderLeft"/>
            </w:pPr>
          </w:p>
        </w:tc>
      </w:tr>
      <w:tr w:rsidR="00155F05" w14:paraId="01BAA1A5" w14:textId="77777777" w:rsidTr="00162782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4C841230" w14:textId="05F95620" w:rsidR="00155F05" w:rsidRPr="00003DC6" w:rsidRDefault="00155F05" w:rsidP="00EA1296">
            <w:pPr>
              <w:pStyle w:val="TableBodyLeft"/>
            </w:pPr>
            <w:r w:rsidRPr="00003DC6">
              <w:lastRenderedPageBreak/>
              <w:t>ACTION</w:t>
            </w:r>
            <w:r w:rsidR="00E27362" w:rsidRPr="00003DC6">
              <w:t xml:space="preserve"> 2</w:t>
            </w:r>
            <w:r w:rsidRPr="00003DC6">
              <w:t xml:space="preserve">: </w:t>
            </w:r>
            <w:r w:rsidR="003A6420" w:rsidRPr="00003DC6">
              <w:t>Form s</w:t>
            </w:r>
            <w:r w:rsidR="004F027F" w:rsidRPr="00003DC6">
              <w:t>tudent focus groups</w:t>
            </w:r>
            <w:r w:rsidR="00003DC6" w:rsidRPr="00003DC6">
              <w:t xml:space="preserve"> </w:t>
            </w:r>
            <w:r w:rsidR="004F027F" w:rsidRPr="00003DC6">
              <w:t xml:space="preserve">- Academic, </w:t>
            </w:r>
            <w:proofErr w:type="gramStart"/>
            <w:r w:rsidR="004F027F" w:rsidRPr="00003DC6">
              <w:t>social</w:t>
            </w:r>
            <w:proofErr w:type="gramEnd"/>
            <w:r w:rsidR="004F027F" w:rsidRPr="00003DC6">
              <w:t xml:space="preserve"> and emotional</w:t>
            </w:r>
            <w:r w:rsidR="00003DC6" w:rsidRPr="00003DC6">
              <w:t xml:space="preserve"> with SRC involvement</w:t>
            </w:r>
            <w:r w:rsidR="004F027F" w:rsidRPr="004F027F">
              <w:t xml:space="preserve"> </w:t>
            </w:r>
          </w:p>
        </w:tc>
      </w:tr>
      <w:tr w:rsidR="00155F05" w14:paraId="509AD19F" w14:textId="77777777" w:rsidTr="00162782">
        <w:trPr>
          <w:jc w:val="center"/>
        </w:trPr>
        <w:tc>
          <w:tcPr>
            <w:tcW w:w="3524" w:type="dxa"/>
            <w:shd w:val="clear" w:color="auto" w:fill="auto"/>
          </w:tcPr>
          <w:p w14:paraId="2E22AFA7" w14:textId="60A2902A" w:rsidR="004F027F" w:rsidRPr="00003DC6" w:rsidRDefault="004F027F" w:rsidP="003B440D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4F027F">
              <w:rPr>
                <w:shd w:val="clear" w:color="auto" w:fill="FFFFFF"/>
              </w:rPr>
              <w:t xml:space="preserve">EDU SSS and TLPS surveys </w:t>
            </w:r>
            <w:r w:rsidR="00CC72BC" w:rsidRPr="00003DC6">
              <w:rPr>
                <w:shd w:val="clear" w:color="auto" w:fill="FFFFFF"/>
              </w:rPr>
              <w:t>analysed to</w:t>
            </w:r>
            <w:r w:rsidRPr="004F027F">
              <w:rPr>
                <w:shd w:val="clear" w:color="auto" w:fill="FFFFFF"/>
              </w:rPr>
              <w:t xml:space="preserve"> share with students </w:t>
            </w:r>
            <w:r w:rsidR="00CC72BC" w:rsidRPr="00003DC6">
              <w:rPr>
                <w:shd w:val="clear" w:color="auto" w:fill="FFFFFF"/>
              </w:rPr>
              <w:t>(</w:t>
            </w:r>
            <w:r w:rsidRPr="004F027F">
              <w:rPr>
                <w:shd w:val="clear" w:color="auto" w:fill="FFFFFF"/>
              </w:rPr>
              <w:t>and their feedback is sought</w:t>
            </w:r>
            <w:r w:rsidR="00CC72BC" w:rsidRPr="00003DC6">
              <w:rPr>
                <w:shd w:val="clear" w:color="auto" w:fill="FFFFFF"/>
              </w:rPr>
              <w:t>)</w:t>
            </w:r>
          </w:p>
          <w:p w14:paraId="6FD7E120" w14:textId="155DD7A3" w:rsidR="002D6BA1" w:rsidRPr="00003DC6" w:rsidRDefault="00CC72BC" w:rsidP="00CC72BC">
            <w:pPr>
              <w:pStyle w:val="DotPointLVL1"/>
              <w:ind w:left="36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3DC6">
              <w:rPr>
                <w:shd w:val="clear" w:color="auto" w:fill="FFFFFF"/>
              </w:rPr>
              <w:t>Meeting time</w:t>
            </w:r>
          </w:p>
        </w:tc>
        <w:tc>
          <w:tcPr>
            <w:tcW w:w="3524" w:type="dxa"/>
            <w:shd w:val="clear" w:color="auto" w:fill="auto"/>
          </w:tcPr>
          <w:p w14:paraId="4D3D96ED" w14:textId="77777777" w:rsidR="00155F05" w:rsidRPr="00003DC6" w:rsidRDefault="003A6420" w:rsidP="003A6420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 xml:space="preserve">Year </w:t>
            </w:r>
            <w:proofErr w:type="spellStart"/>
            <w:r w:rsidRPr="00003DC6">
              <w:rPr>
                <w:shd w:val="clear" w:color="auto" w:fill="FFFFFF"/>
              </w:rPr>
              <w:t>co-ordinators</w:t>
            </w:r>
            <w:proofErr w:type="spellEnd"/>
          </w:p>
          <w:p w14:paraId="47E46C95" w14:textId="7426D299" w:rsidR="003A6420" w:rsidRPr="00003DC6" w:rsidRDefault="003A6420" w:rsidP="003A6420">
            <w:pPr>
              <w:pStyle w:val="DotPointLVL1"/>
              <w:ind w:left="366" w:hanging="219"/>
            </w:pPr>
            <w:r w:rsidRPr="00003DC6">
              <w:rPr>
                <w:shd w:val="clear" w:color="auto" w:fill="FFFFFF"/>
              </w:rPr>
              <w:t>Student Engagement SLC</w:t>
            </w:r>
          </w:p>
        </w:tc>
        <w:tc>
          <w:tcPr>
            <w:tcW w:w="3524" w:type="dxa"/>
            <w:shd w:val="clear" w:color="auto" w:fill="auto"/>
          </w:tcPr>
          <w:p w14:paraId="27926A23" w14:textId="77777777" w:rsidR="004F027F" w:rsidRPr="004F027F" w:rsidRDefault="004F027F" w:rsidP="003B440D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4F027F">
              <w:rPr>
                <w:shd w:val="clear" w:color="auto" w:fill="FFFFFF"/>
              </w:rPr>
              <w:t>More student input at assemblies</w:t>
            </w:r>
          </w:p>
          <w:p w14:paraId="2A553D47" w14:textId="77777777" w:rsidR="004B069B" w:rsidRPr="00003DC6" w:rsidRDefault="004F027F" w:rsidP="003B440D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4F027F">
              <w:rPr>
                <w:shd w:val="clear" w:color="auto" w:fill="FFFFFF"/>
              </w:rPr>
              <w:t>More student meetings with executive</w:t>
            </w:r>
          </w:p>
          <w:p w14:paraId="1A3DECE0" w14:textId="77777777" w:rsidR="00CC72BC" w:rsidRPr="00003DC6" w:rsidRDefault="00CC72BC" w:rsidP="003B440D">
            <w:pPr>
              <w:pStyle w:val="DotPointLVL1"/>
              <w:ind w:left="36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3DC6">
              <w:rPr>
                <w:shd w:val="clear" w:color="auto" w:fill="FFFFFF"/>
              </w:rPr>
              <w:t>A mechanism to hear student voice</w:t>
            </w:r>
          </w:p>
          <w:p w14:paraId="21266686" w14:textId="2B3739E0" w:rsidR="00CC72BC" w:rsidRPr="00003DC6" w:rsidRDefault="00CC72BC" w:rsidP="003B440D">
            <w:pPr>
              <w:pStyle w:val="DotPointLVL1"/>
              <w:ind w:left="36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3DC6">
              <w:rPr>
                <w:shd w:val="clear" w:color="auto" w:fill="FFFFFF"/>
              </w:rPr>
              <w:t>Mechanisms for feeding back to students how the school will (or has) addressed their concerns</w:t>
            </w:r>
          </w:p>
        </w:tc>
        <w:tc>
          <w:tcPr>
            <w:tcW w:w="3524" w:type="dxa"/>
            <w:shd w:val="clear" w:color="auto" w:fill="auto"/>
          </w:tcPr>
          <w:p w14:paraId="5937E6B7" w14:textId="5668F214" w:rsidR="00155F05" w:rsidRPr="00003DC6" w:rsidRDefault="003A6420" w:rsidP="00CC72BC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Greater</w:t>
            </w:r>
            <w:r w:rsidR="004F027F" w:rsidRPr="004F027F">
              <w:rPr>
                <w:shd w:val="clear" w:color="auto" w:fill="FFFFFF"/>
              </w:rPr>
              <w:t xml:space="preserve"> connection to the school </w:t>
            </w:r>
            <w:r w:rsidRPr="00003DC6">
              <w:rPr>
                <w:shd w:val="clear" w:color="auto" w:fill="FFFFFF"/>
              </w:rPr>
              <w:t>leading to improved attendance an</w:t>
            </w:r>
            <w:r w:rsidR="00CC72BC" w:rsidRPr="00003DC6">
              <w:rPr>
                <w:shd w:val="clear" w:color="auto" w:fill="FFFFFF"/>
              </w:rPr>
              <w:t>d engagement</w:t>
            </w:r>
            <w:r w:rsidR="004F027F" w:rsidRPr="004F027F">
              <w:rPr>
                <w:shd w:val="clear" w:color="auto" w:fill="FFFFFF"/>
              </w:rPr>
              <w:t xml:space="preserve"> in learning</w:t>
            </w:r>
          </w:p>
        </w:tc>
      </w:tr>
      <w:tr w:rsidR="00227769" w14:paraId="1562AA25" w14:textId="77777777" w:rsidTr="00CC6CAB">
        <w:trPr>
          <w:tblHeader/>
          <w:jc w:val="center"/>
        </w:trPr>
        <w:tc>
          <w:tcPr>
            <w:tcW w:w="3524" w:type="dxa"/>
            <w:shd w:val="clear" w:color="auto" w:fill="00AEEF"/>
          </w:tcPr>
          <w:p w14:paraId="46D3F399" w14:textId="77777777" w:rsidR="00227769" w:rsidRPr="00427133" w:rsidRDefault="00227769" w:rsidP="00CC6CAB">
            <w:pPr>
              <w:pStyle w:val="TableColumnHeaderLeft"/>
              <w:rPr>
                <w:color w:val="auto"/>
              </w:rPr>
            </w:pPr>
            <w:r w:rsidRPr="00427133">
              <w:rPr>
                <w:color w:val="auto"/>
              </w:rPr>
              <w:t xml:space="preserve">What </w:t>
            </w:r>
            <w:r w:rsidRPr="00427133">
              <w:rPr>
                <w:b/>
                <w:i/>
                <w:color w:val="auto"/>
                <w:u w:val="single"/>
              </w:rPr>
              <w:t>resources</w:t>
            </w:r>
            <w:r w:rsidRPr="00427133">
              <w:rPr>
                <w:color w:val="auto"/>
              </w:rPr>
              <w:t xml:space="preserve"> are needed?</w:t>
            </w:r>
          </w:p>
        </w:tc>
        <w:tc>
          <w:tcPr>
            <w:tcW w:w="3524" w:type="dxa"/>
            <w:shd w:val="clear" w:color="auto" w:fill="00AEEF"/>
          </w:tcPr>
          <w:p w14:paraId="4C34FF0F" w14:textId="77777777" w:rsidR="00227769" w:rsidRPr="004F027F" w:rsidRDefault="00227769" w:rsidP="00CC6CAB">
            <w:pPr>
              <w:pStyle w:val="TableColumnHeaderLeft"/>
              <w:rPr>
                <w:rFonts w:asciiTheme="minorHAnsi" w:hAnsiTheme="minorHAnsi" w:cstheme="minorHAnsi"/>
              </w:rPr>
            </w:pPr>
            <w:r w:rsidRPr="004F027F">
              <w:rPr>
                <w:rFonts w:asciiTheme="minorHAnsi" w:hAnsiTheme="minorHAnsi" w:cstheme="minorHAnsi"/>
              </w:rPr>
              <w:t xml:space="preserve">Who will </w:t>
            </w:r>
            <w:r w:rsidRPr="004F027F">
              <w:rPr>
                <w:rFonts w:asciiTheme="minorHAnsi" w:hAnsiTheme="minorHAnsi" w:cstheme="minorHAnsi"/>
                <w:b/>
                <w:i/>
                <w:u w:val="single"/>
              </w:rPr>
              <w:t>lead</w:t>
            </w:r>
            <w:r w:rsidRPr="004F027F">
              <w:rPr>
                <w:rFonts w:asciiTheme="minorHAnsi" w:hAnsiTheme="minorHAnsi" w:cstheme="minorHAnsi"/>
              </w:rPr>
              <w:t xml:space="preserve"> this action?</w:t>
            </w:r>
          </w:p>
        </w:tc>
        <w:tc>
          <w:tcPr>
            <w:tcW w:w="3524" w:type="dxa"/>
            <w:shd w:val="clear" w:color="auto" w:fill="00AEEF"/>
          </w:tcPr>
          <w:p w14:paraId="2829D16B" w14:textId="77777777" w:rsidR="00227769" w:rsidRPr="00247B71" w:rsidRDefault="00227769" w:rsidP="00CC6CAB">
            <w:pPr>
              <w:pStyle w:val="TableColumnHeaderLeft"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 xml:space="preserve"> to support this action?</w:t>
            </w:r>
          </w:p>
        </w:tc>
        <w:tc>
          <w:tcPr>
            <w:tcW w:w="3524" w:type="dxa"/>
            <w:shd w:val="clear" w:color="auto" w:fill="00AEEF"/>
          </w:tcPr>
          <w:p w14:paraId="6753D015" w14:textId="77777777" w:rsidR="00227769" w:rsidRPr="002E73E5" w:rsidRDefault="00227769" w:rsidP="00CC6CAB">
            <w:pPr>
              <w:pStyle w:val="TableColumnHeaderLeft"/>
            </w:pPr>
            <w:r w:rsidRPr="002E73E5">
              <w:t xml:space="preserve">How will this action </w:t>
            </w:r>
            <w:r w:rsidRPr="002E73E5">
              <w:rPr>
                <w:b/>
                <w:i/>
                <w:u w:val="single"/>
              </w:rPr>
              <w:t>impact</w:t>
            </w:r>
            <w:r w:rsidRPr="002E73E5">
              <w:t xml:space="preserve"> on student learning?</w:t>
            </w:r>
          </w:p>
        </w:tc>
      </w:tr>
      <w:tr w:rsidR="00227769" w14:paraId="60303707" w14:textId="77777777" w:rsidTr="00CC6CAB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37375121" w14:textId="57EDC048" w:rsidR="00227769" w:rsidRPr="00003DC6" w:rsidRDefault="00227769" w:rsidP="00CC6CAB">
            <w:pPr>
              <w:pStyle w:val="TableBodyLeft"/>
            </w:pPr>
            <w:r w:rsidRPr="00003DC6">
              <w:t xml:space="preserve">ACTION 2: </w:t>
            </w:r>
            <w:r w:rsidRPr="004F027F">
              <w:t>Student led assemblies</w:t>
            </w:r>
          </w:p>
        </w:tc>
      </w:tr>
      <w:tr w:rsidR="00227769" w14:paraId="1D2F32AD" w14:textId="77777777" w:rsidTr="00CC6CAB">
        <w:trPr>
          <w:jc w:val="center"/>
        </w:trPr>
        <w:tc>
          <w:tcPr>
            <w:tcW w:w="3524" w:type="dxa"/>
            <w:shd w:val="clear" w:color="auto" w:fill="auto"/>
          </w:tcPr>
          <w:p w14:paraId="2937C1F4" w14:textId="45F62960" w:rsidR="00227769" w:rsidRPr="00003DC6" w:rsidRDefault="00CC72BC" w:rsidP="003B440D">
            <w:pPr>
              <w:pStyle w:val="DotPointLVL1"/>
              <w:ind w:left="36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3DC6">
              <w:rPr>
                <w:shd w:val="clear" w:color="auto" w:fill="FFFFFF"/>
              </w:rPr>
              <w:t>Training for student leaders in organising and running assemblies</w:t>
            </w:r>
          </w:p>
        </w:tc>
        <w:tc>
          <w:tcPr>
            <w:tcW w:w="3524" w:type="dxa"/>
            <w:shd w:val="clear" w:color="auto" w:fill="auto"/>
          </w:tcPr>
          <w:p w14:paraId="2C4B9E2F" w14:textId="77777777" w:rsidR="00227769" w:rsidRPr="00003DC6" w:rsidRDefault="00CC72BC" w:rsidP="00CC72BC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Year co-ordinators</w:t>
            </w:r>
          </w:p>
          <w:p w14:paraId="5B1872DF" w14:textId="50764D43" w:rsidR="00CC72BC" w:rsidRPr="00003DC6" w:rsidRDefault="00CC72BC" w:rsidP="00CC72BC">
            <w:pPr>
              <w:pStyle w:val="DotPointLVL1"/>
              <w:ind w:left="366" w:hanging="219"/>
            </w:pPr>
            <w:r w:rsidRPr="00003DC6">
              <w:rPr>
                <w:shd w:val="clear" w:color="auto" w:fill="FFFFFF"/>
              </w:rPr>
              <w:t>Student Engagement SLC</w:t>
            </w:r>
          </w:p>
        </w:tc>
        <w:tc>
          <w:tcPr>
            <w:tcW w:w="3524" w:type="dxa"/>
            <w:shd w:val="clear" w:color="auto" w:fill="auto"/>
          </w:tcPr>
          <w:p w14:paraId="4DD09566" w14:textId="77777777" w:rsidR="00CC72BC" w:rsidRPr="00003DC6" w:rsidRDefault="00CC72BC" w:rsidP="00CC72BC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003DC6">
              <w:rPr>
                <w:shd w:val="clear" w:color="auto" w:fill="FFFFFF"/>
              </w:rPr>
              <w:t>Role statements for student leaders</w:t>
            </w:r>
          </w:p>
          <w:p w14:paraId="7E3DFB83" w14:textId="35D1D476" w:rsidR="00227769" w:rsidRPr="00003DC6" w:rsidRDefault="00227769" w:rsidP="00CC72BC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4F027F">
              <w:rPr>
                <w:shd w:val="clear" w:color="auto" w:fill="FFFFFF"/>
              </w:rPr>
              <w:t>More student input at assemblies</w:t>
            </w:r>
          </w:p>
        </w:tc>
        <w:tc>
          <w:tcPr>
            <w:tcW w:w="3524" w:type="dxa"/>
            <w:shd w:val="clear" w:color="auto" w:fill="auto"/>
          </w:tcPr>
          <w:p w14:paraId="2AE6D13E" w14:textId="77777777" w:rsidR="00227769" w:rsidRPr="004F027F" w:rsidRDefault="00227769" w:rsidP="003B440D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4F027F">
              <w:rPr>
                <w:shd w:val="clear" w:color="auto" w:fill="FFFFFF"/>
              </w:rPr>
              <w:t>More connection to the school and engaged in their learning</w:t>
            </w:r>
          </w:p>
          <w:p w14:paraId="73F60CB7" w14:textId="77777777" w:rsidR="00227769" w:rsidRPr="004F027F" w:rsidRDefault="00227769" w:rsidP="003B440D">
            <w:pPr>
              <w:pStyle w:val="DotPointLVL1"/>
              <w:ind w:left="366" w:hanging="219"/>
              <w:rPr>
                <w:shd w:val="clear" w:color="auto" w:fill="FFFFFF"/>
              </w:rPr>
            </w:pPr>
            <w:r w:rsidRPr="004F027F">
              <w:rPr>
                <w:shd w:val="clear" w:color="auto" w:fill="FFFFFF"/>
              </w:rPr>
              <w:t>Improved attendance</w:t>
            </w:r>
          </w:p>
          <w:p w14:paraId="4152B67A" w14:textId="77777777" w:rsidR="00227769" w:rsidRPr="00003DC6" w:rsidRDefault="00227769" w:rsidP="00CC6CAB">
            <w:pPr>
              <w:pStyle w:val="TableBodyLeft"/>
            </w:pPr>
          </w:p>
        </w:tc>
      </w:tr>
    </w:tbl>
    <w:p w14:paraId="3FEE29E7" w14:textId="77777777" w:rsidR="008E63DF" w:rsidRDefault="008E63DF" w:rsidP="00574285">
      <w:pPr>
        <w:pStyle w:val="BodyText"/>
      </w:pPr>
    </w:p>
    <w:p w14:paraId="2ECA5A5C" w14:textId="77777777" w:rsidR="00DE58AF" w:rsidRDefault="00DE58AF" w:rsidP="00574285">
      <w:pPr>
        <w:pStyle w:val="BodyText"/>
      </w:pPr>
    </w:p>
    <w:p w14:paraId="14CA27AD" w14:textId="4F28DA96" w:rsidR="00DE58AF" w:rsidRDefault="00DE58AF" w:rsidP="00574285">
      <w:pPr>
        <w:pStyle w:val="BodyText"/>
      </w:pPr>
    </w:p>
    <w:p w14:paraId="6D569397" w14:textId="2D6905A9" w:rsidR="003351A5" w:rsidRDefault="003351A5" w:rsidP="00574285">
      <w:pPr>
        <w:pStyle w:val="BodyText"/>
      </w:pPr>
    </w:p>
    <w:sectPr w:rsidR="003351A5" w:rsidSect="00003DC6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0E416" w14:textId="77777777" w:rsidR="002A0451" w:rsidRDefault="002A0451">
      <w:pPr>
        <w:spacing w:after="0" w:line="240" w:lineRule="auto"/>
      </w:pPr>
      <w:r>
        <w:separator/>
      </w:r>
    </w:p>
  </w:endnote>
  <w:endnote w:type="continuationSeparator" w:id="0">
    <w:p w14:paraId="55DB7EC8" w14:textId="77777777" w:rsidR="002A0451" w:rsidRDefault="002A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808080" w:themeColor="background1" w:themeShade="80"/>
        <w:sz w:val="20"/>
        <w:szCs w:val="20"/>
      </w:rPr>
      <w:id w:val="470793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271DF" w14:textId="70269A4E" w:rsidR="00BF488D" w:rsidRPr="00BF488D" w:rsidRDefault="00BF488D" w:rsidP="00834B80">
        <w:pPr>
          <w:pStyle w:val="Footer"/>
          <w:tabs>
            <w:tab w:val="clear" w:pos="4513"/>
            <w:tab w:val="clear" w:pos="9026"/>
            <w:tab w:val="center" w:pos="6237"/>
            <w:tab w:val="right" w:pos="9781"/>
          </w:tabs>
          <w:jc w:val="center"/>
          <w:rPr>
            <w:rFonts w:ascii="Arial" w:hAnsi="Arial" w:cs="Arial"/>
            <w:color w:val="808080" w:themeColor="background1" w:themeShade="80"/>
            <w:sz w:val="20"/>
            <w:szCs w:val="20"/>
          </w:rPr>
        </w:pP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Last </w: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t>saved</w:t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>:</w: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</w: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SAVEDATE  \@ "dddd, d MMMM yyyy"  \* MERGEFORMAT </w:instrTex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FD2095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Wednesday, 20 January 2021</w: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ab/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Page | </w:t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396A2A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4</w:t>
        </w:r>
        <w:r w:rsidRPr="00BF488D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fldChar w:fldCharType="end"/>
        </w:r>
        <w:r w:rsidR="00003DC6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 xml:space="preserve"> </w:t>
        </w:r>
      </w:p>
    </w:sdtContent>
  </w:sdt>
  <w:p w14:paraId="3E375992" w14:textId="77777777" w:rsidR="00A76993" w:rsidRDefault="00E417F3" w:rsidP="000365E8">
    <w:pPr>
      <w:pStyle w:val="Footer"/>
      <w:jc w:val="center"/>
    </w:pPr>
    <w:r w:rsidRPr="00360329">
      <w:rPr>
        <w:rFonts w:ascii="Arial" w:hAnsi="Arial" w:cs="Arial"/>
        <w:b/>
        <w:sz w:val="18"/>
        <w:szCs w:val="18"/>
      </w:rPr>
      <w:t>Analysis</w:t>
    </w:r>
    <w:r w:rsidR="000365E8" w:rsidRPr="00D5105D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0365E8" w:rsidRPr="0068650D">
      <w:rPr>
        <w:rFonts w:ascii="Arial" w:hAnsi="Arial" w:cs="Arial"/>
        <w:b/>
        <w:sz w:val="18"/>
        <w:szCs w:val="18"/>
      </w:rPr>
      <w:t>Priorities</w:t>
    </w:r>
    <w:r w:rsidR="000365E8" w:rsidRPr="00D5105D">
      <w:rPr>
        <w:rFonts w:ascii="Arial" w:hAnsi="Arial" w:cs="Arial"/>
        <w:b/>
        <w:color w:val="FF0000"/>
        <w:sz w:val="24"/>
        <w:szCs w:val="18"/>
      </w:rPr>
      <w:t xml:space="preserve"> </w:t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bookmarkStart w:id="0" w:name="_Hlk527701860"/>
    <w:r w:rsidR="00360329" w:rsidRPr="00360329">
      <w:rPr>
        <w:rFonts w:ascii="Arial" w:hAnsi="Arial" w:cs="Arial"/>
        <w:b/>
        <w:color w:val="FF0000"/>
        <w:sz w:val="24"/>
        <w:szCs w:val="18"/>
      </w:rPr>
      <w:t>STRATEGIES</w:t>
    </w:r>
    <w:r w:rsidR="00360329" w:rsidRPr="00360329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0365E8" w:rsidRPr="00360329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bookmarkEnd w:id="0"/>
    <w:r w:rsidR="00360329" w:rsidRPr="00360329">
      <w:rPr>
        <w:rFonts w:ascii="Arial" w:hAnsi="Arial" w:cs="Arial"/>
        <w:b/>
        <w:color w:val="FF0000"/>
        <w:sz w:val="24"/>
        <w:szCs w:val="18"/>
      </w:rPr>
      <w:t xml:space="preserve"> ACTIONS</w:t>
    </w:r>
    <w:r w:rsidR="00360329" w:rsidRPr="00D5105D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0365E8" w:rsidRPr="00D5105D">
      <w:rPr>
        <w:b/>
        <w:sz w:val="18"/>
        <w:szCs w:val="18"/>
      </w:rPr>
      <w:t xml:space="preserve">Impact </w:t>
    </w:r>
    <w:r w:rsidR="000365E8" w:rsidRPr="00D5105D">
      <w:rPr>
        <w:b/>
        <w:sz w:val="16"/>
        <w:szCs w:val="16"/>
      </w:rPr>
      <w:t>(</w:t>
    </w:r>
    <w:r w:rsidR="000365E8">
      <w:rPr>
        <w:b/>
        <w:sz w:val="16"/>
        <w:szCs w:val="16"/>
      </w:rPr>
      <w:t xml:space="preserve">for </w:t>
    </w:r>
    <w:r w:rsidR="000365E8" w:rsidRPr="00D5105D">
      <w:rPr>
        <w:b/>
        <w:sz w:val="16"/>
        <w:szCs w:val="16"/>
      </w:rPr>
      <w:t>student)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F14E9" w14:textId="77777777" w:rsidR="002A0451" w:rsidRDefault="002A0451">
      <w:pPr>
        <w:spacing w:after="0" w:line="240" w:lineRule="auto"/>
      </w:pPr>
      <w:r>
        <w:separator/>
      </w:r>
    </w:p>
  </w:footnote>
  <w:footnote w:type="continuationSeparator" w:id="0">
    <w:p w14:paraId="42AEFCEE" w14:textId="77777777" w:rsidR="002A0451" w:rsidRDefault="002A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F2FD9" w14:textId="77777777" w:rsidR="00155F05" w:rsidRDefault="00155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4E96" w14:textId="77777777" w:rsidR="00194DF6" w:rsidRDefault="00194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C84F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E22CF0"/>
    <w:multiLevelType w:val="hybridMultilevel"/>
    <w:tmpl w:val="5E58CF10"/>
    <w:lvl w:ilvl="0" w:tplc="0A4EAE10">
      <w:start w:val="1"/>
      <w:numFmt w:val="bullet"/>
      <w:pStyle w:val="DotPointLVL1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F906FDE0">
      <w:numFmt w:val="bullet"/>
      <w:pStyle w:val="DotPointLVL2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55C2"/>
    <w:multiLevelType w:val="hybridMultilevel"/>
    <w:tmpl w:val="C06A24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D59AC"/>
    <w:multiLevelType w:val="hybridMultilevel"/>
    <w:tmpl w:val="D6DAFA50"/>
    <w:lvl w:ilvl="0" w:tplc="92E26B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4B"/>
    <w:rsid w:val="00001436"/>
    <w:rsid w:val="00003DC6"/>
    <w:rsid w:val="00006E36"/>
    <w:rsid w:val="00010B66"/>
    <w:rsid w:val="00014EE7"/>
    <w:rsid w:val="00016DAA"/>
    <w:rsid w:val="000306FE"/>
    <w:rsid w:val="000365E8"/>
    <w:rsid w:val="000422E5"/>
    <w:rsid w:val="000424F6"/>
    <w:rsid w:val="00047DF0"/>
    <w:rsid w:val="00051FE9"/>
    <w:rsid w:val="00054BEB"/>
    <w:rsid w:val="00055125"/>
    <w:rsid w:val="00061C7B"/>
    <w:rsid w:val="0006422B"/>
    <w:rsid w:val="000747CE"/>
    <w:rsid w:val="00077EE6"/>
    <w:rsid w:val="00082185"/>
    <w:rsid w:val="000976F3"/>
    <w:rsid w:val="000A08DF"/>
    <w:rsid w:val="000A1F4E"/>
    <w:rsid w:val="000A207B"/>
    <w:rsid w:val="000B1FA8"/>
    <w:rsid w:val="000B2E4C"/>
    <w:rsid w:val="000B5AC8"/>
    <w:rsid w:val="000C169A"/>
    <w:rsid w:val="000C1B4B"/>
    <w:rsid w:val="000C4FE2"/>
    <w:rsid w:val="000D346A"/>
    <w:rsid w:val="000E6DE1"/>
    <w:rsid w:val="000E79B1"/>
    <w:rsid w:val="000F0410"/>
    <w:rsid w:val="000F17A3"/>
    <w:rsid w:val="000F1DD5"/>
    <w:rsid w:val="00101EF0"/>
    <w:rsid w:val="00111DEF"/>
    <w:rsid w:val="0011373F"/>
    <w:rsid w:val="00117BE3"/>
    <w:rsid w:val="00141602"/>
    <w:rsid w:val="00141998"/>
    <w:rsid w:val="00152E6A"/>
    <w:rsid w:val="00155E35"/>
    <w:rsid w:val="00155F05"/>
    <w:rsid w:val="00157893"/>
    <w:rsid w:val="00162782"/>
    <w:rsid w:val="00162D4F"/>
    <w:rsid w:val="00167147"/>
    <w:rsid w:val="001822A0"/>
    <w:rsid w:val="001923BD"/>
    <w:rsid w:val="00194DF6"/>
    <w:rsid w:val="00196D10"/>
    <w:rsid w:val="001A4E51"/>
    <w:rsid w:val="001B0727"/>
    <w:rsid w:val="001B7482"/>
    <w:rsid w:val="001C298D"/>
    <w:rsid w:val="001D4881"/>
    <w:rsid w:val="001E0297"/>
    <w:rsid w:val="001E6320"/>
    <w:rsid w:val="001E639A"/>
    <w:rsid w:val="001F5A15"/>
    <w:rsid w:val="001F66F7"/>
    <w:rsid w:val="00202220"/>
    <w:rsid w:val="00204197"/>
    <w:rsid w:val="00212223"/>
    <w:rsid w:val="00217CF8"/>
    <w:rsid w:val="00227769"/>
    <w:rsid w:val="00235B19"/>
    <w:rsid w:val="00235ECF"/>
    <w:rsid w:val="0024064C"/>
    <w:rsid w:val="0024144E"/>
    <w:rsid w:val="002444A8"/>
    <w:rsid w:val="00247A79"/>
    <w:rsid w:val="00261FF9"/>
    <w:rsid w:val="002636CB"/>
    <w:rsid w:val="00283C9E"/>
    <w:rsid w:val="00287A5C"/>
    <w:rsid w:val="0029006B"/>
    <w:rsid w:val="002A0451"/>
    <w:rsid w:val="002A177D"/>
    <w:rsid w:val="002B1EF2"/>
    <w:rsid w:val="002B207F"/>
    <w:rsid w:val="002D1EF6"/>
    <w:rsid w:val="002D23A5"/>
    <w:rsid w:val="002D6BA1"/>
    <w:rsid w:val="002D6FA9"/>
    <w:rsid w:val="002E6FF7"/>
    <w:rsid w:val="003125CD"/>
    <w:rsid w:val="00316D25"/>
    <w:rsid w:val="00316F41"/>
    <w:rsid w:val="00316F4B"/>
    <w:rsid w:val="00332E02"/>
    <w:rsid w:val="003351A5"/>
    <w:rsid w:val="00360329"/>
    <w:rsid w:val="00366E12"/>
    <w:rsid w:val="00381B03"/>
    <w:rsid w:val="003856E2"/>
    <w:rsid w:val="003867F1"/>
    <w:rsid w:val="0039121B"/>
    <w:rsid w:val="003968BC"/>
    <w:rsid w:val="00396A2A"/>
    <w:rsid w:val="003A6420"/>
    <w:rsid w:val="003B0257"/>
    <w:rsid w:val="003B440D"/>
    <w:rsid w:val="003B49BB"/>
    <w:rsid w:val="003C0EEB"/>
    <w:rsid w:val="003C346B"/>
    <w:rsid w:val="003D70FC"/>
    <w:rsid w:val="003D72A0"/>
    <w:rsid w:val="003E50E3"/>
    <w:rsid w:val="003E745B"/>
    <w:rsid w:val="003F0BCB"/>
    <w:rsid w:val="003F40F6"/>
    <w:rsid w:val="00422255"/>
    <w:rsid w:val="00424A57"/>
    <w:rsid w:val="00427133"/>
    <w:rsid w:val="004272C2"/>
    <w:rsid w:val="00430D77"/>
    <w:rsid w:val="004313C7"/>
    <w:rsid w:val="00446866"/>
    <w:rsid w:val="00447F8D"/>
    <w:rsid w:val="004549C2"/>
    <w:rsid w:val="0045714E"/>
    <w:rsid w:val="004573B1"/>
    <w:rsid w:val="0046025D"/>
    <w:rsid w:val="00460F6D"/>
    <w:rsid w:val="0047240C"/>
    <w:rsid w:val="0047385D"/>
    <w:rsid w:val="004746DD"/>
    <w:rsid w:val="00484A5D"/>
    <w:rsid w:val="00490804"/>
    <w:rsid w:val="004A08C1"/>
    <w:rsid w:val="004A1FAA"/>
    <w:rsid w:val="004A513E"/>
    <w:rsid w:val="004B069B"/>
    <w:rsid w:val="004B386E"/>
    <w:rsid w:val="004C0581"/>
    <w:rsid w:val="004C284E"/>
    <w:rsid w:val="004D30A9"/>
    <w:rsid w:val="004E2C2C"/>
    <w:rsid w:val="004E3289"/>
    <w:rsid w:val="004F027F"/>
    <w:rsid w:val="004F0F64"/>
    <w:rsid w:val="004F3D90"/>
    <w:rsid w:val="00513768"/>
    <w:rsid w:val="005201CE"/>
    <w:rsid w:val="00525A00"/>
    <w:rsid w:val="00533050"/>
    <w:rsid w:val="00541E37"/>
    <w:rsid w:val="00552AA0"/>
    <w:rsid w:val="00555786"/>
    <w:rsid w:val="00566883"/>
    <w:rsid w:val="00574081"/>
    <w:rsid w:val="00574285"/>
    <w:rsid w:val="005834C3"/>
    <w:rsid w:val="0058561F"/>
    <w:rsid w:val="00585DDA"/>
    <w:rsid w:val="005C12AA"/>
    <w:rsid w:val="005C2901"/>
    <w:rsid w:val="005D0E15"/>
    <w:rsid w:val="005D3A8D"/>
    <w:rsid w:val="005E2D76"/>
    <w:rsid w:val="005E4EB7"/>
    <w:rsid w:val="005F3E84"/>
    <w:rsid w:val="006006D3"/>
    <w:rsid w:val="006008BE"/>
    <w:rsid w:val="00610724"/>
    <w:rsid w:val="00616AD7"/>
    <w:rsid w:val="0061726D"/>
    <w:rsid w:val="006253F9"/>
    <w:rsid w:val="0062768C"/>
    <w:rsid w:val="00630B0C"/>
    <w:rsid w:val="00633968"/>
    <w:rsid w:val="00650173"/>
    <w:rsid w:val="006530C7"/>
    <w:rsid w:val="00663A2B"/>
    <w:rsid w:val="00693E9E"/>
    <w:rsid w:val="006A6921"/>
    <w:rsid w:val="006C6490"/>
    <w:rsid w:val="006D7615"/>
    <w:rsid w:val="006E3C0D"/>
    <w:rsid w:val="006F350C"/>
    <w:rsid w:val="0070399A"/>
    <w:rsid w:val="00704D1F"/>
    <w:rsid w:val="0071367D"/>
    <w:rsid w:val="007533B4"/>
    <w:rsid w:val="00757C87"/>
    <w:rsid w:val="00764977"/>
    <w:rsid w:val="00764C92"/>
    <w:rsid w:val="007679BF"/>
    <w:rsid w:val="00777436"/>
    <w:rsid w:val="007A0A68"/>
    <w:rsid w:val="007C347E"/>
    <w:rsid w:val="007C7A59"/>
    <w:rsid w:val="007E3835"/>
    <w:rsid w:val="007F7F98"/>
    <w:rsid w:val="0080461F"/>
    <w:rsid w:val="008072BF"/>
    <w:rsid w:val="00816FBD"/>
    <w:rsid w:val="00825280"/>
    <w:rsid w:val="00834B80"/>
    <w:rsid w:val="0083740D"/>
    <w:rsid w:val="00861714"/>
    <w:rsid w:val="00861FB6"/>
    <w:rsid w:val="0086481F"/>
    <w:rsid w:val="00882120"/>
    <w:rsid w:val="008A5E4E"/>
    <w:rsid w:val="008B1932"/>
    <w:rsid w:val="008C2B63"/>
    <w:rsid w:val="008D1D8D"/>
    <w:rsid w:val="008D6735"/>
    <w:rsid w:val="008E2285"/>
    <w:rsid w:val="008E58F5"/>
    <w:rsid w:val="008E63DF"/>
    <w:rsid w:val="00902CF1"/>
    <w:rsid w:val="00905E46"/>
    <w:rsid w:val="009079AB"/>
    <w:rsid w:val="00911447"/>
    <w:rsid w:val="009238BE"/>
    <w:rsid w:val="00925A53"/>
    <w:rsid w:val="009371B7"/>
    <w:rsid w:val="009425DD"/>
    <w:rsid w:val="00947658"/>
    <w:rsid w:val="00955FB9"/>
    <w:rsid w:val="00964583"/>
    <w:rsid w:val="00966686"/>
    <w:rsid w:val="00967733"/>
    <w:rsid w:val="009801CB"/>
    <w:rsid w:val="0098551B"/>
    <w:rsid w:val="009B3523"/>
    <w:rsid w:val="009C604D"/>
    <w:rsid w:val="009E616D"/>
    <w:rsid w:val="009E69A3"/>
    <w:rsid w:val="00A07673"/>
    <w:rsid w:val="00A113DB"/>
    <w:rsid w:val="00A148C9"/>
    <w:rsid w:val="00A14C29"/>
    <w:rsid w:val="00A21377"/>
    <w:rsid w:val="00A214B7"/>
    <w:rsid w:val="00A4406E"/>
    <w:rsid w:val="00A57B78"/>
    <w:rsid w:val="00A62CAD"/>
    <w:rsid w:val="00A73197"/>
    <w:rsid w:val="00A76993"/>
    <w:rsid w:val="00A84997"/>
    <w:rsid w:val="00A91EA7"/>
    <w:rsid w:val="00AA295F"/>
    <w:rsid w:val="00AE6AF1"/>
    <w:rsid w:val="00AE76C6"/>
    <w:rsid w:val="00AF3B67"/>
    <w:rsid w:val="00AF4805"/>
    <w:rsid w:val="00AF4CC4"/>
    <w:rsid w:val="00B15C5A"/>
    <w:rsid w:val="00B42F17"/>
    <w:rsid w:val="00B6104C"/>
    <w:rsid w:val="00B72D30"/>
    <w:rsid w:val="00B76C78"/>
    <w:rsid w:val="00B94AEB"/>
    <w:rsid w:val="00BA4101"/>
    <w:rsid w:val="00BA4AFB"/>
    <w:rsid w:val="00BA52B3"/>
    <w:rsid w:val="00BA6AE7"/>
    <w:rsid w:val="00BB0B5B"/>
    <w:rsid w:val="00BB233A"/>
    <w:rsid w:val="00BB7742"/>
    <w:rsid w:val="00BC158B"/>
    <w:rsid w:val="00BC3D21"/>
    <w:rsid w:val="00BC589B"/>
    <w:rsid w:val="00BD0F87"/>
    <w:rsid w:val="00BD2FF6"/>
    <w:rsid w:val="00BF2123"/>
    <w:rsid w:val="00BF488D"/>
    <w:rsid w:val="00BF7D6B"/>
    <w:rsid w:val="00C0687D"/>
    <w:rsid w:val="00C144A9"/>
    <w:rsid w:val="00C15F3D"/>
    <w:rsid w:val="00C2457E"/>
    <w:rsid w:val="00C43589"/>
    <w:rsid w:val="00C459CE"/>
    <w:rsid w:val="00C47E93"/>
    <w:rsid w:val="00C51772"/>
    <w:rsid w:val="00C70D6D"/>
    <w:rsid w:val="00C7494E"/>
    <w:rsid w:val="00CB043B"/>
    <w:rsid w:val="00CC434A"/>
    <w:rsid w:val="00CC5581"/>
    <w:rsid w:val="00CC72BC"/>
    <w:rsid w:val="00CE0B5D"/>
    <w:rsid w:val="00CE50D4"/>
    <w:rsid w:val="00CE5ADC"/>
    <w:rsid w:val="00CF3427"/>
    <w:rsid w:val="00CF52DA"/>
    <w:rsid w:val="00D00D9A"/>
    <w:rsid w:val="00D15A0D"/>
    <w:rsid w:val="00D22B30"/>
    <w:rsid w:val="00D358B3"/>
    <w:rsid w:val="00D378C1"/>
    <w:rsid w:val="00D422D1"/>
    <w:rsid w:val="00D4361C"/>
    <w:rsid w:val="00D4585E"/>
    <w:rsid w:val="00D6044A"/>
    <w:rsid w:val="00D614A5"/>
    <w:rsid w:val="00D64B88"/>
    <w:rsid w:val="00D67A6A"/>
    <w:rsid w:val="00D703BA"/>
    <w:rsid w:val="00D73CC7"/>
    <w:rsid w:val="00D76FF4"/>
    <w:rsid w:val="00D8758B"/>
    <w:rsid w:val="00DA0B62"/>
    <w:rsid w:val="00DA58D6"/>
    <w:rsid w:val="00DA6281"/>
    <w:rsid w:val="00DC2AD7"/>
    <w:rsid w:val="00DD0F11"/>
    <w:rsid w:val="00DE58AF"/>
    <w:rsid w:val="00DE76B7"/>
    <w:rsid w:val="00E00C0B"/>
    <w:rsid w:val="00E140FA"/>
    <w:rsid w:val="00E161D9"/>
    <w:rsid w:val="00E23344"/>
    <w:rsid w:val="00E27362"/>
    <w:rsid w:val="00E33A48"/>
    <w:rsid w:val="00E417F3"/>
    <w:rsid w:val="00E556A7"/>
    <w:rsid w:val="00E557F0"/>
    <w:rsid w:val="00E56144"/>
    <w:rsid w:val="00E64890"/>
    <w:rsid w:val="00E66618"/>
    <w:rsid w:val="00E72AAE"/>
    <w:rsid w:val="00E85CE9"/>
    <w:rsid w:val="00E90C40"/>
    <w:rsid w:val="00E91E01"/>
    <w:rsid w:val="00EA7896"/>
    <w:rsid w:val="00EC1180"/>
    <w:rsid w:val="00ED064D"/>
    <w:rsid w:val="00ED0971"/>
    <w:rsid w:val="00ED7FAF"/>
    <w:rsid w:val="00EE1FAD"/>
    <w:rsid w:val="00EE3B84"/>
    <w:rsid w:val="00EE6581"/>
    <w:rsid w:val="00EF2CEA"/>
    <w:rsid w:val="00EF2F69"/>
    <w:rsid w:val="00EF35D8"/>
    <w:rsid w:val="00F00AA7"/>
    <w:rsid w:val="00F047B5"/>
    <w:rsid w:val="00F129F8"/>
    <w:rsid w:val="00F22811"/>
    <w:rsid w:val="00F25CB1"/>
    <w:rsid w:val="00F31779"/>
    <w:rsid w:val="00F42BBB"/>
    <w:rsid w:val="00F63085"/>
    <w:rsid w:val="00F70E5D"/>
    <w:rsid w:val="00F72C86"/>
    <w:rsid w:val="00F83969"/>
    <w:rsid w:val="00F90061"/>
    <w:rsid w:val="00F91971"/>
    <w:rsid w:val="00FA1F8E"/>
    <w:rsid w:val="00FA209B"/>
    <w:rsid w:val="00FA4ED6"/>
    <w:rsid w:val="00FA6076"/>
    <w:rsid w:val="00FC1207"/>
    <w:rsid w:val="00FC2734"/>
    <w:rsid w:val="00FC2CDB"/>
    <w:rsid w:val="00FC48D9"/>
    <w:rsid w:val="00FC521C"/>
    <w:rsid w:val="00FC618B"/>
    <w:rsid w:val="00FD2095"/>
    <w:rsid w:val="00FD630A"/>
    <w:rsid w:val="00FE003D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57310E"/>
  <w15:docId w15:val="{EF50B62A-E9DA-49B0-BB31-BE21341A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4285"/>
  </w:style>
  <w:style w:type="paragraph" w:styleId="Heading1">
    <w:name w:val="heading 1"/>
    <w:basedOn w:val="Normal"/>
    <w:next w:val="Normal"/>
    <w:link w:val="Heading1Char"/>
    <w:uiPriority w:val="9"/>
    <w:qFormat/>
    <w:rsid w:val="00BC589B"/>
    <w:pPr>
      <w:keepNext/>
      <w:keepLines/>
      <w:spacing w:before="240"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0F0410"/>
    <w:pPr>
      <w:keepNext/>
      <w:keepLines/>
      <w:spacing w:before="40" w:after="0"/>
      <w:outlineLvl w:val="1"/>
    </w:pPr>
    <w:rPr>
      <w:rFonts w:ascii="Arial" w:eastAsiaTheme="majorEastAsia" w:hAnsi="Arial" w:cs="Arial"/>
      <w:color w:val="1F4E79"/>
      <w:sz w:val="24"/>
      <w:szCs w:val="28"/>
    </w:rPr>
  </w:style>
  <w:style w:type="paragraph" w:styleId="Heading3">
    <w:name w:val="heading 3"/>
    <w:next w:val="BodyText"/>
    <w:link w:val="Heading3Char"/>
    <w:uiPriority w:val="9"/>
    <w:unhideWhenUsed/>
    <w:qFormat/>
    <w:rsid w:val="00162782"/>
    <w:pPr>
      <w:spacing w:before="240" w:after="120" w:line="240" w:lineRule="auto"/>
      <w:outlineLvl w:val="2"/>
    </w:pPr>
    <w:rPr>
      <w:rFonts w:ascii="Arial" w:eastAsia="Calibri" w:hAnsi="Arial" w:cs="Arial"/>
      <w:i/>
      <w:color w:val="1F4E79"/>
      <w:lang w:eastAsia="en-AU" w:bidi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F0410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89B"/>
    <w:rPr>
      <w:rFonts w:ascii="Arial" w:eastAsiaTheme="majorEastAsia" w:hAnsi="Arial" w:cs="Arial"/>
      <w:color w:val="1F4E79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0410"/>
    <w:rPr>
      <w:rFonts w:ascii="Arial" w:eastAsiaTheme="majorEastAsia" w:hAnsi="Arial" w:cs="Arial"/>
      <w:color w:val="1F4E7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2782"/>
    <w:rPr>
      <w:rFonts w:ascii="Arial" w:eastAsia="Calibri" w:hAnsi="Arial" w:cs="Arial"/>
      <w:i/>
      <w:color w:val="1F4E79"/>
      <w:lang w:eastAsia="en-AU" w:bidi="en-AU"/>
    </w:rPr>
  </w:style>
  <w:style w:type="character" w:customStyle="1" w:styleId="Heading4Char">
    <w:name w:val="Heading 4 Char"/>
    <w:basedOn w:val="DefaultParagraphFont"/>
    <w:link w:val="Heading4"/>
    <w:uiPriority w:val="9"/>
    <w:rsid w:val="000F0410"/>
    <w:rPr>
      <w:rFonts w:ascii="Arial" w:eastAsia="Calibri" w:hAnsi="Arial" w:cs="Arial"/>
      <w:i/>
      <w:color w:val="1F4E79"/>
      <w:lang w:eastAsia="en-AU" w:bidi="en-AU"/>
    </w:rPr>
  </w:style>
  <w:style w:type="table" w:styleId="TableGrid">
    <w:name w:val="Table Grid"/>
    <w:basedOn w:val="TableNormal"/>
    <w:uiPriority w:val="59"/>
    <w:rsid w:val="000C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C1B4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1B4B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0C1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4B"/>
  </w:style>
  <w:style w:type="paragraph" w:styleId="Title">
    <w:name w:val="Title"/>
    <w:basedOn w:val="Normal"/>
    <w:next w:val="Normal"/>
    <w:link w:val="TitleChar"/>
    <w:uiPriority w:val="10"/>
    <w:qFormat/>
    <w:rsid w:val="000A207B"/>
    <w:pPr>
      <w:spacing w:after="600" w:line="240" w:lineRule="auto"/>
      <w:contextualSpacing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A207B"/>
    <w:rPr>
      <w:rFonts w:ascii="Arial" w:eastAsia="Calibri" w:hAnsi="Arial" w:cs="Arial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825280"/>
    <w:pPr>
      <w:widowControl w:val="0"/>
      <w:autoSpaceDE w:val="0"/>
      <w:autoSpaceDN w:val="0"/>
      <w:spacing w:after="12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825280"/>
    <w:rPr>
      <w:rFonts w:ascii="Calibri" w:eastAsia="Calibri" w:hAnsi="Calibri" w:cs="Calibri"/>
      <w:lang w:eastAsia="en-AU" w:bidi="en-AU"/>
    </w:rPr>
  </w:style>
  <w:style w:type="paragraph" w:customStyle="1" w:styleId="DotPointLVL1">
    <w:name w:val="Dot Point LVL1"/>
    <w:basedOn w:val="Normal"/>
    <w:qFormat/>
    <w:rsid w:val="000A207B"/>
    <w:pPr>
      <w:numPr>
        <w:numId w:val="1"/>
      </w:numPr>
      <w:contextualSpacing/>
    </w:pPr>
  </w:style>
  <w:style w:type="paragraph" w:customStyle="1" w:styleId="TableBodyLeft">
    <w:name w:val="TableBodyLeft"/>
    <w:rsid w:val="000C1B4B"/>
    <w:rPr>
      <w:rFonts w:eastAsia="Times New Roman" w:cs="Times New Roman"/>
      <w:lang w:val="en-US"/>
    </w:rPr>
  </w:style>
  <w:style w:type="paragraph" w:customStyle="1" w:styleId="TableColumnHeaderLeft">
    <w:name w:val="TableColumnHeaderLeft"/>
    <w:next w:val="BodyText"/>
    <w:rsid w:val="000C1B4B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val="en-US"/>
    </w:rPr>
  </w:style>
  <w:style w:type="paragraph" w:customStyle="1" w:styleId="NumberedList">
    <w:name w:val="Numbered List"/>
    <w:basedOn w:val="Normal"/>
    <w:qFormat/>
    <w:rsid w:val="000F0410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23"/>
    <w:rPr>
      <w:rFonts w:ascii="Segoe UI" w:hAnsi="Segoe UI" w:cs="Segoe UI"/>
      <w:sz w:val="18"/>
      <w:szCs w:val="18"/>
    </w:rPr>
  </w:style>
  <w:style w:type="character" w:customStyle="1" w:styleId="SchoolName">
    <w:name w:val="SchoolName"/>
    <w:basedOn w:val="TitleChar"/>
    <w:uiPriority w:val="1"/>
    <w:rsid w:val="0029006B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2B3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52B3"/>
    <w:rPr>
      <w:rFonts w:ascii="Arial" w:eastAsiaTheme="minorEastAsia" w:hAnsi="Arial" w:cs="Arial"/>
      <w:color w:val="000000" w:themeColor="text1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46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6D"/>
  </w:style>
  <w:style w:type="paragraph" w:customStyle="1" w:styleId="DotPointLVL2">
    <w:name w:val="Dot Point LVL2"/>
    <w:basedOn w:val="Normal"/>
    <w:qFormat/>
    <w:rsid w:val="000A207B"/>
    <w:pPr>
      <w:numPr>
        <w:ilvl w:val="1"/>
        <w:numId w:val="1"/>
      </w:numPr>
      <w:ind w:left="714" w:hanging="357"/>
      <w:contextualSpacing/>
    </w:pPr>
    <w:rPr>
      <w:rFonts w:ascii="Calibri" w:eastAsia="Calibri" w:hAnsi="Calibri" w:cs="Calibri"/>
      <w:i/>
      <w:lang w:eastAsia="en-AU" w:bidi="en-AU"/>
    </w:rPr>
  </w:style>
  <w:style w:type="character" w:styleId="PlaceholderText">
    <w:name w:val="Placeholder Text"/>
    <w:basedOn w:val="DefaultParagraphFont"/>
    <w:uiPriority w:val="99"/>
    <w:semiHidden/>
    <w:rsid w:val="00BF488D"/>
    <w:rPr>
      <w:color w:val="808080"/>
    </w:rPr>
  </w:style>
  <w:style w:type="paragraph" w:styleId="ListParagraph">
    <w:name w:val="List Paragraph"/>
    <w:basedOn w:val="Normal"/>
    <w:uiPriority w:val="34"/>
    <w:qFormat/>
    <w:rsid w:val="00B94A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F0BCB"/>
    <w:pPr>
      <w:numPr>
        <w:numId w:val="5"/>
      </w:numPr>
      <w:contextualSpacing/>
    </w:pPr>
  </w:style>
  <w:style w:type="paragraph" w:styleId="NormalWeb">
    <w:name w:val="Normal (Web)"/>
    <w:basedOn w:val="Normal"/>
    <w:uiPriority w:val="99"/>
    <w:unhideWhenUsed/>
    <w:rsid w:val="00D4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09FF18D63449F38EF834228DC3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0EA2-4103-45E0-9666-CA89EFD561DE}"/>
      </w:docPartPr>
      <w:docPartBody>
        <w:p w:rsidR="00E40337" w:rsidRDefault="00BC1A81" w:rsidP="00BC1A81">
          <w:pPr>
            <w:pStyle w:val="D009FF18D63449F38EF834228DC3F6AB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712BCF00AFE4403FA02BBDC80165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286B-342D-4056-BA37-AF668A9460AC}"/>
      </w:docPartPr>
      <w:docPartBody>
        <w:p w:rsidR="00E40337" w:rsidRDefault="00BC1A81" w:rsidP="00BC1A81">
          <w:pPr>
            <w:pStyle w:val="712BCF00AFE4403FA02BBDC801656C5D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A81"/>
    <w:rsid w:val="00005900"/>
    <w:rsid w:val="002954D6"/>
    <w:rsid w:val="007665F4"/>
    <w:rsid w:val="008F7550"/>
    <w:rsid w:val="009A4C1B"/>
    <w:rsid w:val="009B1C16"/>
    <w:rsid w:val="00BC1A81"/>
    <w:rsid w:val="00DD438C"/>
    <w:rsid w:val="00E40337"/>
    <w:rsid w:val="00F83D8F"/>
    <w:rsid w:val="00F96B19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5F4"/>
    <w:rPr>
      <w:color w:val="808080"/>
    </w:rPr>
  </w:style>
  <w:style w:type="paragraph" w:customStyle="1" w:styleId="D009FF18D63449F38EF834228DC3F6AB">
    <w:name w:val="D009FF18D63449F38EF834228DC3F6AB"/>
    <w:rsid w:val="00BC1A81"/>
  </w:style>
  <w:style w:type="paragraph" w:customStyle="1" w:styleId="712BCF00AFE4403FA02BBDC801656C5D">
    <w:name w:val="712BCF00AFE4403FA02BBDC801656C5D"/>
    <w:rsid w:val="00BC1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DEFDDB6DC614B880E0DFD2F5F87F0" ma:contentTypeVersion="9" ma:contentTypeDescription="Create a new document." ma:contentTypeScope="" ma:versionID="eaf7401d3228493a835737df21c281ce">
  <xsd:schema xmlns:xsd="http://www.w3.org/2001/XMLSchema" xmlns:xs="http://www.w3.org/2001/XMLSchema" xmlns:p="http://schemas.microsoft.com/office/2006/metadata/properties" xmlns:ns3="066948ae-b478-4f2d-8924-fdf023481d81" xmlns:ns4="5ce70693-1718-4ff9-978a-8044f68aab90" targetNamespace="http://schemas.microsoft.com/office/2006/metadata/properties" ma:root="true" ma:fieldsID="f5642ca31cafee4529223734585b393e" ns3:_="" ns4:_="">
    <xsd:import namespace="066948ae-b478-4f2d-8924-fdf023481d81"/>
    <xsd:import namespace="5ce70693-1718-4ff9-978a-8044f68aab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948ae-b478-4f2d-8924-fdf023481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70693-1718-4ff9-978a-8044f68aa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57003-0C05-425A-B830-FF5043A8B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90D23-182F-4CAF-8B98-EAF153832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50E391-CC5A-4964-97D9-B39C1E138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948ae-b478-4f2d-8924-fdf023481d81"/>
    <ds:schemaRef ds:uri="5ce70693-1718-4ff9-978a-8044f68aa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6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Yehuwdiy</dc:creator>
  <cp:keywords/>
  <dc:description/>
  <cp:lastModifiedBy>Holmes, Jason</cp:lastModifiedBy>
  <cp:revision>5</cp:revision>
  <cp:lastPrinted>2019-02-19T23:28:00Z</cp:lastPrinted>
  <dcterms:created xsi:type="dcterms:W3CDTF">2021-03-18T11:15:00Z</dcterms:created>
  <dcterms:modified xsi:type="dcterms:W3CDTF">2021-03-18T22:30:00Z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0x010100810DEFDDB6DC614B880E0DFD2F5F87F0</vt:lpwstr>
  </property>
</Properties>
</file>