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4158AC16" w:rsidR="00FE1945" w:rsidRPr="00563A3D" w:rsidRDefault="00DF6619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Torrens Primary School</w:t>
          </w:r>
        </w:p>
      </w:sdtContent>
    </w:sdt>
    <w:p w14:paraId="196DE4B4" w14:textId="77777777" w:rsidR="006908E6" w:rsidRPr="005F3926" w:rsidRDefault="006908E6" w:rsidP="006908E6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3321FBAC53F74F78ADCAB9EDCA0C679F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>
            <w:t>South Canberra/ Weston</w:t>
          </w:r>
        </w:sdtContent>
      </w:sdt>
    </w:p>
    <w:p w14:paraId="38F253B0" w14:textId="762535FF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6B76FD">
        <w:t>2</w:t>
      </w:r>
      <w:r w:rsidR="006908E6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451D9180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3C5CB7">
        <w:t>21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1A63B651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1C6919A3" w14:textId="77777777" w:rsidR="001003B8" w:rsidRPr="00997CD0" w:rsidRDefault="001003B8" w:rsidP="001003B8">
      <w:pPr>
        <w:pStyle w:val="Heading1"/>
      </w:pPr>
      <w:r w:rsidRPr="00997CD0">
        <w:t xml:space="preserve">Our school’s contribution to whole-of-system </w:t>
      </w:r>
      <w:r>
        <w:t>S</w:t>
      </w:r>
      <w:r w:rsidRPr="00997CD0">
        <w:t xml:space="preserve">trategic </w:t>
      </w:r>
      <w:r>
        <w:t>I</w:t>
      </w:r>
      <w:r w:rsidRPr="00997CD0">
        <w:t>ndicators</w:t>
      </w:r>
    </w:p>
    <w:p w14:paraId="07094894" w14:textId="77777777" w:rsidR="001003B8" w:rsidRPr="001B2E33" w:rsidRDefault="001003B8" w:rsidP="001003B8">
      <w:pPr>
        <w:pStyle w:val="Heading2"/>
      </w:pPr>
      <w:r w:rsidRPr="001B2E33">
        <w:t>Education Directorate Strategic Indicator 2018-2021</w:t>
      </w:r>
    </w:p>
    <w:p w14:paraId="0A31F863" w14:textId="77777777" w:rsidR="001003B8" w:rsidRPr="001B2E33" w:rsidRDefault="001003B8" w:rsidP="001003B8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3A129E4B" w14:textId="77777777" w:rsidR="001003B8" w:rsidRDefault="001003B8" w:rsidP="001003B8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774F8327" w14:textId="77777777" w:rsidR="001003B8" w:rsidRPr="009B454E" w:rsidRDefault="001003B8" w:rsidP="001003B8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40675C30" w14:textId="77777777" w:rsidR="001003B8" w:rsidRDefault="001003B8" w:rsidP="001003B8">
      <w:pPr>
        <w:pStyle w:val="BodyText"/>
      </w:pPr>
    </w:p>
    <w:p w14:paraId="5848825D" w14:textId="12603FE9" w:rsidR="001003B8" w:rsidRPr="00132917" w:rsidRDefault="001003B8" w:rsidP="001003B8">
      <w:pPr>
        <w:pStyle w:val="BodyText"/>
      </w:pPr>
      <w:r w:rsidRPr="00132917">
        <w:t>In 20</w:t>
      </w:r>
      <w:r w:rsidR="00BC6886">
        <w:t>21</w:t>
      </w:r>
      <w:r w:rsidRPr="00132917">
        <w:t xml:space="preserve"> our school supported th</w:t>
      </w:r>
      <w:r>
        <w:t>ese</w:t>
      </w:r>
      <w:r w:rsidRPr="00132917">
        <w:t xml:space="preserve"> </w:t>
      </w:r>
      <w:r>
        <w:t>S</w:t>
      </w:r>
      <w:r w:rsidRPr="00132917">
        <w:t xml:space="preserve">trategic </w:t>
      </w:r>
      <w:r>
        <w:t>I</w:t>
      </w:r>
      <w:r w:rsidRPr="00132917">
        <w:t>ndicator</w:t>
      </w:r>
      <w:r>
        <w:t>s</w:t>
      </w:r>
      <w:r w:rsidRPr="00132917">
        <w:t xml:space="preserve"> through Priority</w:t>
      </w:r>
      <w:r>
        <w:t xml:space="preserve"> </w:t>
      </w:r>
      <w:r w:rsidR="00BC6886">
        <w:t>2</w:t>
      </w:r>
      <w:r w:rsidRPr="00132917">
        <w:t>:</w:t>
      </w:r>
    </w:p>
    <w:p w14:paraId="70BE1D52" w14:textId="1012FD6C" w:rsidR="001003B8" w:rsidRPr="00300F72" w:rsidRDefault="001003B8" w:rsidP="001003B8">
      <w:pPr>
        <w:pStyle w:val="ListBullet"/>
      </w:pPr>
      <w:r>
        <w:t xml:space="preserve">Improve Growth in </w:t>
      </w:r>
      <w:r w:rsidR="00466199">
        <w:t>Mathematics</w:t>
      </w:r>
    </w:p>
    <w:p w14:paraId="4877D670" w14:textId="77777777" w:rsidR="001003B8" w:rsidRPr="00300F72" w:rsidRDefault="001003B8" w:rsidP="001003B8">
      <w:pPr>
        <w:pStyle w:val="BodyText"/>
      </w:pPr>
    </w:p>
    <w:p w14:paraId="386A6612" w14:textId="77777777" w:rsidR="001003B8" w:rsidRDefault="001003B8" w:rsidP="001003B8">
      <w:pPr>
        <w:pStyle w:val="Heading1"/>
      </w:pPr>
      <w:r>
        <w:t>Reporting against our priorities</w:t>
      </w:r>
    </w:p>
    <w:p w14:paraId="64DAA325" w14:textId="0B284574" w:rsidR="001003B8" w:rsidRPr="00300F72" w:rsidRDefault="001003B8" w:rsidP="001003B8">
      <w:pPr>
        <w:pStyle w:val="ListBullet"/>
      </w:pPr>
      <w:r w:rsidRPr="000F0410">
        <w:t xml:space="preserve">Priority </w:t>
      </w:r>
      <w:r w:rsidR="00BC6886">
        <w:t>2</w:t>
      </w:r>
      <w:r w:rsidRPr="000F0410">
        <w:t>:</w:t>
      </w:r>
      <w:r w:rsidRPr="000F0410">
        <w:tab/>
      </w:r>
      <w:r>
        <w:t>Improve Growth in Mathematics</w:t>
      </w:r>
    </w:p>
    <w:p w14:paraId="32B19DC8" w14:textId="77777777" w:rsidR="001003B8" w:rsidRPr="00837137" w:rsidRDefault="001003B8" w:rsidP="001003B8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62FEC53D" w14:textId="77777777" w:rsidR="001003B8" w:rsidRDefault="001003B8" w:rsidP="001003B8">
      <w:pPr>
        <w:pStyle w:val="BodyText"/>
      </w:pPr>
      <w:r>
        <w:t>By the end of 2023 we will achieve:</w:t>
      </w:r>
    </w:p>
    <w:p w14:paraId="62E1AF37" w14:textId="77777777" w:rsidR="001003B8" w:rsidRPr="00466CAA" w:rsidRDefault="001003B8" w:rsidP="001003B8">
      <w:pPr>
        <w:pStyle w:val="Heading3"/>
      </w:pPr>
      <w:r w:rsidRPr="00466CAA">
        <w:t>Student learning data</w:t>
      </w:r>
    </w:p>
    <w:p w14:paraId="070BCD11" w14:textId="77777777" w:rsidR="001003B8" w:rsidRPr="005847B7" w:rsidRDefault="001003B8" w:rsidP="001003B8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60% of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3-5 students are at or above expected growth</w:t>
      </w:r>
    </w:p>
    <w:p w14:paraId="6AC6B0DB" w14:textId="77777777" w:rsidR="001003B8" w:rsidRPr="005847B7" w:rsidRDefault="001003B8" w:rsidP="001003B8">
      <w:pPr>
        <w:pStyle w:val="BodyText"/>
        <w:tabs>
          <w:tab w:val="left" w:pos="851"/>
        </w:tabs>
        <w:spacing w:before="22"/>
        <w:ind w:left="851" w:hanging="851"/>
        <w:rPr>
          <w:b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NAPLAN and PIPS</w:t>
      </w:r>
    </w:p>
    <w:p w14:paraId="637BBDCA" w14:textId="77777777" w:rsidR="001003B8" w:rsidRPr="00297BFA" w:rsidRDefault="001003B8" w:rsidP="001003B8">
      <w:pPr>
        <w:tabs>
          <w:tab w:val="left" w:pos="1560"/>
        </w:tabs>
        <w:ind w:left="1560" w:hanging="1560"/>
      </w:pPr>
      <w:r w:rsidRPr="005847B7">
        <w:rPr>
          <w:b/>
          <w:color w:val="000000" w:themeColor="text1"/>
        </w:rPr>
        <w:t>Starting point:</w:t>
      </w:r>
      <w:r w:rsidRPr="004A1B8F">
        <w:rPr>
          <w:color w:val="000000" w:themeColor="text1"/>
        </w:rPr>
        <w:t xml:space="preserve"> </w:t>
      </w:r>
      <w:r w:rsidRPr="00EB1770">
        <w:rPr>
          <w:color w:val="000000" w:themeColor="text1"/>
        </w:rPr>
        <w:t>4</w:t>
      </w:r>
      <w:r>
        <w:rPr>
          <w:color w:val="000000" w:themeColor="text1"/>
        </w:rPr>
        <w:t>9.2</w:t>
      </w:r>
      <w:r w:rsidRPr="00EB1770">
        <w:rPr>
          <w:color w:val="000000" w:themeColor="text1"/>
        </w:rPr>
        <w:t>% o</w:t>
      </w:r>
      <w:r>
        <w:rPr>
          <w:color w:val="000000" w:themeColor="text1"/>
        </w:rPr>
        <w:t xml:space="preserve">f </w:t>
      </w:r>
      <w:proofErr w:type="spellStart"/>
      <w:r>
        <w:rPr>
          <w:color w:val="000000" w:themeColor="text1"/>
        </w:rPr>
        <w:t>Yrs</w:t>
      </w:r>
      <w:proofErr w:type="spellEnd"/>
      <w:r>
        <w:rPr>
          <w:color w:val="000000" w:themeColor="text1"/>
        </w:rPr>
        <w:t xml:space="preserve"> 3-5 students are at or above expected growth</w:t>
      </w:r>
    </w:p>
    <w:p w14:paraId="1D2CCE85" w14:textId="77777777" w:rsidR="001003B8" w:rsidRPr="00297BFA" w:rsidRDefault="001003B8" w:rsidP="001003B8">
      <w:pPr>
        <w:pStyle w:val="Heading3"/>
      </w:pPr>
      <w:r w:rsidRPr="00297BFA">
        <w:t>Perception Data</w:t>
      </w:r>
    </w:p>
    <w:p w14:paraId="5AFB7984" w14:textId="77777777" w:rsidR="001003B8" w:rsidRPr="005847B7" w:rsidRDefault="001003B8" w:rsidP="001003B8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Target or measure</w:t>
      </w:r>
      <w:r w:rsidRPr="005847B7">
        <w:rPr>
          <w:color w:val="000000" w:themeColor="text1"/>
        </w:rPr>
        <w:t xml:space="preserve"> </w:t>
      </w:r>
      <w:r>
        <w:rPr>
          <w:color w:val="000000" w:themeColor="text1"/>
        </w:rPr>
        <w:t>All teachers feel competent and confident in enriching and extending all students in mathematics.</w:t>
      </w:r>
    </w:p>
    <w:p w14:paraId="7C719571" w14:textId="77777777" w:rsidR="001003B8" w:rsidRPr="005847B7" w:rsidRDefault="001003B8" w:rsidP="001003B8">
      <w:pPr>
        <w:pStyle w:val="BodyText"/>
        <w:tabs>
          <w:tab w:val="left" w:pos="851"/>
        </w:tabs>
        <w:spacing w:before="22"/>
        <w:ind w:left="851" w:hanging="851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Source:</w:t>
      </w:r>
      <w:r w:rsidRPr="005847B7">
        <w:rPr>
          <w:b/>
          <w:color w:val="000000" w:themeColor="text1"/>
        </w:rPr>
        <w:tab/>
      </w:r>
      <w:r>
        <w:rPr>
          <w:i/>
          <w:color w:val="000000" w:themeColor="text1"/>
        </w:rPr>
        <w:t>Teacher survey</w:t>
      </w:r>
    </w:p>
    <w:p w14:paraId="2C7EFDBF" w14:textId="77777777" w:rsidR="001003B8" w:rsidRPr="005847B7" w:rsidRDefault="001003B8" w:rsidP="001003B8">
      <w:pPr>
        <w:pStyle w:val="BodyText"/>
        <w:tabs>
          <w:tab w:val="left" w:pos="1560"/>
        </w:tabs>
        <w:spacing w:before="22"/>
        <w:rPr>
          <w:b/>
          <w:i/>
          <w:color w:val="000000" w:themeColor="text1"/>
        </w:rPr>
      </w:pPr>
      <w:r w:rsidRPr="005847B7">
        <w:rPr>
          <w:b/>
          <w:color w:val="000000" w:themeColor="text1"/>
        </w:rPr>
        <w:t>Starting point:</w:t>
      </w:r>
      <w:r>
        <w:rPr>
          <w:b/>
          <w:color w:val="000000" w:themeColor="text1"/>
        </w:rPr>
        <w:t xml:space="preserve"> </w:t>
      </w:r>
      <w:r w:rsidRPr="00D81CAC">
        <w:rPr>
          <w:color w:val="000000" w:themeColor="text1"/>
        </w:rPr>
        <w:t>50% of teachers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feel competent and confident in enriching and extending all students in mathematics.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6F6A05B7" w14:textId="0888EF21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ED15D9">
        <w:t>Improve Growth in Mathematics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19AF6FC2" w:rsidR="00EB70CE" w:rsidRDefault="00EB70CE" w:rsidP="00EB70CE">
      <w:pPr>
        <w:pStyle w:val="BodyText"/>
      </w:pPr>
      <w:r>
        <w:t>By the end of 20</w:t>
      </w:r>
      <w:r w:rsidR="00ED15D9">
        <w:t>23</w:t>
      </w:r>
      <w:r>
        <w:t xml:space="preserve"> we will achieve:</w:t>
      </w:r>
    </w:p>
    <w:p w14:paraId="21EABEFE" w14:textId="251C46E8" w:rsidR="00ED15D9" w:rsidRDefault="00B64EDC" w:rsidP="00ED15D9">
      <w:pPr>
        <w:pStyle w:val="ListBullet"/>
      </w:pPr>
      <w:r>
        <w:t xml:space="preserve">Student learning data </w:t>
      </w:r>
      <w:r w:rsidR="00ED15D9">
        <w:t xml:space="preserve">Target 60% of </w:t>
      </w:r>
      <w:proofErr w:type="spellStart"/>
      <w:r w:rsidR="00ED15D9">
        <w:t>Yrs</w:t>
      </w:r>
      <w:proofErr w:type="spellEnd"/>
      <w:r w:rsidR="00ED15D9">
        <w:t xml:space="preserve"> 3-5 students are at or above expected growth </w:t>
      </w:r>
    </w:p>
    <w:p w14:paraId="39C51E08" w14:textId="77777777" w:rsidR="00ED15D9" w:rsidRDefault="00ED15D9" w:rsidP="00B64EDC">
      <w:pPr>
        <w:pStyle w:val="ListBullet2"/>
      </w:pPr>
      <w:r>
        <w:t xml:space="preserve">Source: NAPLAN and PIPS Starting point: 49.2% of </w:t>
      </w:r>
      <w:proofErr w:type="spellStart"/>
      <w:r>
        <w:t>Yrs</w:t>
      </w:r>
      <w:proofErr w:type="spellEnd"/>
      <w:r>
        <w:t xml:space="preserve"> 3-5 students are at or above expected growth Target or measure </w:t>
      </w:r>
    </w:p>
    <w:p w14:paraId="4DCA00A7" w14:textId="77777777" w:rsidR="00B64EDC" w:rsidRDefault="00ED15D9" w:rsidP="00ED15D9">
      <w:pPr>
        <w:pStyle w:val="ListBullet"/>
      </w:pPr>
      <w:r>
        <w:t xml:space="preserve">All teachers feel competent and confident in enriching and extending all students in mathematics. </w:t>
      </w:r>
    </w:p>
    <w:p w14:paraId="4BBCD868" w14:textId="77777777" w:rsidR="00B64EDC" w:rsidRDefault="00ED15D9" w:rsidP="00B64EDC">
      <w:pPr>
        <w:pStyle w:val="ListBullet2"/>
      </w:pPr>
      <w:r>
        <w:t xml:space="preserve">Source: Teacher survey Starting point: 50% of teachers feel competent and confident in enriching and extending all students in mathematics. </w:t>
      </w:r>
    </w:p>
    <w:p w14:paraId="1B5D512E" w14:textId="23236AF7" w:rsidR="00B64EDC" w:rsidRDefault="00ED15D9" w:rsidP="00ED15D9">
      <w:pPr>
        <w:pStyle w:val="ListBullet"/>
      </w:pPr>
      <w:r>
        <w:t>School program and process data Target</w:t>
      </w:r>
      <w:r w:rsidR="00B64EDC">
        <w:t xml:space="preserve">: </w:t>
      </w:r>
      <w:r>
        <w:t xml:space="preserve">In all classrooms, students </w:t>
      </w:r>
      <w:r w:rsidR="00466199">
        <w:t>can</w:t>
      </w:r>
      <w:r>
        <w:t xml:space="preserve"> apply and transfer their mathematical knowledge. </w:t>
      </w:r>
    </w:p>
    <w:p w14:paraId="49C1AD39" w14:textId="77777777" w:rsidR="00B64EDC" w:rsidRDefault="00ED15D9" w:rsidP="00B64EDC">
      <w:pPr>
        <w:pStyle w:val="ListBullet2"/>
      </w:pPr>
      <w:r>
        <w:t>Source: Class walkthrough/Planning documents Starting point: 12 out of 22 classroom maths programmes show evidence that students are learning how to apply maths concepts.</w:t>
      </w:r>
      <w:r w:rsidRPr="00837137">
        <w:t xml:space="preserve"> </w:t>
      </w:r>
    </w:p>
    <w:p w14:paraId="18636BB5" w14:textId="7325F7A7" w:rsidR="00B64EDC" w:rsidRDefault="00B64EDC" w:rsidP="00B64EDC">
      <w:pPr>
        <w:pStyle w:val="ListBullet2"/>
        <w:numPr>
          <w:ilvl w:val="0"/>
          <w:numId w:val="0"/>
        </w:numPr>
      </w:pPr>
    </w:p>
    <w:p w14:paraId="4CED15D3" w14:textId="77777777" w:rsidR="00484312" w:rsidRPr="00373DC0" w:rsidRDefault="00484312" w:rsidP="00484312">
      <w:pPr>
        <w:pStyle w:val="BodyText"/>
      </w:pPr>
      <w:r w:rsidRPr="00373DC0">
        <w:t xml:space="preserve">In </w:t>
      </w:r>
      <w:r>
        <w:t>2021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E6B0D81" w14:textId="77777777" w:rsidR="00484312" w:rsidRDefault="00484312" w:rsidP="00484312">
      <w:pPr>
        <w:pStyle w:val="ListBullet"/>
      </w:pPr>
      <w:r>
        <w:t>Sharpening a focus on numeracy around “reasoning” and understanding</w:t>
      </w:r>
    </w:p>
    <w:p w14:paraId="2BF1DD24" w14:textId="77777777" w:rsidR="00484312" w:rsidRDefault="00484312" w:rsidP="00484312">
      <w:pPr>
        <w:pStyle w:val="ListBullet"/>
      </w:pPr>
      <w:r>
        <w:t>Explicit and targeted PL (Anita Chin) to increase teacher capacity</w:t>
      </w:r>
    </w:p>
    <w:p w14:paraId="78BD684B" w14:textId="77777777" w:rsidR="00484312" w:rsidRDefault="00484312" w:rsidP="00484312">
      <w:pPr>
        <w:pStyle w:val="ListBullet"/>
      </w:pPr>
      <w:r>
        <w:t>Targeted coaching across numeracy</w:t>
      </w:r>
    </w:p>
    <w:p w14:paraId="15570A9F" w14:textId="77777777" w:rsidR="00484312" w:rsidRDefault="00484312" w:rsidP="00484312">
      <w:pPr>
        <w:pStyle w:val="ListBullet"/>
      </w:pPr>
      <w:r>
        <w:t>Review and implementation of the 10 Essential Skills (developed at Torrens for Numeracy</w:t>
      </w:r>
    </w:p>
    <w:p w14:paraId="473F3587" w14:textId="77777777" w:rsidR="00484312" w:rsidRDefault="00484312" w:rsidP="00484312">
      <w:pPr>
        <w:pStyle w:val="BodyText"/>
      </w:pPr>
    </w:p>
    <w:p w14:paraId="5EF5459F" w14:textId="7E55FA98" w:rsidR="00484312" w:rsidRPr="00997CD0" w:rsidRDefault="00484312" w:rsidP="00484312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2F4184">
        <w:rPr>
          <w:noProof/>
        </w:rPr>
        <w:t xml:space="preserve"> </w:t>
      </w:r>
    </w:p>
    <w:p w14:paraId="027CCCD7" w14:textId="77777777" w:rsidR="00484312" w:rsidRPr="00C0648C" w:rsidRDefault="00484312" w:rsidP="00484312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484312" w14:paraId="4B871B62" w14:textId="77777777" w:rsidTr="00235B77">
        <w:trPr>
          <w:jc w:val="center"/>
        </w:trPr>
        <w:tc>
          <w:tcPr>
            <w:tcW w:w="4297" w:type="dxa"/>
            <w:shd w:val="clear" w:color="auto" w:fill="auto"/>
          </w:tcPr>
          <w:p w14:paraId="08CB130D" w14:textId="77777777" w:rsidR="00484312" w:rsidRPr="00D03B0C" w:rsidRDefault="00484312" w:rsidP="00235B77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71A67D03" w14:textId="77777777" w:rsidR="00484312" w:rsidRPr="00D03B0C" w:rsidRDefault="00484312" w:rsidP="00235B77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B16E221" w14:textId="77777777" w:rsidR="00484312" w:rsidRPr="00D03B0C" w:rsidRDefault="00484312" w:rsidP="00235B77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57EDD4E4" w14:textId="77777777" w:rsidR="00484312" w:rsidRPr="00D03B0C" w:rsidRDefault="00484312" w:rsidP="00235B77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A0D24EA" w14:textId="77777777" w:rsidR="00484312" w:rsidRPr="00D03B0C" w:rsidRDefault="00484312" w:rsidP="00235B77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54E0909" w14:textId="77777777" w:rsidR="00484312" w:rsidRPr="00D03B0C" w:rsidRDefault="00484312" w:rsidP="00235B77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5DBD8AEA" w14:textId="77777777" w:rsidR="00484312" w:rsidRPr="00D03B0C" w:rsidRDefault="00484312" w:rsidP="00235B77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484312" w14:paraId="15A815AE" w14:textId="77777777" w:rsidTr="00235B77">
        <w:trPr>
          <w:jc w:val="center"/>
        </w:trPr>
        <w:tc>
          <w:tcPr>
            <w:tcW w:w="4297" w:type="dxa"/>
            <w:shd w:val="clear" w:color="auto" w:fill="auto"/>
          </w:tcPr>
          <w:p w14:paraId="1932596B" w14:textId="77777777" w:rsidR="00484312" w:rsidRPr="00D03B0C" w:rsidRDefault="00484312" w:rsidP="00235B77">
            <w:pPr>
              <w:pStyle w:val="PlainText"/>
            </w:pPr>
            <w:r>
              <w:rPr>
                <w:color w:val="000000" w:themeColor="text1"/>
              </w:rPr>
              <w:t xml:space="preserve">60% of </w:t>
            </w:r>
            <w:proofErr w:type="spellStart"/>
            <w:r>
              <w:rPr>
                <w:color w:val="000000" w:themeColor="text1"/>
              </w:rPr>
              <w:t>Yrs</w:t>
            </w:r>
            <w:proofErr w:type="spellEnd"/>
            <w:r>
              <w:rPr>
                <w:color w:val="000000" w:themeColor="text1"/>
              </w:rPr>
              <w:t xml:space="preserve"> 3-5 students are at or above expected growth</w:t>
            </w:r>
          </w:p>
        </w:tc>
        <w:tc>
          <w:tcPr>
            <w:tcW w:w="790" w:type="dxa"/>
            <w:shd w:val="clear" w:color="auto" w:fill="auto"/>
          </w:tcPr>
          <w:p w14:paraId="3B9D170B" w14:textId="77777777" w:rsidR="00484312" w:rsidRPr="00D03B0C" w:rsidRDefault="00484312" w:rsidP="00235B77">
            <w:r>
              <w:t>49.2</w:t>
            </w:r>
          </w:p>
        </w:tc>
        <w:tc>
          <w:tcPr>
            <w:tcW w:w="790" w:type="dxa"/>
            <w:shd w:val="clear" w:color="auto" w:fill="auto"/>
          </w:tcPr>
          <w:p w14:paraId="1489CB2E" w14:textId="77777777" w:rsidR="00484312" w:rsidRPr="00D03B0C" w:rsidRDefault="00484312" w:rsidP="00235B77">
            <w:r>
              <w:t>58%</w:t>
            </w:r>
          </w:p>
        </w:tc>
        <w:tc>
          <w:tcPr>
            <w:tcW w:w="790" w:type="dxa"/>
            <w:shd w:val="clear" w:color="auto" w:fill="auto"/>
          </w:tcPr>
          <w:p w14:paraId="05445072" w14:textId="77777777" w:rsidR="00484312" w:rsidRPr="00D03B0C" w:rsidRDefault="00484312" w:rsidP="00235B77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28CEE9C0" w14:textId="77777777" w:rsidR="00484312" w:rsidRPr="00D03B0C" w:rsidRDefault="00484312" w:rsidP="00235B77">
            <w:r>
              <w:t>47%</w:t>
            </w:r>
          </w:p>
        </w:tc>
        <w:tc>
          <w:tcPr>
            <w:tcW w:w="790" w:type="dxa"/>
            <w:shd w:val="clear" w:color="auto" w:fill="auto"/>
          </w:tcPr>
          <w:p w14:paraId="24EA3767" w14:textId="77777777" w:rsidR="00484312" w:rsidRPr="00D03B0C" w:rsidRDefault="00484312" w:rsidP="00235B77"/>
        </w:tc>
        <w:tc>
          <w:tcPr>
            <w:tcW w:w="791" w:type="dxa"/>
            <w:shd w:val="clear" w:color="auto" w:fill="auto"/>
          </w:tcPr>
          <w:p w14:paraId="485C3D4A" w14:textId="77777777" w:rsidR="00484312" w:rsidRPr="00D03B0C" w:rsidRDefault="00484312" w:rsidP="00235B77"/>
        </w:tc>
      </w:tr>
    </w:tbl>
    <w:p w14:paraId="6C5466DC" w14:textId="77777777" w:rsidR="00484312" w:rsidRPr="008A01DA" w:rsidRDefault="00484312" w:rsidP="00484312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484312" w14:paraId="4F28A7B1" w14:textId="77777777" w:rsidTr="00235B77">
        <w:trPr>
          <w:jc w:val="center"/>
        </w:trPr>
        <w:tc>
          <w:tcPr>
            <w:tcW w:w="4297" w:type="dxa"/>
            <w:shd w:val="clear" w:color="auto" w:fill="auto"/>
          </w:tcPr>
          <w:p w14:paraId="7CFAFE07" w14:textId="77777777" w:rsidR="00484312" w:rsidRPr="006D2F6B" w:rsidRDefault="00484312" w:rsidP="00235B77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3F05957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6A02FC0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7A54CE16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2730D37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32CECE20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2C65E9E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484312" w14:paraId="12B2C806" w14:textId="77777777" w:rsidTr="00235B77">
        <w:trPr>
          <w:jc w:val="center"/>
        </w:trPr>
        <w:tc>
          <w:tcPr>
            <w:tcW w:w="4297" w:type="dxa"/>
            <w:shd w:val="clear" w:color="auto" w:fill="auto"/>
          </w:tcPr>
          <w:p w14:paraId="65B61866" w14:textId="77777777" w:rsidR="00484312" w:rsidRPr="005847B7" w:rsidRDefault="00484312" w:rsidP="00235B77">
            <w:pPr>
              <w:pStyle w:val="BodyText"/>
              <w:tabs>
                <w:tab w:val="left" w:pos="1560"/>
              </w:tabs>
              <w:spacing w:before="22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All classroom teachers feel competent and confident in enriching and extending all students in mathematics.</w:t>
            </w:r>
          </w:p>
          <w:p w14:paraId="15D2FEDD" w14:textId="77777777" w:rsidR="00484312" w:rsidRPr="006D2F6B" w:rsidRDefault="00484312" w:rsidP="00235B77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5A8816C9" w14:textId="77777777" w:rsidR="00484312" w:rsidRPr="006D2F6B" w:rsidRDefault="00484312" w:rsidP="00235B77">
            <w:r>
              <w:t>50%</w:t>
            </w:r>
          </w:p>
        </w:tc>
        <w:tc>
          <w:tcPr>
            <w:tcW w:w="790" w:type="dxa"/>
            <w:shd w:val="clear" w:color="auto" w:fill="auto"/>
          </w:tcPr>
          <w:p w14:paraId="31DF0732" w14:textId="77777777" w:rsidR="00484312" w:rsidRPr="006D2F6B" w:rsidRDefault="00484312" w:rsidP="00235B77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5423CB66" w14:textId="77777777" w:rsidR="00484312" w:rsidRPr="006D2F6B" w:rsidRDefault="00484312" w:rsidP="00235B77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7C3EF7C5" w14:textId="77777777" w:rsidR="00484312" w:rsidRPr="006D2F6B" w:rsidRDefault="00484312" w:rsidP="00235B77">
            <w:r>
              <w:t>92%</w:t>
            </w:r>
          </w:p>
        </w:tc>
        <w:tc>
          <w:tcPr>
            <w:tcW w:w="790" w:type="dxa"/>
            <w:shd w:val="clear" w:color="auto" w:fill="auto"/>
          </w:tcPr>
          <w:p w14:paraId="16B43A1A" w14:textId="77777777" w:rsidR="00484312" w:rsidRPr="006D2F6B" w:rsidRDefault="00484312" w:rsidP="00235B77"/>
        </w:tc>
        <w:tc>
          <w:tcPr>
            <w:tcW w:w="791" w:type="dxa"/>
            <w:shd w:val="clear" w:color="auto" w:fill="auto"/>
          </w:tcPr>
          <w:p w14:paraId="1B25C2E7" w14:textId="77777777" w:rsidR="00484312" w:rsidRPr="006D2F6B" w:rsidRDefault="00484312" w:rsidP="00235B77"/>
        </w:tc>
      </w:tr>
    </w:tbl>
    <w:p w14:paraId="6FB0592E" w14:textId="77777777" w:rsidR="00484312" w:rsidRPr="008A01DA" w:rsidRDefault="00484312" w:rsidP="00484312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080"/>
        <w:gridCol w:w="767"/>
        <w:gridCol w:w="767"/>
        <w:gridCol w:w="767"/>
        <w:gridCol w:w="767"/>
        <w:gridCol w:w="768"/>
      </w:tblGrid>
      <w:tr w:rsidR="00484312" w14:paraId="70A3AB99" w14:textId="77777777" w:rsidTr="00235B77">
        <w:trPr>
          <w:jc w:val="center"/>
        </w:trPr>
        <w:tc>
          <w:tcPr>
            <w:tcW w:w="2122" w:type="dxa"/>
            <w:shd w:val="clear" w:color="auto" w:fill="auto"/>
          </w:tcPr>
          <w:p w14:paraId="5B5A3318" w14:textId="77777777" w:rsidR="00484312" w:rsidRPr="006D2F6B" w:rsidRDefault="00484312" w:rsidP="00235B77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3080" w:type="dxa"/>
            <w:shd w:val="clear" w:color="auto" w:fill="auto"/>
          </w:tcPr>
          <w:p w14:paraId="2E670373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67" w:type="dxa"/>
            <w:shd w:val="clear" w:color="auto" w:fill="auto"/>
          </w:tcPr>
          <w:p w14:paraId="40FC238D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67" w:type="dxa"/>
            <w:shd w:val="clear" w:color="auto" w:fill="auto"/>
          </w:tcPr>
          <w:p w14:paraId="23ECAAB9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67" w:type="dxa"/>
            <w:shd w:val="clear" w:color="auto" w:fill="auto"/>
          </w:tcPr>
          <w:p w14:paraId="495E2E28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67" w:type="dxa"/>
            <w:shd w:val="clear" w:color="auto" w:fill="auto"/>
          </w:tcPr>
          <w:p w14:paraId="3D1DA227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68" w:type="dxa"/>
            <w:shd w:val="clear" w:color="auto" w:fill="auto"/>
          </w:tcPr>
          <w:p w14:paraId="34E2820B" w14:textId="77777777" w:rsidR="00484312" w:rsidRPr="006D2F6B" w:rsidRDefault="00484312" w:rsidP="00235B77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484312" w14:paraId="49FD1F95" w14:textId="77777777" w:rsidTr="00235B77">
        <w:trPr>
          <w:jc w:val="center"/>
        </w:trPr>
        <w:tc>
          <w:tcPr>
            <w:tcW w:w="2122" w:type="dxa"/>
            <w:shd w:val="clear" w:color="auto" w:fill="auto"/>
          </w:tcPr>
          <w:p w14:paraId="51FAF0FC" w14:textId="77777777" w:rsidR="00484312" w:rsidRDefault="00484312" w:rsidP="00235B77">
            <w:pPr>
              <w:pStyle w:val="BodyText"/>
              <w:tabs>
                <w:tab w:val="left" w:pos="1560"/>
              </w:tabs>
              <w:spacing w:before="22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In all classrooms, students can apply and transfer their mathematical knowledge.</w:t>
            </w:r>
          </w:p>
          <w:p w14:paraId="22FBDCAC" w14:textId="77777777" w:rsidR="00484312" w:rsidRPr="003F0D1B" w:rsidRDefault="00484312" w:rsidP="00235B77">
            <w:pPr>
              <w:pStyle w:val="BodyText"/>
              <w:tabs>
                <w:tab w:val="left" w:pos="1560"/>
              </w:tabs>
              <w:spacing w:before="22"/>
              <w:rPr>
                <w:b/>
                <w:i/>
                <w:color w:val="000000" w:themeColor="text1"/>
              </w:rPr>
            </w:pPr>
          </w:p>
        </w:tc>
        <w:tc>
          <w:tcPr>
            <w:tcW w:w="3080" w:type="dxa"/>
            <w:shd w:val="clear" w:color="auto" w:fill="auto"/>
          </w:tcPr>
          <w:p w14:paraId="334D8641" w14:textId="77777777" w:rsidR="00484312" w:rsidRPr="006D2F6B" w:rsidRDefault="00484312" w:rsidP="00235B77">
            <w:r w:rsidRPr="00D81CAC">
              <w:rPr>
                <w:color w:val="000000" w:themeColor="text1"/>
              </w:rPr>
              <w:t>12 out of 22 classroom mat</w:t>
            </w:r>
            <w:r>
              <w:rPr>
                <w:color w:val="000000" w:themeColor="text1"/>
              </w:rPr>
              <w:t>hs</w:t>
            </w:r>
            <w:r w:rsidRPr="00D81CAC">
              <w:rPr>
                <w:color w:val="000000" w:themeColor="text1"/>
              </w:rPr>
              <w:t xml:space="preserve"> programmes show evidence that students </w:t>
            </w:r>
            <w:r>
              <w:rPr>
                <w:color w:val="000000" w:themeColor="text1"/>
              </w:rPr>
              <w:t xml:space="preserve">are learning </w:t>
            </w:r>
            <w:r w:rsidRPr="00D81CAC">
              <w:rPr>
                <w:color w:val="000000" w:themeColor="text1"/>
              </w:rPr>
              <w:t>how to apply maths concepts.</w:t>
            </w:r>
          </w:p>
        </w:tc>
        <w:tc>
          <w:tcPr>
            <w:tcW w:w="767" w:type="dxa"/>
            <w:shd w:val="clear" w:color="auto" w:fill="auto"/>
          </w:tcPr>
          <w:p w14:paraId="4024484D" w14:textId="77777777" w:rsidR="00484312" w:rsidRPr="006D2F6B" w:rsidRDefault="00484312" w:rsidP="00235B77"/>
        </w:tc>
        <w:tc>
          <w:tcPr>
            <w:tcW w:w="767" w:type="dxa"/>
            <w:shd w:val="clear" w:color="auto" w:fill="auto"/>
          </w:tcPr>
          <w:p w14:paraId="4AF67FE6" w14:textId="77777777" w:rsidR="00484312" w:rsidRPr="006D2F6B" w:rsidRDefault="00484312" w:rsidP="00235B77">
            <w:r>
              <w:t>18/21</w:t>
            </w:r>
          </w:p>
        </w:tc>
        <w:tc>
          <w:tcPr>
            <w:tcW w:w="767" w:type="dxa"/>
            <w:shd w:val="clear" w:color="auto" w:fill="auto"/>
          </w:tcPr>
          <w:p w14:paraId="6D9570CB" w14:textId="77777777" w:rsidR="00484312" w:rsidRPr="006D2F6B" w:rsidRDefault="00484312" w:rsidP="00235B77">
            <w:r>
              <w:t>20/22</w:t>
            </w:r>
          </w:p>
        </w:tc>
        <w:tc>
          <w:tcPr>
            <w:tcW w:w="767" w:type="dxa"/>
            <w:shd w:val="clear" w:color="auto" w:fill="auto"/>
          </w:tcPr>
          <w:p w14:paraId="19151E93" w14:textId="77777777" w:rsidR="00484312" w:rsidRPr="006D2F6B" w:rsidRDefault="00484312" w:rsidP="00235B77"/>
        </w:tc>
        <w:tc>
          <w:tcPr>
            <w:tcW w:w="768" w:type="dxa"/>
            <w:shd w:val="clear" w:color="auto" w:fill="auto"/>
          </w:tcPr>
          <w:p w14:paraId="5A42A692" w14:textId="77777777" w:rsidR="00484312" w:rsidRPr="006D2F6B" w:rsidRDefault="00484312" w:rsidP="00235B77"/>
        </w:tc>
      </w:tr>
    </w:tbl>
    <w:p w14:paraId="4744F768" w14:textId="77777777" w:rsidR="00484312" w:rsidRPr="00E061B8" w:rsidRDefault="00484312" w:rsidP="0048431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484312" w14:paraId="6737DAFB" w14:textId="77777777" w:rsidTr="00235B77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BD41D6F" w14:textId="77777777" w:rsidR="00484312" w:rsidRDefault="00484312" w:rsidP="00235B7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does this evidence indicate about your school’s progress towards its five-year target</w:t>
            </w:r>
            <w:r w:rsidRPr="006D2F6B">
              <w:t>s</w:t>
            </w:r>
            <w:r>
              <w:t>?</w:t>
            </w:r>
          </w:p>
          <w:p w14:paraId="5379FE32" w14:textId="37DC7D56" w:rsidR="00484312" w:rsidRPr="00342A97" w:rsidRDefault="00484312" w:rsidP="00235B77">
            <w:pPr>
              <w:pStyle w:val="PlainText"/>
              <w:ind w:left="1"/>
            </w:pPr>
            <w:r>
              <w:t xml:space="preserve">NAPLAN and </w:t>
            </w:r>
            <w:r w:rsidRPr="00342A97">
              <w:t xml:space="preserve">School based assessments </w:t>
            </w:r>
            <w:r>
              <w:t xml:space="preserve">do not match up. NAPLAN shows a decline in </w:t>
            </w:r>
            <w:r w:rsidR="003F262B">
              <w:t>g</w:t>
            </w:r>
            <w:r>
              <w:t xml:space="preserve">rowth data whereas (across the school) growth </w:t>
            </w:r>
            <w:r w:rsidRPr="00342A97">
              <w:t xml:space="preserve">occurred </w:t>
            </w:r>
            <w:r>
              <w:t>in</w:t>
            </w:r>
            <w:r w:rsidRPr="00342A97">
              <w:t xml:space="preserve"> SENA 1,2,3 &amp; 4, Middle Years Mental Computation and PAT Maths allowing us to measure individual growth instead</w:t>
            </w:r>
            <w:r w:rsidR="00803059">
              <w:t xml:space="preserve">. This </w:t>
            </w:r>
            <w:r w:rsidR="003F262B">
              <w:t>g</w:t>
            </w:r>
            <w:r w:rsidR="00803059">
              <w:t xml:space="preserve">rowth was more </w:t>
            </w:r>
            <w:r w:rsidR="003F262B">
              <w:t>substantial.</w:t>
            </w:r>
          </w:p>
          <w:p w14:paraId="0A1999F6" w14:textId="77777777" w:rsidR="00484312" w:rsidRDefault="00484312" w:rsidP="00235B7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Have any of your data sources changed over time? If so, why?</w:t>
            </w:r>
          </w:p>
          <w:p w14:paraId="13342506" w14:textId="70CB8EF9" w:rsidR="00484312" w:rsidRDefault="00484312" w:rsidP="00235B77">
            <w:pPr>
              <w:pStyle w:val="PlainText"/>
              <w:ind w:left="1"/>
            </w:pPr>
            <w:r>
              <w:t xml:space="preserve">The </w:t>
            </w:r>
            <w:r w:rsidR="003F262B">
              <w:t>gap</w:t>
            </w:r>
            <w:r>
              <w:t xml:space="preserve"> year in 2020 does not allow us to track the trend data of NAPLAN. Our growth data from other sources (particularly PAT) show this cohort to be growing in a similar fashion to other cohorts historically. There was also a larger number of students who joined the school between testing periods than in the previous 2 years.</w:t>
            </w:r>
          </w:p>
          <w:p w14:paraId="527D0290" w14:textId="27E1AD62" w:rsidR="00484312" w:rsidRDefault="00484312" w:rsidP="00235B77">
            <w:pPr>
              <w:pStyle w:val="PlainText"/>
              <w:numPr>
                <w:ilvl w:val="0"/>
                <w:numId w:val="19"/>
              </w:numPr>
            </w:pPr>
            <w:r>
              <w:t xml:space="preserve">What implications does this evidence have for your </w:t>
            </w:r>
            <w:r w:rsidR="003F262B">
              <w:t>2023</w:t>
            </w:r>
            <w:r>
              <w:t xml:space="preserve"> AP?</w:t>
            </w:r>
          </w:p>
          <w:p w14:paraId="20D82EAC" w14:textId="560DC623" w:rsidR="00484312" w:rsidRPr="00342A97" w:rsidRDefault="00484312" w:rsidP="00235B77">
            <w:pPr>
              <w:pStyle w:val="PlainText"/>
              <w:ind w:left="1"/>
            </w:pPr>
            <w:r>
              <w:t xml:space="preserve">A deeper and tighter PLC process is needed to leverage class changes. A rethink (due to staffing constraints) on </w:t>
            </w:r>
            <w:r w:rsidR="00345024">
              <w:t>how observation</w:t>
            </w:r>
            <w:r>
              <w:t xml:space="preserve"> occur</w:t>
            </w:r>
            <w:r w:rsidR="00345024">
              <w:t>s</w:t>
            </w:r>
            <w:r>
              <w:t xml:space="preserve"> to</w:t>
            </w:r>
            <w:r w:rsidR="00345024">
              <w:t xml:space="preserve"> allow us to</w:t>
            </w:r>
            <w:r>
              <w:t xml:space="preserve"> share and exemplify quality practice.</w:t>
            </w:r>
            <w:r w:rsidRPr="00342A97">
              <w:t xml:space="preserve">  Teacher programmes demonstrated the knowledge teachers had gained in planning differentiated tasks that allow students to apply strategies in maths. </w:t>
            </w:r>
          </w:p>
          <w:p w14:paraId="20834697" w14:textId="77777777" w:rsidR="00484312" w:rsidRDefault="00484312" w:rsidP="00235B77">
            <w:pPr>
              <w:pStyle w:val="PlainText"/>
            </w:pPr>
            <w:r>
              <w:t xml:space="preserve">This data has impacted our ability to achieve the target but do not believe it is a good indicator. The quality data from SENA and PAT is showing growth and </w:t>
            </w:r>
            <w:r w:rsidRPr="00342A97">
              <w:t>Torrens Primary School is on track to achieve the 5-year target</w:t>
            </w:r>
          </w:p>
        </w:tc>
      </w:tr>
    </w:tbl>
    <w:p w14:paraId="64D8BE00" w14:textId="77777777" w:rsidR="00484312" w:rsidRDefault="00484312" w:rsidP="00484312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484312" w14:paraId="1FEA1B6D" w14:textId="77777777" w:rsidTr="00503B76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4F3881F8" w14:textId="77777777" w:rsidR="00484312" w:rsidRPr="00E16C33" w:rsidRDefault="00484312" w:rsidP="00235B77">
            <w:pPr>
              <w:pStyle w:val="BodyText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E16C33">
              <w:rPr>
                <w:rFonts w:ascii="Arial" w:eastAsiaTheme="majorEastAsia" w:hAnsi="Arial" w:cs="Arial"/>
                <w:color w:val="1F4D78" w:themeColor="accent1" w:themeShade="7F"/>
              </w:rPr>
              <w:t>Our Achievements for this priority:</w:t>
            </w:r>
          </w:p>
          <w:p w14:paraId="45DEF17E" w14:textId="27E9272C" w:rsidR="00484312" w:rsidRPr="00F2683E" w:rsidRDefault="00484312" w:rsidP="00235B77">
            <w:pPr>
              <w:pStyle w:val="ListBullet"/>
            </w:pPr>
            <w:r w:rsidRPr="00F2683E">
              <w:t xml:space="preserve">100% </w:t>
            </w:r>
            <w:r>
              <w:t xml:space="preserve">(+ substantial LSA resources and relief </w:t>
            </w:r>
            <w:r w:rsidR="00BC6886">
              <w:t>staff)</w:t>
            </w:r>
            <w:r w:rsidR="00BC6886" w:rsidRPr="00F2683E">
              <w:t xml:space="preserve"> of</w:t>
            </w:r>
            <w:r w:rsidRPr="00F2683E">
              <w:t xml:space="preserve"> teachers attended January 20</w:t>
            </w:r>
            <w:r>
              <w:t>21</w:t>
            </w:r>
            <w:r w:rsidRPr="00F2683E">
              <w:t xml:space="preserve"> stand down PL on </w:t>
            </w:r>
            <w:r w:rsidRPr="00F2683E">
              <w:rPr>
                <w:i/>
              </w:rPr>
              <w:t xml:space="preserve">Professional Learning </w:t>
            </w:r>
            <w:r>
              <w:rPr>
                <w:i/>
              </w:rPr>
              <w:t>with Anita Chin on Quality Numeracy Practices</w:t>
            </w:r>
            <w:r w:rsidRPr="00F2683E">
              <w:t>– TQI accredited (</w:t>
            </w:r>
            <w:r>
              <w:t>5hrs</w:t>
            </w:r>
            <w:r w:rsidRPr="00F2683E">
              <w:t>).</w:t>
            </w:r>
          </w:p>
          <w:p w14:paraId="14E345EB" w14:textId="77777777" w:rsidR="00484312" w:rsidRPr="00F2683E" w:rsidRDefault="00484312" w:rsidP="00235B77">
            <w:pPr>
              <w:pStyle w:val="ListBullet"/>
            </w:pPr>
            <w:r w:rsidRPr="00F2683E">
              <w:t xml:space="preserve">Team PLCs, guided by exec, using Helen Timperley’s </w:t>
            </w:r>
            <w:r w:rsidRPr="00F2683E">
              <w:rPr>
                <w:i/>
              </w:rPr>
              <w:t>Spiral of Inquiry</w:t>
            </w:r>
            <w:r w:rsidRPr="00F2683E">
              <w:t xml:space="preserve"> to improve mathematics.</w:t>
            </w:r>
          </w:p>
          <w:p w14:paraId="3F86471D" w14:textId="47099F63" w:rsidR="003F262B" w:rsidRPr="003F262B" w:rsidRDefault="00484312" w:rsidP="00235B77">
            <w:pPr>
              <w:pStyle w:val="ListBullet"/>
            </w:pPr>
            <w:r w:rsidRPr="00F2683E">
              <w:rPr>
                <w:rFonts w:eastAsiaTheme="majorEastAsia"/>
              </w:rPr>
              <w:t xml:space="preserve">Torrens Primary School coaches (4 Coaches </w:t>
            </w:r>
            <w:r w:rsidR="00BC6886" w:rsidRPr="00F2683E">
              <w:rPr>
                <w:rFonts w:eastAsiaTheme="majorEastAsia"/>
              </w:rPr>
              <w:t>off lined</w:t>
            </w:r>
            <w:r w:rsidRPr="00F2683E">
              <w:rPr>
                <w:rFonts w:eastAsiaTheme="majorEastAsia"/>
              </w:rPr>
              <w:t xml:space="preserve"> to improve mathematics) lead TQI accredited workshops on</w:t>
            </w:r>
            <w:r w:rsidR="0074741A">
              <w:rPr>
                <w:rFonts w:eastAsiaTheme="majorEastAsia"/>
              </w:rPr>
              <w:t>:</w:t>
            </w:r>
            <w:r w:rsidRPr="00F2683E">
              <w:rPr>
                <w:rFonts w:eastAsiaTheme="majorEastAsia"/>
              </w:rPr>
              <w:t xml:space="preserve"> </w:t>
            </w:r>
          </w:p>
          <w:p w14:paraId="799C3DAC" w14:textId="148C3ED6" w:rsidR="003F262B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3F262B">
              <w:rPr>
                <w:i/>
                <w:iCs/>
              </w:rPr>
              <w:t xml:space="preserve">How can we as teachers assist in the growth of our students’ Understanding, Fluency, Problem Solving and Reasoning in </w:t>
            </w:r>
            <w:r w:rsidR="00BC6886" w:rsidRPr="003F262B">
              <w:rPr>
                <w:i/>
                <w:iCs/>
              </w:rPr>
              <w:t>Mathematics</w:t>
            </w:r>
            <w:r w:rsidR="0074741A">
              <w:rPr>
                <w:i/>
                <w:iCs/>
              </w:rPr>
              <w:t>?</w:t>
            </w:r>
            <w:r w:rsidR="00BC6886" w:rsidRPr="00F2683E">
              <w:t xml:space="preserve"> </w:t>
            </w:r>
          </w:p>
          <w:p w14:paraId="0D797505" w14:textId="078AF3D9" w:rsidR="0074741A" w:rsidRDefault="00BC6886" w:rsidP="0074741A">
            <w:pPr>
              <w:pStyle w:val="ListBullet"/>
              <w:numPr>
                <w:ilvl w:val="0"/>
                <w:numId w:val="21"/>
              </w:numPr>
            </w:pPr>
            <w:r w:rsidRPr="003F262B">
              <w:rPr>
                <w:rFonts w:eastAsiaTheme="majorEastAsia"/>
                <w:i/>
                <w:iCs/>
              </w:rPr>
              <w:t>Assessment</w:t>
            </w:r>
            <w:r w:rsidR="00484312" w:rsidRPr="003F262B">
              <w:rPr>
                <w:i/>
                <w:iCs/>
              </w:rPr>
              <w:t xml:space="preserve"> to Build on Student Knowledge and Understandings</w:t>
            </w:r>
            <w:r w:rsidR="00484312" w:rsidRPr="00F2683E">
              <w:t xml:space="preserve"> </w:t>
            </w:r>
          </w:p>
          <w:p w14:paraId="11E2DE47" w14:textId="63534B37" w:rsidR="003F262B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3F262B">
              <w:rPr>
                <w:i/>
                <w:iCs/>
              </w:rPr>
              <w:t>SENA - Where are we now? Where do we want to get to? How are we going to do it?</w:t>
            </w:r>
          </w:p>
          <w:p w14:paraId="40B0D316" w14:textId="78B973B1" w:rsidR="0074741A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74741A">
              <w:rPr>
                <w:i/>
                <w:iCs/>
              </w:rPr>
              <w:t>Multiplicative Thinking</w:t>
            </w:r>
          </w:p>
          <w:p w14:paraId="174A8E64" w14:textId="3F96570C" w:rsidR="0074741A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74741A">
              <w:rPr>
                <w:i/>
                <w:iCs/>
              </w:rPr>
              <w:t>Effective Differentiatio</w:t>
            </w:r>
            <w:r w:rsidR="0074741A">
              <w:rPr>
                <w:i/>
                <w:iCs/>
              </w:rPr>
              <w:t>n</w:t>
            </w:r>
          </w:p>
          <w:p w14:paraId="5AACF24D" w14:textId="4129EF58" w:rsidR="0074741A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74741A">
              <w:rPr>
                <w:i/>
                <w:iCs/>
              </w:rPr>
              <w:t>Multiple Representations</w:t>
            </w:r>
          </w:p>
          <w:p w14:paraId="04A8E2A3" w14:textId="00CFD120" w:rsidR="0074741A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74741A">
              <w:rPr>
                <w:i/>
                <w:iCs/>
              </w:rPr>
              <w:t>Maths Menu</w:t>
            </w:r>
            <w:r w:rsidRPr="00F2683E">
              <w:t xml:space="preserve"> </w:t>
            </w:r>
          </w:p>
          <w:p w14:paraId="6DFE055C" w14:textId="3169E882" w:rsidR="00484312" w:rsidRDefault="00484312" w:rsidP="0074741A">
            <w:pPr>
              <w:pStyle w:val="ListBullet"/>
              <w:numPr>
                <w:ilvl w:val="0"/>
                <w:numId w:val="21"/>
              </w:numPr>
            </w:pPr>
            <w:r w:rsidRPr="0074741A">
              <w:rPr>
                <w:i/>
                <w:iCs/>
              </w:rPr>
              <w:t>Revisit 10 Essential Maths Practices</w:t>
            </w:r>
            <w:r w:rsidR="0074741A" w:rsidRPr="0074741A">
              <w:rPr>
                <w:i/>
                <w:iCs/>
              </w:rPr>
              <w:t xml:space="preserve"> and </w:t>
            </w:r>
            <w:r w:rsidRPr="0074741A">
              <w:rPr>
                <w:i/>
                <w:iCs/>
              </w:rPr>
              <w:t>Assessment</w:t>
            </w:r>
            <w:r w:rsidRPr="00F2683E">
              <w:t xml:space="preserve"> </w:t>
            </w:r>
            <w:r w:rsidRPr="0074741A">
              <w:rPr>
                <w:i/>
                <w:iCs/>
              </w:rPr>
              <w:t xml:space="preserve">to </w:t>
            </w:r>
            <w:r w:rsidR="0074741A">
              <w:rPr>
                <w:i/>
                <w:iCs/>
              </w:rPr>
              <w:t>G</w:t>
            </w:r>
            <w:r w:rsidRPr="0074741A">
              <w:rPr>
                <w:i/>
                <w:iCs/>
              </w:rPr>
              <w:t xml:space="preserve">uide </w:t>
            </w:r>
            <w:r w:rsidR="0074741A">
              <w:rPr>
                <w:i/>
                <w:iCs/>
              </w:rPr>
              <w:t>P</w:t>
            </w:r>
            <w:r w:rsidRPr="0074741A">
              <w:rPr>
                <w:i/>
                <w:iCs/>
              </w:rPr>
              <w:t>ractice</w:t>
            </w:r>
            <w:r w:rsidRPr="00F2683E">
              <w:t xml:space="preserve">. </w:t>
            </w:r>
          </w:p>
          <w:p w14:paraId="45209514" w14:textId="7F22080C" w:rsidR="00484312" w:rsidRPr="00F2683E" w:rsidRDefault="00484312" w:rsidP="00235B77">
            <w:pPr>
              <w:pStyle w:val="ListBullet"/>
            </w:pPr>
            <w:r w:rsidRPr="00F2683E">
              <w:t xml:space="preserve">SENA database developed for K-6 SENAs </w:t>
            </w:r>
            <w:r w:rsidR="00BC6886" w:rsidRPr="00F2683E">
              <w:t>1-4,</w:t>
            </w:r>
            <w:r>
              <w:t xml:space="preserve"> and all student data entered.</w:t>
            </w:r>
          </w:p>
          <w:p w14:paraId="0E040772" w14:textId="77777777" w:rsidR="00484312" w:rsidRPr="00F2683E" w:rsidRDefault="00484312" w:rsidP="00235B77">
            <w:pPr>
              <w:pStyle w:val="ListBullet"/>
              <w:rPr>
                <w:i/>
                <w:iCs/>
              </w:rPr>
            </w:pPr>
            <w:r>
              <w:t>Team Leader (SLC and SLB’s)</w:t>
            </w:r>
            <w:r w:rsidRPr="00F2683E">
              <w:t xml:space="preserve"> worked with all PLCs during 202</w:t>
            </w:r>
            <w:r>
              <w:t>1</w:t>
            </w:r>
            <w:r w:rsidRPr="00F2683E">
              <w:t xml:space="preserve"> guiding planning, modelling lessons and improving teacher practice.</w:t>
            </w:r>
          </w:p>
          <w:p w14:paraId="4B9E5876" w14:textId="016E29EB" w:rsidR="00484312" w:rsidRDefault="00484312" w:rsidP="00235B77">
            <w:pPr>
              <w:pStyle w:val="ListBullet"/>
            </w:pPr>
            <w:r w:rsidRPr="00F2683E">
              <w:lastRenderedPageBreak/>
              <w:t xml:space="preserve">Torrens Primary </w:t>
            </w:r>
            <w:r>
              <w:t>revisited (</w:t>
            </w:r>
            <w:r w:rsidRPr="00F2683E">
              <w:t xml:space="preserve">School </w:t>
            </w:r>
            <w:r>
              <w:t>developed)</w:t>
            </w:r>
            <w:r w:rsidRPr="00F2683E">
              <w:t xml:space="preserve"> 10 Essential Mathematics </w:t>
            </w:r>
            <w:r w:rsidR="00BC6886" w:rsidRPr="00F2683E">
              <w:t>Practices</w:t>
            </w:r>
            <w:r w:rsidR="00BC6886">
              <w:t xml:space="preserve"> and</w:t>
            </w:r>
            <w:r>
              <w:t xml:space="preserve"> saw significant engagement and increase in semester 1. The practices were disrupted through remote learning and saw decrease.</w:t>
            </w:r>
          </w:p>
          <w:p w14:paraId="14B47B9D" w14:textId="7D983F6A" w:rsidR="00484312" w:rsidRDefault="00484312" w:rsidP="00235B77">
            <w:pPr>
              <w:pStyle w:val="ListBullet"/>
            </w:pPr>
            <w:r w:rsidRPr="00F2683E">
              <w:t>Teachers from Torrens Primary School applied to be Instructional Maths Mentors.  The successful Instructional Maths Mentors worked with all teams in planning.</w:t>
            </w:r>
            <w:r>
              <w:t xml:space="preserve"> 2 Lead Mentors were appointed</w:t>
            </w:r>
            <w:r w:rsidR="0074741A">
              <w:t>.</w:t>
            </w:r>
          </w:p>
          <w:p w14:paraId="6AF6FA38" w14:textId="77777777" w:rsidR="00484312" w:rsidRPr="00CA26FB" w:rsidRDefault="00484312" w:rsidP="00235B77">
            <w:pPr>
              <w:pStyle w:val="ListBullet"/>
            </w:pPr>
            <w:r>
              <w:t>Online resources in the form of the Maths Station were expanded upon.</w:t>
            </w:r>
          </w:p>
        </w:tc>
      </w:tr>
    </w:tbl>
    <w:p w14:paraId="4DE3E03F" w14:textId="77777777" w:rsidR="00484312" w:rsidRDefault="00484312" w:rsidP="00484312">
      <w:pPr>
        <w:pStyle w:val="Heading3"/>
      </w:pPr>
      <w:r w:rsidRPr="00DA09ED">
        <w:lastRenderedPageBreak/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484312" w14:paraId="246FD8BD" w14:textId="77777777" w:rsidTr="00503B76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45D8EF9F" w14:textId="77777777" w:rsidR="00484312" w:rsidRDefault="00484312" w:rsidP="00235B77">
            <w:pPr>
              <w:pStyle w:val="ListBullet2"/>
              <w:numPr>
                <w:ilvl w:val="0"/>
                <w:numId w:val="19"/>
              </w:numPr>
            </w:pPr>
            <w:r>
              <w:t>Learning Walk and Talks to share, celebrate and distribute quality practices needs to occur (</w:t>
            </w:r>
            <w:proofErr w:type="spellStart"/>
            <w:r>
              <w:t>Cohorting</w:t>
            </w:r>
            <w:proofErr w:type="spellEnd"/>
            <w:r>
              <w:t xml:space="preserve"> severely restricted this area of growth), </w:t>
            </w:r>
          </w:p>
          <w:p w14:paraId="2E6D7FDA" w14:textId="77777777" w:rsidR="00484312" w:rsidRDefault="00484312" w:rsidP="00235B77">
            <w:pPr>
              <w:pStyle w:val="ListBullet2"/>
              <w:numPr>
                <w:ilvl w:val="0"/>
                <w:numId w:val="19"/>
              </w:numPr>
            </w:pPr>
            <w:r>
              <w:t>Updated PLC process to have tighter cycles of reflection (5 weeks) as opposed to termly.</w:t>
            </w:r>
          </w:p>
          <w:p w14:paraId="39CEA6E9" w14:textId="06538949" w:rsidR="00484312" w:rsidRDefault="00484312" w:rsidP="00235B77">
            <w:pPr>
              <w:pStyle w:val="ListBullet2"/>
              <w:numPr>
                <w:ilvl w:val="0"/>
                <w:numId w:val="19"/>
              </w:numPr>
            </w:pPr>
            <w:r>
              <w:t>Two of our 4 coaches have left the school, building the capacity with the lead Math Mentors to continue the momentum.</w:t>
            </w:r>
          </w:p>
          <w:p w14:paraId="47E614E2" w14:textId="77777777" w:rsidR="00484312" w:rsidRDefault="00484312" w:rsidP="00235B77">
            <w:pPr>
              <w:pStyle w:val="ListBullet2"/>
              <w:numPr>
                <w:ilvl w:val="0"/>
                <w:numId w:val="19"/>
              </w:numPr>
            </w:pPr>
            <w:r>
              <w:t xml:space="preserve">We will become more consistent with our coaching approach.  </w:t>
            </w:r>
          </w:p>
          <w:p w14:paraId="60BBEC94" w14:textId="7436C7F4" w:rsidR="00484312" w:rsidRDefault="00484312" w:rsidP="00235B77">
            <w:pPr>
              <w:pStyle w:val="ListBullet2"/>
              <w:numPr>
                <w:ilvl w:val="0"/>
                <w:numId w:val="19"/>
              </w:numPr>
            </w:pPr>
            <w:r>
              <w:t xml:space="preserve">All teachers can expect to receive written feedback against </w:t>
            </w:r>
            <w:r w:rsidR="00345024">
              <w:t>the school</w:t>
            </w:r>
            <w:r>
              <w:t xml:space="preserve"> goals.</w:t>
            </w:r>
          </w:p>
        </w:tc>
      </w:tr>
    </w:tbl>
    <w:p w14:paraId="71DA7E82" w14:textId="77777777" w:rsidR="00484312" w:rsidRDefault="00484312" w:rsidP="00484312">
      <w:pPr>
        <w:pStyle w:val="BodyText"/>
      </w:pPr>
    </w:p>
    <w:p w14:paraId="663435BD" w14:textId="1F1D0555" w:rsidR="00484312" w:rsidRDefault="00484312" w:rsidP="00484312">
      <w:pPr>
        <w:rPr>
          <w:b/>
        </w:rPr>
      </w:pPr>
    </w:p>
    <w:p w14:paraId="05A9A145" w14:textId="77777777" w:rsidR="00271528" w:rsidRPr="00557F65" w:rsidRDefault="00271528" w:rsidP="00503B76">
      <w:pPr>
        <w:pStyle w:val="Heading2"/>
        <w:ind w:left="0" w:firstLine="0"/>
      </w:pPr>
      <w:r>
        <w:t>Reporting on preschool improvement</w:t>
      </w:r>
    </w:p>
    <w:p w14:paraId="579C7EB3" w14:textId="1B370386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 xml:space="preserve">. Schools have a choice to </w:t>
      </w:r>
      <w:r w:rsidR="00AF0BBA">
        <w:t xml:space="preserve">report progress and achievements </w:t>
      </w:r>
      <w:r>
        <w:t xml:space="preserve">either </w:t>
      </w:r>
      <w:r w:rsidR="00AF0BBA">
        <w:t xml:space="preserve">within their </w:t>
      </w:r>
      <w:r>
        <w:t xml:space="preserve">QIP </w:t>
      </w:r>
      <w:r w:rsidR="00AF0BBA">
        <w:t xml:space="preserve">or in the </w:t>
      </w:r>
      <w:r w:rsidR="00282D2C">
        <w:t>section below.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3CF55226" w:rsidR="00271528" w:rsidRDefault="00503B76" w:rsidP="00932E67">
            <w:pPr>
              <w:pStyle w:val="ListBullet2"/>
            </w:pPr>
            <w:r>
              <w:t xml:space="preserve">As a School we undertook our </w:t>
            </w:r>
            <w:r w:rsidR="008F0193">
              <w:t xml:space="preserve">Notification of </w:t>
            </w:r>
            <w:r w:rsidR="00503775">
              <w:t>Assessment. Across all three sites we received Exceeding standards</w:t>
            </w:r>
            <w:r w:rsidR="00BC6886">
              <w:t>.</w:t>
            </w:r>
          </w:p>
        </w:tc>
      </w:tr>
    </w:tbl>
    <w:p w14:paraId="0C848164" w14:textId="66819A4E" w:rsidR="00271528" w:rsidRDefault="00610A38" w:rsidP="009B454E">
      <w:pPr>
        <w:pStyle w:val="BodyText"/>
        <w:rPr>
          <w:i/>
        </w:rPr>
      </w:pPr>
      <w:r w:rsidRPr="0024781C">
        <w:rPr>
          <w:i/>
        </w:rPr>
        <w:t>*A copy of the QIP is available for viewing at the school.</w:t>
      </w:r>
      <w:r w:rsidR="00503775">
        <w:rPr>
          <w:i/>
        </w:rPr>
        <w:t xml:space="preserve"> Or attached</w:t>
      </w:r>
    </w:p>
    <w:p w14:paraId="15098612" w14:textId="60824D9A" w:rsidR="00503775" w:rsidRDefault="00596BD5" w:rsidP="009B454E">
      <w:pPr>
        <w:pStyle w:val="BodyText"/>
      </w:pPr>
      <w:hyperlink r:id="rId10" w:history="1">
        <w:r w:rsidR="00503775" w:rsidRPr="00503775">
          <w:rPr>
            <w:rStyle w:val="Hyperlink"/>
          </w:rPr>
          <w:t>Chifley QIP</w:t>
        </w:r>
      </w:hyperlink>
    </w:p>
    <w:p w14:paraId="304C798F" w14:textId="32E494D2" w:rsidR="00503775" w:rsidRDefault="00596BD5" w:rsidP="00503775">
      <w:pPr>
        <w:pStyle w:val="BodyText"/>
      </w:pPr>
      <w:hyperlink r:id="rId11" w:history="1">
        <w:r w:rsidR="00503775" w:rsidRPr="00503775">
          <w:rPr>
            <w:rStyle w:val="Hyperlink"/>
          </w:rPr>
          <w:t>Chifley QIP – Action Plan Summary</w:t>
        </w:r>
      </w:hyperlink>
      <w:r w:rsidR="00503775" w:rsidRPr="00503775">
        <w:t xml:space="preserve"> </w:t>
      </w:r>
    </w:p>
    <w:p w14:paraId="522B2D07" w14:textId="46377BFF" w:rsidR="00503775" w:rsidRDefault="00596BD5" w:rsidP="00503775">
      <w:pPr>
        <w:pStyle w:val="BodyText"/>
      </w:pPr>
      <w:hyperlink r:id="rId12" w:history="1">
        <w:r w:rsidR="00503775" w:rsidRPr="00503775">
          <w:rPr>
            <w:rStyle w:val="Hyperlink"/>
          </w:rPr>
          <w:t>Pearce QIP</w:t>
        </w:r>
      </w:hyperlink>
    </w:p>
    <w:p w14:paraId="5D6B53F3" w14:textId="30FB1D3B" w:rsidR="00503775" w:rsidRDefault="00596BD5" w:rsidP="00503775">
      <w:pPr>
        <w:pStyle w:val="BodyText"/>
      </w:pPr>
      <w:hyperlink r:id="rId13" w:history="1">
        <w:r w:rsidR="00503775" w:rsidRPr="00503775">
          <w:rPr>
            <w:rStyle w:val="Hyperlink"/>
          </w:rPr>
          <w:t>Pearce QIP – Action Plan Summary</w:t>
        </w:r>
      </w:hyperlink>
    </w:p>
    <w:p w14:paraId="7E65307B" w14:textId="72164F57" w:rsidR="00503775" w:rsidRDefault="00596BD5" w:rsidP="00503775">
      <w:pPr>
        <w:pStyle w:val="BodyText"/>
      </w:pPr>
      <w:hyperlink r:id="rId14" w:history="1">
        <w:r w:rsidR="00503775" w:rsidRPr="00503775">
          <w:rPr>
            <w:rStyle w:val="Hyperlink"/>
          </w:rPr>
          <w:t>Torrens QIP</w:t>
        </w:r>
      </w:hyperlink>
    </w:p>
    <w:p w14:paraId="0B01E0FD" w14:textId="11B463AC" w:rsidR="00503775" w:rsidRDefault="00596BD5" w:rsidP="00503775">
      <w:pPr>
        <w:pStyle w:val="BodyText"/>
      </w:pPr>
      <w:hyperlink r:id="rId15" w:history="1">
        <w:r w:rsidR="00503775" w:rsidRPr="00503775">
          <w:rPr>
            <w:rStyle w:val="Hyperlink"/>
          </w:rPr>
          <w:t>Torrens QIP – Action Plan Summary</w:t>
        </w:r>
      </w:hyperlink>
    </w:p>
    <w:p w14:paraId="57A6137D" w14:textId="6220F897" w:rsidR="00503775" w:rsidRDefault="00503775" w:rsidP="009B454E">
      <w:pPr>
        <w:pStyle w:val="BodyText"/>
      </w:pPr>
    </w:p>
    <w:sectPr w:rsidR="00503775" w:rsidSect="00C77B0A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5E76" w14:textId="77777777" w:rsidR="00C61925" w:rsidRDefault="00C61925" w:rsidP="00CA0BAD">
      <w:pPr>
        <w:spacing w:after="0" w:line="240" w:lineRule="auto"/>
      </w:pPr>
      <w:r>
        <w:separator/>
      </w:r>
    </w:p>
  </w:endnote>
  <w:endnote w:type="continuationSeparator" w:id="0">
    <w:p w14:paraId="37F3CD5C" w14:textId="77777777" w:rsidR="00C61925" w:rsidRDefault="00C61925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04CB85C5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96BD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14 September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B1FA" w14:textId="77777777" w:rsidR="00C61925" w:rsidRDefault="00C61925" w:rsidP="00CA0BAD">
      <w:pPr>
        <w:spacing w:after="0" w:line="240" w:lineRule="auto"/>
      </w:pPr>
      <w:r>
        <w:separator/>
      </w:r>
    </w:p>
  </w:footnote>
  <w:footnote w:type="continuationSeparator" w:id="0">
    <w:p w14:paraId="6C8A29ED" w14:textId="77777777" w:rsidR="00C61925" w:rsidRDefault="00C61925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DFD"/>
    <w:multiLevelType w:val="hybridMultilevel"/>
    <w:tmpl w:val="37B2F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33E8B56E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12A24"/>
    <w:multiLevelType w:val="hybridMultilevel"/>
    <w:tmpl w:val="AC0E26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01739A7"/>
    <w:multiLevelType w:val="hybridMultilevel"/>
    <w:tmpl w:val="151C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A6E71"/>
    <w:multiLevelType w:val="hybridMultilevel"/>
    <w:tmpl w:val="B312361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643345A8"/>
    <w:multiLevelType w:val="hybridMultilevel"/>
    <w:tmpl w:val="1E342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2"/>
  </w:num>
  <w:num w:numId="19">
    <w:abstractNumId w:val="1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F7E7C"/>
    <w:rsid w:val="001003B8"/>
    <w:rsid w:val="00107AE2"/>
    <w:rsid w:val="00115AA9"/>
    <w:rsid w:val="00127C5E"/>
    <w:rsid w:val="00132917"/>
    <w:rsid w:val="00161E50"/>
    <w:rsid w:val="00163579"/>
    <w:rsid w:val="00183DE5"/>
    <w:rsid w:val="001B26EA"/>
    <w:rsid w:val="001B2E33"/>
    <w:rsid w:val="002145F7"/>
    <w:rsid w:val="0024781C"/>
    <w:rsid w:val="00266E77"/>
    <w:rsid w:val="00271528"/>
    <w:rsid w:val="00282D2C"/>
    <w:rsid w:val="002F2C6F"/>
    <w:rsid w:val="002F4184"/>
    <w:rsid w:val="00300F72"/>
    <w:rsid w:val="00334BBF"/>
    <w:rsid w:val="00342B3F"/>
    <w:rsid w:val="00345024"/>
    <w:rsid w:val="00365890"/>
    <w:rsid w:val="00365A1C"/>
    <w:rsid w:val="00373DC0"/>
    <w:rsid w:val="00377F0F"/>
    <w:rsid w:val="003B5E3D"/>
    <w:rsid w:val="003C2864"/>
    <w:rsid w:val="003C5CB7"/>
    <w:rsid w:val="003C69DC"/>
    <w:rsid w:val="003E1EFB"/>
    <w:rsid w:val="003F262B"/>
    <w:rsid w:val="003F4086"/>
    <w:rsid w:val="00435AB7"/>
    <w:rsid w:val="00435C6B"/>
    <w:rsid w:val="00436626"/>
    <w:rsid w:val="00440E4B"/>
    <w:rsid w:val="00461D07"/>
    <w:rsid w:val="00466199"/>
    <w:rsid w:val="00481BD2"/>
    <w:rsid w:val="00484312"/>
    <w:rsid w:val="00492440"/>
    <w:rsid w:val="004C32E2"/>
    <w:rsid w:val="004D00F4"/>
    <w:rsid w:val="004D5E45"/>
    <w:rsid w:val="00503775"/>
    <w:rsid w:val="00503B76"/>
    <w:rsid w:val="00520A86"/>
    <w:rsid w:val="00557F65"/>
    <w:rsid w:val="005611F4"/>
    <w:rsid w:val="0057672E"/>
    <w:rsid w:val="0058339C"/>
    <w:rsid w:val="0059350F"/>
    <w:rsid w:val="00596BD5"/>
    <w:rsid w:val="005A4749"/>
    <w:rsid w:val="005C7432"/>
    <w:rsid w:val="005E76E4"/>
    <w:rsid w:val="005F3B55"/>
    <w:rsid w:val="00610A38"/>
    <w:rsid w:val="00631663"/>
    <w:rsid w:val="0066643F"/>
    <w:rsid w:val="00674E1D"/>
    <w:rsid w:val="006830C3"/>
    <w:rsid w:val="006908E6"/>
    <w:rsid w:val="006A31D6"/>
    <w:rsid w:val="006A5062"/>
    <w:rsid w:val="006B76FD"/>
    <w:rsid w:val="006D2F6B"/>
    <w:rsid w:val="007347A7"/>
    <w:rsid w:val="007375B4"/>
    <w:rsid w:val="0074741A"/>
    <w:rsid w:val="00752390"/>
    <w:rsid w:val="007B0189"/>
    <w:rsid w:val="007B79AE"/>
    <w:rsid w:val="007D407C"/>
    <w:rsid w:val="00803059"/>
    <w:rsid w:val="008300DD"/>
    <w:rsid w:val="00837137"/>
    <w:rsid w:val="00846E51"/>
    <w:rsid w:val="008679D5"/>
    <w:rsid w:val="00896B58"/>
    <w:rsid w:val="008A01DA"/>
    <w:rsid w:val="008F0193"/>
    <w:rsid w:val="00915ADE"/>
    <w:rsid w:val="0093040B"/>
    <w:rsid w:val="00932E67"/>
    <w:rsid w:val="00937D6F"/>
    <w:rsid w:val="00997CD0"/>
    <w:rsid w:val="009B454E"/>
    <w:rsid w:val="009B7107"/>
    <w:rsid w:val="009E093D"/>
    <w:rsid w:val="009E2D26"/>
    <w:rsid w:val="00A112C4"/>
    <w:rsid w:val="00A1525D"/>
    <w:rsid w:val="00A967A3"/>
    <w:rsid w:val="00AB3505"/>
    <w:rsid w:val="00AD7D38"/>
    <w:rsid w:val="00AE1CAD"/>
    <w:rsid w:val="00AE2FBD"/>
    <w:rsid w:val="00AE3C70"/>
    <w:rsid w:val="00AF0BBA"/>
    <w:rsid w:val="00B06296"/>
    <w:rsid w:val="00B10319"/>
    <w:rsid w:val="00B36AF4"/>
    <w:rsid w:val="00B41802"/>
    <w:rsid w:val="00B53B59"/>
    <w:rsid w:val="00B64EDC"/>
    <w:rsid w:val="00B734D8"/>
    <w:rsid w:val="00B8460E"/>
    <w:rsid w:val="00BC6886"/>
    <w:rsid w:val="00BD4121"/>
    <w:rsid w:val="00C0648C"/>
    <w:rsid w:val="00C06492"/>
    <w:rsid w:val="00C36B48"/>
    <w:rsid w:val="00C61925"/>
    <w:rsid w:val="00C63CC4"/>
    <w:rsid w:val="00C77B0A"/>
    <w:rsid w:val="00C91C8E"/>
    <w:rsid w:val="00CA0BAD"/>
    <w:rsid w:val="00CA26FB"/>
    <w:rsid w:val="00CF3F40"/>
    <w:rsid w:val="00D03B0C"/>
    <w:rsid w:val="00D21886"/>
    <w:rsid w:val="00D4537E"/>
    <w:rsid w:val="00D56F59"/>
    <w:rsid w:val="00D66148"/>
    <w:rsid w:val="00D731BD"/>
    <w:rsid w:val="00D73F2B"/>
    <w:rsid w:val="00DA09ED"/>
    <w:rsid w:val="00DA4480"/>
    <w:rsid w:val="00DB037A"/>
    <w:rsid w:val="00DE43E6"/>
    <w:rsid w:val="00DE75EB"/>
    <w:rsid w:val="00DF0245"/>
    <w:rsid w:val="00DF6619"/>
    <w:rsid w:val="00DF695B"/>
    <w:rsid w:val="00E061B8"/>
    <w:rsid w:val="00E14A54"/>
    <w:rsid w:val="00E16C33"/>
    <w:rsid w:val="00E434FA"/>
    <w:rsid w:val="00EA1B8A"/>
    <w:rsid w:val="00EB70CE"/>
    <w:rsid w:val="00ED15D9"/>
    <w:rsid w:val="00EF2574"/>
    <w:rsid w:val="00F05C79"/>
    <w:rsid w:val="00F470F8"/>
    <w:rsid w:val="00F536D7"/>
    <w:rsid w:val="00F87A19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03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nas125e1.actedu.net.au\staffhome\home05\m\mark_nicholson\My%20Documents\QIP\Peacre%20Pre-School%20QIP%20-%20SUMMARYY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ark_nicholson\AppData\Local\Microsoft\Windows\INetCache\Content.Outlook\493RVLDY\2021%20QIP%20Chifley%20Preschool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nas125e1.actedu.net.au\staffhome\home05\m\mark_nicholson\My%20Documents\QIP\Chifley%20Pre-School%20QIP%20-%20SUMMARY.pdf" TargetMode="External"/><Relationship Id="rId5" Type="http://schemas.openxmlformats.org/officeDocument/2006/relationships/styles" Target="styles.xml"/><Relationship Id="rId15" Type="http://schemas.openxmlformats.org/officeDocument/2006/relationships/hyperlink" Target="file:///\\nas125e1.actedu.net.au\staffhome\home05\m\mark_nicholson\My%20Documents\QIP\Torrens%20Pre-School%20QIP%20-%20SUMMARYY.pdf" TargetMode="External"/><Relationship Id="rId10" Type="http://schemas.openxmlformats.org/officeDocument/2006/relationships/hyperlink" Target="file:///\\nas125e1.actedu.net.au\staffhome\home05\m\mark_nicholson\My%20Documents\QIP\Chifley%20Pre-School%20QIP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\\nas125e1.actedu.net.au\staffhome\home05\m\mark_nicholson\My%20Documents\QIP\Torrens%20Pre-School%20QIP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3321FBAC53F74F78ADCAB9EDCA0C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C1DD-E636-4241-9477-2512989513B4}"/>
      </w:docPartPr>
      <w:docPartBody>
        <w:p w:rsidR="003E7663" w:rsidRDefault="0029296C" w:rsidP="0029296C">
          <w:pPr>
            <w:pStyle w:val="3321FBAC53F74F78ADCAB9EDCA0C679F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194656"/>
    <w:rsid w:val="0029296C"/>
    <w:rsid w:val="003D1F1C"/>
    <w:rsid w:val="003E7663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6C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3321FBAC53F74F78ADCAB9EDCA0C679F">
    <w:name w:val="3321FBAC53F74F78ADCAB9EDCA0C679F"/>
    <w:rsid w:val="00292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38bb1c8-5c99-4561-a624-a5e6628d94c9" xsi:nil="true"/>
    <Section xmlns="b38bb1c8-5c99-4561-a624-a5e6628d94c9">
      <Value>Running a school</Value>
    </Section>
    <Publisheddate xmlns="b38bb1c8-5c99-4561-a624-a5e6628d94c9" xsi:nil="true"/>
    <Relates_x0020_to xmlns="01d31f61-9245-4fcb-8ab0-90be871bbbe7">
      <Value>School leaders</Value>
      <Value>Teachers</Value>
      <Value>Business managers</Value>
      <Value>School Support</Value>
      <Value>ESO staff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School support</Value>
      <Value>ESO staff</Value>
    </Targeted_x0020_audience>
    <Function xmlns="b38bb1c8-5c99-4561-a624-a5e6628d94c9" xsi:nil="true"/>
    <Purpose xmlns="b38bb1c8-5c99-4561-a624-a5e6628d94c9" xsi:nil="true"/>
    <Review_x0020_date xmlns="b38bb1c8-5c99-4561-a624-a5e6628d94c9" xsi:nil="true"/>
    <Relevant_x0020_pages xmlns="b38bb1c8-5c99-4561-a624-a5e6628d94c9">
      <Value>451</Value>
    </Relevant_x0020_pag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30" ma:contentTypeDescription="Create a new document." ma:contentTypeScope="" ma:versionID="8859363ede0e5a3f175a73f391a82a3e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8a6506fcb7d207865bcb869a80ccaae7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Section" minOccurs="0"/>
                <xsd:element ref="ns3:Top_x0020_Level_x0020_Headings" minOccurs="0"/>
                <xsd:element ref="ns2:DocumentType" minOccurs="0"/>
                <xsd:element ref="ns2:Topic" minOccurs="0"/>
                <xsd:element ref="ns2:Publisheddate" minOccurs="0"/>
                <xsd:element ref="ns2:Year" minOccurs="0"/>
                <xsd:element ref="ns2:Function" minOccurs="0"/>
                <xsd:element ref="ns2:Review_x0020_date" minOccurs="0"/>
                <xsd:element ref="ns2:Relevant_x0020_pages" minOccurs="0"/>
                <xsd:element ref="ns3:Relates_x0020_to" minOccurs="0"/>
                <xsd:element ref="ns3:School_x0020_level" minOccurs="0"/>
                <xsd:element ref="ns3:Targeted_x0020_audience" minOccurs="0"/>
                <xsd:element ref="ns2:MediaService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Purpose" ma:index="2" nillable="true" ma:displayName="Purpose" ma:description="Short description about the document purpose." ma:format="Dropdown" ma:internalName="Purpose" ma:readOnly="false">
      <xsd:simpleType>
        <xsd:restriction base="dms:Note">
          <xsd:maxLength value="255"/>
        </xsd:restriction>
      </xsd:simpleType>
    </xsd:element>
    <xsd:element name="Section" ma:index="3" nillable="true" ma:displayName="Section" ma:format="Dropdown" ma:internalName="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5" nillable="true" ma:displayName="Document Type" ma:format="Dropdown" ma:internalName="DocumentType" ma:readOnly="fals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7" nillable="true" ma:displayName="Topic" ma:format="Dropdown" ma:indexed="true" ma:internalName="Topic" ma:readOnly="false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First aid resources - First aid forms"/>
          <xsd:enumeration value="First aid resources - First aid procedures"/>
          <xsd:enumeration value="BMAG Minutes - 2021"/>
          <xsd:enumeration value="BMAG Minutes - 2020"/>
          <xsd:enumeration value="BMAG Minutes - 2019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  <xsd:enumeration value="Workplace Safety - CSO SOP"/>
          <xsd:enumeration value="Workplace Safety - CSO SWMS"/>
          <xsd:enumeration value="School safety – Risk assessment – Auto (A-P)"/>
          <xsd:enumeration value="School safety – Risk assessment – Auto (Q-Z)"/>
          <xsd:enumeration value="School safety – Risk assessment – Building construction"/>
          <xsd:enumeration value="School safety – Risk assessment – Generic"/>
          <xsd:enumeration value="School safety – Risk assessment – Metal"/>
          <xsd:enumeration value="School safety – Risk assessment – Wood (A-P)"/>
          <xsd:enumeration value="School safety – Risk assessment – Wood (Q-Z)"/>
          <xsd:enumeration value="School safety – SOPs – Auto"/>
          <xsd:enumeration value="School safety – SOPs – Building construction"/>
          <xsd:enumeration value="School safety – SOPs – Generic"/>
          <xsd:enumeration value="School safety – SOPs – Metal"/>
          <xsd:enumeration value="School safety – SOPs – Wood"/>
          <xsd:enumeration value="School safety – SOPs posters &amp; tags – Auto"/>
          <xsd:enumeration value="School safety – SOPs posters &amp; tags – Building construction"/>
          <xsd:enumeration value="School safety – SOPs posters &amp; tags – Generic (A-P)"/>
          <xsd:enumeration value="School safety – SOPs posters &amp; tags – Generic (Q-Z)"/>
          <xsd:enumeration value="School safety – SOPs posters &amp; tags – Metal (A-P)"/>
          <xsd:enumeration value="School safety – SOPs posters &amp; tags – Metal (Q-Z)"/>
          <xsd:enumeration value="School safety – SOPs posters &amp; tags – Wood (A-P)"/>
          <xsd:enumeration value="School safety – SOPs posters &amp; tags – Wood (Q-Z)"/>
          <xsd:enumeration value="School safety – SOPs zipped versions"/>
          <xsd:enumeration value="Induction manual - ACT Education Directorate"/>
          <xsd:enumeration value="Induction manual - Beyond Blue"/>
          <xsd:enumeration value="Induction manual - CIT Solutions"/>
          <xsd:enumeration value="Induction manual - EAP"/>
          <xsd:enumeration value="Induction manual - First State Super"/>
          <xsd:enumeration value="Induction manual - Prosperity Novated Leasing"/>
          <xsd:enumeration value="Induction manual - Smiling Mind"/>
          <xsd:enumeration value="Induction manual - Sora eBooks"/>
          <xsd:enumeration value="Induction manual - Teacher's Mutual Bank"/>
          <xsd:enumeration value="WhoG TRIM 1 - Creating records"/>
          <xsd:enumeration value="WhoG TRIM 2 - Editing records"/>
          <xsd:enumeration value="WhoG TRIM 3 - Save and edit Content"/>
          <xsd:enumeration value="WhoG TRIM 4 - Action Trees"/>
          <xsd:enumeration value="WhoG TRIM 5 - Make TRIM easier to use"/>
          <xsd:enumeration value="​​​​​​​EDU Engage - ​​​​​​​Strategic Plan 2022-2024 engagement"/>
        </xsd:restriction>
      </xsd:simpleType>
    </xsd:element>
    <xsd:element name="Publisheddate" ma:index="8" nillable="true" ma:displayName="Published date" ma:format="DateOnly" ma:internalName="Publisheddate" ma:readOnly="false">
      <xsd:simpleType>
        <xsd:restriction base="dms:DateTime"/>
      </xsd:simpleType>
    </xsd:element>
    <xsd:element name="Year" ma:index="9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</xsd:restriction>
      </xsd:simpleType>
    </xsd:element>
    <xsd:element name="Function" ma:index="10" nillable="true" ma:displayName="Function" ma:format="Dropdown" ma:internalName="Function" ma:readOnly="false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  <xsd:element name="Review_x0020_date" ma:index="11" nillable="true" ma:displayName="Review date" ma:format="DateOnly" ma:internalName="Review_x0020_date" ma:readOnly="false">
      <xsd:simpleType>
        <xsd:restriction base="dms:DateTime"/>
      </xsd:simpleType>
    </xsd:element>
    <xsd:element name="Relevant_x0020_pages" ma:index="12" nillable="true" ma:displayName="Relevant pages" ma:list="{739c09f8-1e24-4a7d-8e45-b0341a775fcf}" ma:internalName="Relevant_x0020_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4" nillable="true" ma:displayName="Top Level Headings" ma:format="Dropdown" ma:indexed="true" ma:internalName="Top_x0020_Level_x0020_Headings" ma:readOnly="false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hidden="true" ma:internalName="Relat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hidden="true" ma:internalName="School_x0020_leve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hidden="true" ma:internalName="Targeted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1D836-A407-4A0B-80C7-8D5C98C90BAB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2.xml><?xml version="1.0" encoding="utf-8"?>
<ds:datastoreItem xmlns:ds="http://schemas.openxmlformats.org/officeDocument/2006/customXml" ds:itemID="{5ADEF59A-4CC0-44E0-AC62-BBCFBEAB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2A291-A67A-40BF-B65D-7BDED09B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- Impact Report</vt:lpstr>
    </vt:vector>
  </TitlesOfParts>
  <Company>ACT Government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- Impact Report</dc:title>
  <dc:subject/>
  <dc:creator>ACT Education Directorate</dc:creator>
  <cp:keywords>Impact Report</cp:keywords>
  <dc:description/>
  <cp:lastModifiedBy>Gill, Andrea</cp:lastModifiedBy>
  <cp:revision>2</cp:revision>
  <cp:lastPrinted>2022-09-14T00:20:00Z</cp:lastPrinted>
  <dcterms:created xsi:type="dcterms:W3CDTF">2022-09-14T00:21:00Z</dcterms:created>
  <dcterms:modified xsi:type="dcterms:W3CDTF">2022-09-14T00:21:00Z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