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rsidRPr="00563A3D" w:rsidR="00FE1945" w:rsidP="00FE1945" w:rsidRDefault="00D353EF" w14:paraId="5E9708A2" w14:textId="0FFECEF9">
          <w:pPr>
            <w:rPr>
              <w:rStyle w:val="SchoolName"/>
              <w:color w:val="1F4E79"/>
            </w:rPr>
          </w:pPr>
          <w:r>
            <w:rPr>
              <w:rStyle w:val="SchoolName"/>
              <w:color w:val="1F4E79"/>
            </w:rPr>
            <w:t>Arawang Primary School</w:t>
          </w:r>
        </w:p>
      </w:sdtContent>
    </w:sdt>
    <w:p w:rsidRPr="005F3926" w:rsidR="00FE1945" w:rsidP="00FE1945" w:rsidRDefault="00FE1945" w14:paraId="63330FCF" w14:textId="48387464">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D353EF">
            <w:t>South Canberra/ Weston</w:t>
          </w:r>
        </w:sdtContent>
      </w:sdt>
    </w:p>
    <w:p w:rsidR="00FE1945" w:rsidP="00FE1945" w:rsidRDefault="00846E51" w14:paraId="38F253B0" w14:textId="09AC2DB8">
      <w:pPr>
        <w:pStyle w:val="Title"/>
        <w:jc w:val="left"/>
      </w:pPr>
      <w:r w:rsidR="00846E51">
        <w:rPr/>
        <w:t>Impact</w:t>
      </w:r>
      <w:r w:rsidR="00FE1945">
        <w:rPr/>
        <w:t xml:space="preserve"> </w:t>
      </w:r>
      <w:r w:rsidR="00B10319">
        <w:rPr/>
        <w:t xml:space="preserve">Report </w:t>
      </w:r>
      <w:r w:rsidR="00FE1945">
        <w:rPr/>
        <w:t>20</w:t>
      </w:r>
      <w:r w:rsidR="00D353EF">
        <w:rPr/>
        <w:t>21</w:t>
      </w:r>
    </w:p>
    <w:p w:rsidRPr="001B2E33" w:rsidR="00E434FA" w:rsidP="001B2E33" w:rsidRDefault="00E434FA" w14:paraId="43815876" w14:textId="77777777">
      <w:pPr>
        <w:pStyle w:val="Heading1"/>
      </w:pPr>
      <w:r w:rsidRPr="001B2E33">
        <w:t>The purpose of this document</w:t>
      </w:r>
    </w:p>
    <w:p w:rsidR="00CE5293" w:rsidP="3765761F" w:rsidRDefault="00CE5293" w14:paraId="5946BD4F" w14:textId="6947F7F1">
      <w:pPr>
        <w:pStyle w:val="BodyText"/>
      </w:pPr>
      <w:r w:rsidR="00B10319">
        <w:rPr/>
        <w:t>This document flows</w:t>
      </w:r>
      <w:r w:rsidR="00334BBF">
        <w:rPr/>
        <w:t xml:space="preserve"> directly from our Action</w:t>
      </w:r>
      <w:r w:rsidR="00846E51">
        <w:rPr/>
        <w:t xml:space="preserve"> Plan </w:t>
      </w:r>
      <w:r w:rsidR="00B10319">
        <w:rPr/>
        <w:t>for 20</w:t>
      </w:r>
      <w:r w:rsidR="00DA46CF">
        <w:rPr/>
        <w:t>20</w:t>
      </w:r>
      <w:r w:rsidR="00B10319">
        <w:rPr/>
        <w:t xml:space="preserve"> which translated </w:t>
      </w:r>
      <w:r w:rsidR="00132917">
        <w:rPr/>
        <w:t xml:space="preserve">our school </w:t>
      </w:r>
      <w:r w:rsidR="00B10319">
        <w:rPr/>
        <w:t xml:space="preserve">priorities into actions </w:t>
      </w:r>
      <w:r w:rsidR="00DA4480">
        <w:rPr/>
        <w:t>for</w:t>
      </w:r>
      <w:r w:rsidR="00B10319">
        <w:rPr/>
        <w:t xml:space="preserve"> the current year of our </w:t>
      </w:r>
      <w:r w:rsidR="001B2E33">
        <w:rPr/>
        <w:t>five-year</w:t>
      </w:r>
      <w:r w:rsidR="00B10319">
        <w:rPr/>
        <w:t xml:space="preserve"> improvement cycle.</w:t>
      </w:r>
      <w:r w:rsidR="00DA4480">
        <w:rPr/>
        <w:t xml:space="preserve"> These actions were responsive to identified challenges, changes or risks to delivery of improvement for student learning.</w:t>
      </w:r>
      <w:r w:rsidR="006725EF">
        <w:rPr/>
        <w:t xml:space="preserve"> </w:t>
      </w:r>
    </w:p>
    <w:p w:rsidR="3765761F" w:rsidP="3765761F" w:rsidRDefault="3765761F" w14:paraId="1CC5B808" w14:textId="76C5C9D3">
      <w:pPr>
        <w:pStyle w:val="BodyText"/>
      </w:pPr>
    </w:p>
    <w:p w:rsidRPr="00997CD0" w:rsidR="00B10319" w:rsidP="001B2E33" w:rsidRDefault="00B10319" w14:paraId="653DD0FA" w14:textId="46161C41">
      <w:pPr>
        <w:pStyle w:val="Heading1"/>
      </w:pPr>
      <w:r w:rsidRPr="00997CD0">
        <w:t xml:space="preserve">Our </w:t>
      </w:r>
      <w:r w:rsidRPr="00997CD0" w:rsidR="00163579">
        <w:t xml:space="preserve">school’s </w:t>
      </w:r>
      <w:r w:rsidRPr="00997CD0">
        <w:t xml:space="preserve">contribution to whole-of-system </w:t>
      </w:r>
      <w:r w:rsidR="007B0189">
        <w:t>S</w:t>
      </w:r>
      <w:r w:rsidRPr="00997CD0" w:rsidR="0066643F">
        <w:t xml:space="preserve">trategic </w:t>
      </w:r>
      <w:r w:rsidR="007B0189">
        <w:t>I</w:t>
      </w:r>
      <w:r w:rsidRPr="00997CD0">
        <w:t>ndicators</w:t>
      </w:r>
    </w:p>
    <w:p w:rsidRPr="001B2E33" w:rsidR="00B10319" w:rsidP="001B2E33" w:rsidRDefault="007B0189" w14:paraId="0F870035" w14:textId="77777777">
      <w:pPr>
        <w:pStyle w:val="Heading2"/>
      </w:pPr>
      <w:r w:rsidRPr="001B2E33">
        <w:t>Education Directorate Strategic I</w:t>
      </w:r>
      <w:r w:rsidRPr="001B2E33" w:rsidR="00B10319">
        <w:t>ndicator 2018-2021</w:t>
      </w:r>
    </w:p>
    <w:p w:rsidRPr="00CE5293" w:rsidR="00300F72" w:rsidP="00300F72" w:rsidRDefault="00FE1945" w14:paraId="1D7760C0" w14:textId="576BFC3D">
      <w:pPr>
        <w:pStyle w:val="BodyText"/>
        <w:rPr>
          <w:i/>
        </w:rPr>
      </w:pPr>
      <w:r w:rsidRPr="001B2E33">
        <w:rPr>
          <w:i/>
        </w:rPr>
        <w:t>To promote greater equity in learning outcomes in and across ACT public schools</w:t>
      </w:r>
    </w:p>
    <w:p w:rsidRPr="00132917" w:rsidR="00846E51" w:rsidP="00132917" w:rsidRDefault="00300F72" w14:paraId="0E4AE3ED" w14:textId="325524C4">
      <w:pPr>
        <w:pStyle w:val="BodyText"/>
      </w:pPr>
      <w:r w:rsidR="00300F72">
        <w:rPr/>
        <w:t xml:space="preserve">In </w:t>
      </w:r>
      <w:r w:rsidR="00D4537E">
        <w:rPr/>
        <w:t>20</w:t>
      </w:r>
      <w:r w:rsidR="00DA46CF">
        <w:rPr/>
        <w:t>21</w:t>
      </w:r>
      <w:r w:rsidR="00300F72">
        <w:rPr/>
        <w:t xml:space="preserve"> our school supported this </w:t>
      </w:r>
      <w:r w:rsidR="00E14A54">
        <w:rPr/>
        <w:t>S</w:t>
      </w:r>
      <w:r w:rsidR="00300F72">
        <w:rPr/>
        <w:t xml:space="preserve">trategic </w:t>
      </w:r>
      <w:r w:rsidR="00E14A54">
        <w:rPr/>
        <w:t>I</w:t>
      </w:r>
      <w:r w:rsidR="00300F72">
        <w:rPr/>
        <w:t xml:space="preserve">ndicator through – Priority </w:t>
      </w:r>
      <w:r w:rsidR="00010252">
        <w:rPr/>
        <w:t>1</w:t>
      </w:r>
      <w:r w:rsidR="00930C91">
        <w:rPr/>
        <w:t xml:space="preserve"> and 2</w:t>
      </w:r>
      <w:r w:rsidR="00300F72">
        <w:rPr/>
        <w:t xml:space="preserve"> (see reporting for detail):</w:t>
      </w:r>
    </w:p>
    <w:p w:rsidR="004E67DE" w:rsidP="31B27EEE" w:rsidRDefault="00930C91" w14:paraId="5A96EAC1" w14:textId="34113D8D">
      <w:pPr>
        <w:pStyle w:val="ListBullet"/>
        <w:rPr/>
      </w:pPr>
      <w:r w:rsidR="19AF36F9">
        <w:rPr/>
        <w:t xml:space="preserve">Continued to develop </w:t>
      </w:r>
      <w:r w:rsidR="19AF36F9">
        <w:rPr/>
        <w:t>teacher capacity to identify and plan for individual student learning needs in writing and mathematics.</w:t>
      </w:r>
      <w:r w:rsidR="19AF36F9">
        <w:rPr/>
        <w:t xml:space="preserve"> </w:t>
      </w:r>
    </w:p>
    <w:p w:rsidR="00930C91" w:rsidP="71EFEECA" w:rsidRDefault="00930C91" w14:paraId="5D64F474" w14:textId="6AE1DD7F">
      <w:pPr>
        <w:pStyle w:val="ListBullet"/>
        <w:rPr/>
      </w:pPr>
      <w:r w:rsidR="19AF36F9">
        <w:rPr/>
        <w:t>Adapted learning processes to be delivered online – including developing a Wellbeing approach to support families online.</w:t>
      </w:r>
    </w:p>
    <w:p w:rsidR="31B27EEE" w:rsidP="31B27EEE" w:rsidRDefault="31B27EEE" w14:paraId="44FFD31A" w14:textId="07E3E4A0">
      <w:pPr>
        <w:pStyle w:val="ListBullet"/>
        <w:rPr/>
      </w:pPr>
      <w:r w:rsidR="31B27EEE">
        <w:rPr/>
        <w:t>Provided appropriate resources to support students’ learning online.</w:t>
      </w:r>
    </w:p>
    <w:p w:rsidRPr="00300F72" w:rsidR="00300F72" w:rsidP="00300F72" w:rsidRDefault="00300F72" w14:paraId="4237A615" w14:textId="77777777">
      <w:pPr>
        <w:pStyle w:val="BodyText"/>
      </w:pPr>
    </w:p>
    <w:p w:rsidRPr="00B10319" w:rsidR="00B10319" w:rsidP="004D00F4" w:rsidRDefault="00B10319" w14:paraId="6A16A7D4" w14:textId="118BFB62">
      <w:pPr>
        <w:pStyle w:val="Heading2"/>
      </w:pPr>
      <w:r w:rsidRPr="00B10319">
        <w:t xml:space="preserve">Education Directorate </w:t>
      </w:r>
      <w:r w:rsidR="007B0189">
        <w:t>S</w:t>
      </w:r>
      <w:r w:rsidRPr="00B10319">
        <w:t xml:space="preserve">trategic </w:t>
      </w:r>
      <w:r w:rsidR="007B0189">
        <w:t>I</w:t>
      </w:r>
      <w:r w:rsidRPr="00B10319">
        <w:t>ndicator 2018-2021</w:t>
      </w:r>
    </w:p>
    <w:p w:rsidRPr="00CE5293" w:rsidR="00300F72" w:rsidP="00300F72" w:rsidRDefault="00B10319" w14:paraId="5A54A98A" w14:textId="71AEBBEA">
      <w:pPr>
        <w:pStyle w:val="BodyText"/>
        <w:rPr>
          <w:i/>
        </w:rPr>
      </w:pPr>
      <w:r w:rsidRPr="001B2E33">
        <w:rPr>
          <w:i/>
        </w:rPr>
        <w:t>To facilitate high quality teaching in ACT public schools and strengthen educational outcomes.</w:t>
      </w:r>
    </w:p>
    <w:p w:rsidRPr="00132917" w:rsidR="00300F72" w:rsidP="00132917" w:rsidRDefault="00300F72" w14:paraId="14162F1A" w14:textId="79011506">
      <w:pPr>
        <w:pStyle w:val="BodyText"/>
      </w:pPr>
      <w:r w:rsidR="644ED416">
        <w:rPr/>
        <w:t xml:space="preserve">In </w:t>
      </w:r>
      <w:r w:rsidR="40E1A7C4">
        <w:rPr/>
        <w:t>20</w:t>
      </w:r>
      <w:r w:rsidR="5D464B9A">
        <w:rPr/>
        <w:t>21</w:t>
      </w:r>
      <w:r w:rsidR="644ED416">
        <w:rPr/>
        <w:t xml:space="preserve"> our school supported this </w:t>
      </w:r>
      <w:r w:rsidR="75122F87">
        <w:rPr/>
        <w:t>S</w:t>
      </w:r>
      <w:r w:rsidR="644ED416">
        <w:rPr/>
        <w:t xml:space="preserve">trategic </w:t>
      </w:r>
      <w:r w:rsidR="75122F87">
        <w:rPr/>
        <w:t>I</w:t>
      </w:r>
      <w:r w:rsidR="644ED416">
        <w:rPr/>
        <w:t xml:space="preserve">ndicator through – Priority </w:t>
      </w:r>
      <w:r w:rsidR="1603D441">
        <w:rPr/>
        <w:t xml:space="preserve">1 and </w:t>
      </w:r>
      <w:r w:rsidR="5D464B9A">
        <w:rPr/>
        <w:t>2</w:t>
      </w:r>
      <w:r w:rsidR="644ED416">
        <w:rPr/>
        <w:t xml:space="preserve"> (see reporting for detail):</w:t>
      </w:r>
    </w:p>
    <w:p w:rsidR="31B27EEE" w:rsidP="31B27EEE" w:rsidRDefault="31B27EEE" w14:paraId="09BCE65F" w14:textId="479A7860">
      <w:pPr>
        <w:pStyle w:val="BodyText"/>
        <w:numPr>
          <w:ilvl w:val="0"/>
          <w:numId w:val="22"/>
        </w:numPr>
        <w:rPr>
          <w:rFonts w:ascii="Calibri" w:hAnsi="Calibri" w:eastAsia="Calibri" w:cs="Calibri" w:asciiTheme="minorAscii" w:hAnsiTheme="minorAscii" w:eastAsiaTheme="minorAscii" w:cstheme="minorAscii"/>
          <w:sz w:val="22"/>
          <w:szCs w:val="22"/>
        </w:rPr>
      </w:pPr>
      <w:r w:rsidR="31B27EEE">
        <w:rPr/>
        <w:t>Built the capacity of staff in using technology to support online learning.</w:t>
      </w:r>
    </w:p>
    <w:p w:rsidR="31B27EEE" w:rsidP="31B27EEE" w:rsidRDefault="31B27EEE" w14:paraId="626FF150" w14:textId="7C95CE16">
      <w:pPr>
        <w:pStyle w:val="ListBullet"/>
        <w:numPr>
          <w:ilvl w:val="0"/>
          <w:numId w:val="22"/>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31B27EEE">
        <w:rPr/>
        <w:t xml:space="preserve">Continued to build teacher’s capacity to embed </w:t>
      </w:r>
      <w:r w:rsidR="31B27EEE">
        <w:rPr/>
        <w:t xml:space="preserve">writing </w:t>
      </w:r>
      <w:r w:rsidR="31B27EEE">
        <w:rPr/>
        <w:t>goals for year levels including exploring the Literacy Progressions to support goal setting.</w:t>
      </w:r>
    </w:p>
    <w:p w:rsidR="31B27EEE" w:rsidP="66B31E4E" w:rsidRDefault="31B27EEE" w14:paraId="0A8EBEF0" w14:textId="56AFE001">
      <w:pPr>
        <w:pStyle w:val="ListBullet"/>
        <w:numPr>
          <w:ilvl w:val="0"/>
          <w:numId w:val="22"/>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31B27EEE">
        <w:rPr/>
        <w:t xml:space="preserve">Engaged with Directorate support in “Finding the Balance”.  Approximately seven staff attended to help support numeracy strategic </w:t>
      </w:r>
      <w:r w:rsidR="66B31E4E">
        <w:rPr/>
        <w:t>planning (two consistent staff members across the sessions).</w:t>
      </w:r>
    </w:p>
    <w:p w:rsidR="31B27EEE" w:rsidP="31B27EEE" w:rsidRDefault="31B27EEE" w14:paraId="3E5D8F78" w14:textId="6C6F4045">
      <w:pPr>
        <w:pStyle w:val="BodyText"/>
      </w:pPr>
    </w:p>
    <w:p w:rsidRPr="00B10319" w:rsidR="00B10319" w:rsidP="001B2E33" w:rsidRDefault="00B10319" w14:paraId="0CBDE7CA" w14:textId="77777777">
      <w:pPr>
        <w:pStyle w:val="Heading2"/>
      </w:pPr>
      <w:r w:rsidR="59D1BCD7">
        <w:rPr/>
        <w:t xml:space="preserve">Education Directorate </w:t>
      </w:r>
      <w:r w:rsidR="075623B0">
        <w:rPr/>
        <w:t>S</w:t>
      </w:r>
      <w:r w:rsidR="59D1BCD7">
        <w:rPr/>
        <w:t xml:space="preserve">trategic </w:t>
      </w:r>
      <w:r w:rsidR="075623B0">
        <w:rPr/>
        <w:t>I</w:t>
      </w:r>
      <w:r w:rsidR="59D1BCD7">
        <w:rPr/>
        <w:t>ndicator 2018-2021</w:t>
      </w:r>
    </w:p>
    <w:p w:rsidRPr="00CE5293" w:rsidR="00300F72" w:rsidP="31B27EEE" w:rsidRDefault="00B10319" w14:paraId="00CB48B2" w14:textId="09D9556C">
      <w:pPr>
        <w:pStyle w:val="BodyText"/>
        <w:rPr>
          <w:i w:val="1"/>
          <w:iCs w:val="1"/>
        </w:rPr>
      </w:pPr>
      <w:r w:rsidRPr="31B27EEE" w:rsidR="59D1BCD7">
        <w:rPr>
          <w:i w:val="1"/>
          <w:iCs w:val="1"/>
        </w:rPr>
        <w:t>To centre teaching and learning around students as individuals</w:t>
      </w:r>
    </w:p>
    <w:p w:rsidR="644ED416" w:rsidP="31B27EEE" w:rsidRDefault="644ED416" w14:paraId="4BE2FC43" w14:textId="4BC7643C">
      <w:pPr>
        <w:pStyle w:val="ListBullet"/>
        <w:numPr>
          <w:numId w:val="0"/>
        </w:numPr>
        <w:bidi w:val="0"/>
        <w:spacing w:before="0" w:beforeAutospacing="off" w:after="160" w:afterAutospacing="off" w:line="259" w:lineRule="auto"/>
        <w:ind w:left="0" w:right="0"/>
        <w:jc w:val="left"/>
      </w:pPr>
      <w:r w:rsidR="644ED416">
        <w:rPr/>
        <w:t xml:space="preserve">In </w:t>
      </w:r>
      <w:r w:rsidR="40E1A7C4">
        <w:rPr/>
        <w:t>20</w:t>
      </w:r>
      <w:r w:rsidR="30E46FBA">
        <w:rPr/>
        <w:t>21</w:t>
      </w:r>
      <w:r w:rsidR="644ED416">
        <w:rPr/>
        <w:t xml:space="preserve"> our school supported this </w:t>
      </w:r>
      <w:r w:rsidR="75122F87">
        <w:rPr/>
        <w:t>S</w:t>
      </w:r>
      <w:r w:rsidR="644ED416">
        <w:rPr/>
        <w:t xml:space="preserve">trategic </w:t>
      </w:r>
      <w:r w:rsidR="75122F87">
        <w:rPr/>
        <w:t>I</w:t>
      </w:r>
      <w:r w:rsidR="644ED416">
        <w:rPr/>
        <w:t xml:space="preserve">ndicator through – Priority </w:t>
      </w:r>
      <w:r w:rsidR="30E46FBA">
        <w:rPr/>
        <w:t>1 and 2</w:t>
      </w:r>
      <w:r w:rsidR="644ED416">
        <w:rPr/>
        <w:t xml:space="preserve"> (see reporting for detail):</w:t>
      </w:r>
    </w:p>
    <w:p w:rsidR="31B27EEE" w:rsidP="31B27EEE" w:rsidRDefault="31B27EEE" w14:paraId="01DFB2EC" w14:textId="40652253">
      <w:pPr>
        <w:pStyle w:val="ListBullet"/>
        <w:bidi w:val="0"/>
        <w:spacing w:before="0" w:beforeAutospacing="off" w:after="160" w:afterAutospacing="off" w:line="259" w:lineRule="auto"/>
        <w:ind w:left="360" w:right="0" w:hanging="360"/>
        <w:jc w:val="left"/>
        <w:rPr/>
      </w:pPr>
      <w:r w:rsidR="31B27EEE">
        <w:rPr/>
        <w:t xml:space="preserve">Continuing to embed Professional Learning Communities (PLCs) with a focus on </w:t>
      </w:r>
      <w:r w:rsidR="31B27EEE">
        <w:rPr/>
        <w:t>writing</w:t>
      </w:r>
    </w:p>
    <w:p w:rsidR="31B27EEE" w:rsidP="31B27EEE" w:rsidRDefault="31B27EEE" w14:paraId="19E7C2FE" w14:textId="77CBB66D">
      <w:pPr>
        <w:pStyle w:val="ListBullet"/>
        <w:bidi w:val="0"/>
        <w:spacing w:before="0" w:beforeAutospacing="off" w:after="160" w:afterAutospacing="off" w:line="259" w:lineRule="auto"/>
        <w:ind w:left="360" w:right="0" w:hanging="360"/>
        <w:jc w:val="left"/>
        <w:rPr/>
      </w:pPr>
      <w:r w:rsidR="31B27EEE">
        <w:rPr/>
        <w:t xml:space="preserve">Analysed student work at year level to </w:t>
      </w:r>
      <w:r w:rsidR="31B27EEE">
        <w:rPr/>
        <w:t>determine</w:t>
      </w:r>
      <w:r w:rsidR="31B27EEE">
        <w:rPr/>
        <w:t xml:space="preserve"> greatest area of need</w:t>
      </w:r>
    </w:p>
    <w:p w:rsidR="31B27EEE" w:rsidP="31B27EEE" w:rsidRDefault="31B27EEE" w14:paraId="246EBAC8" w14:textId="2A5A9DBA">
      <w:pPr>
        <w:pStyle w:val="ListBullet"/>
        <w:bidi w:val="0"/>
        <w:spacing w:before="0" w:beforeAutospacing="off" w:after="160" w:afterAutospacing="off" w:line="259" w:lineRule="auto"/>
        <w:ind w:left="360" w:right="0" w:hanging="360"/>
        <w:jc w:val="left"/>
        <w:rPr/>
      </w:pPr>
      <w:r w:rsidR="31B27EEE">
        <w:rPr/>
        <w:t>Documented interventions and short-term goals in writing</w:t>
      </w:r>
    </w:p>
    <w:p w:rsidRPr="001B26EA" w:rsidR="00300F72" w:rsidP="31B27EEE" w:rsidRDefault="002D0EEA" w14:paraId="59777CE8" w14:textId="45D501FD">
      <w:pPr>
        <w:pStyle w:val="ListBullet"/>
        <w:numPr>
          <w:numId w:val="0"/>
        </w:numPr>
        <w:ind w:left="0"/>
      </w:pPr>
    </w:p>
    <w:p w:rsidR="00B10319" w:rsidP="001B2E33" w:rsidRDefault="004D5E45" w14:paraId="2B93A716" w14:textId="0A6ED895">
      <w:pPr>
        <w:pStyle w:val="Heading1"/>
      </w:pPr>
      <w:r>
        <w:lastRenderedPageBreak/>
        <w:t>Reporting against our priorities</w:t>
      </w:r>
    </w:p>
    <w:p w:rsidRPr="00CA2D6E" w:rsidR="00837137" w:rsidP="00837137" w:rsidRDefault="00837137" w14:paraId="5A7DC0CC" w14:textId="51D71B78">
      <w:pPr>
        <w:pStyle w:val="Heading2"/>
        <w:tabs>
          <w:tab w:val="clear" w:pos="2410"/>
          <w:tab w:val="left" w:pos="1276"/>
        </w:tabs>
        <w:ind w:left="1276" w:hanging="1276"/>
        <w:rPr>
          <w:rFonts w:asciiTheme="minorHAnsi" w:hAnsiTheme="minorHAnsi" w:cstheme="minorBidi"/>
          <w:color w:val="auto"/>
          <w:sz w:val="22"/>
        </w:rPr>
      </w:pPr>
      <w:r w:rsidRPr="000F0410">
        <w:t>Priority 1:</w:t>
      </w:r>
      <w:r w:rsidRPr="000F0410">
        <w:rPr>
          <w:color w:val="auto"/>
        </w:rPr>
        <w:tab/>
      </w:r>
      <w:r w:rsidRPr="00CA2D6E" w:rsidR="00CA2D6E">
        <w:rPr>
          <w:rFonts w:asciiTheme="minorHAnsi" w:hAnsiTheme="minorHAnsi" w:cstheme="minorBidi"/>
          <w:color w:val="auto"/>
          <w:sz w:val="22"/>
        </w:rPr>
        <w:t>Increase growth in student performance in writing across all year levels.</w:t>
      </w:r>
    </w:p>
    <w:p w:rsidRPr="00837137" w:rsidR="004D5E45" w:rsidP="00837137" w:rsidRDefault="006D2F6B" w14:paraId="255A28BA" w14:textId="77777777">
      <w:pPr>
        <w:pStyle w:val="Heading3"/>
      </w:pPr>
      <w:r w:rsidRPr="00837137">
        <w:t>Targets or measures</w:t>
      </w:r>
    </w:p>
    <w:p w:rsidR="000031B5" w:rsidP="0058339C" w:rsidRDefault="00481BD2" w14:paraId="0ED94083" w14:textId="76E6F644">
      <w:pPr>
        <w:pStyle w:val="BodyText"/>
      </w:pPr>
      <w:r>
        <w:t xml:space="preserve">By the end of </w:t>
      </w:r>
      <w:r w:rsidR="00D4537E">
        <w:t>20</w:t>
      </w:r>
      <w:r w:rsidR="00CC2E0C">
        <w:t>24</w:t>
      </w:r>
      <w:r w:rsidR="000031B5">
        <w:t xml:space="preserve"> we will achieve:</w:t>
      </w:r>
    </w:p>
    <w:p w:rsidR="00CC2E0C" w:rsidP="00CC2E0C" w:rsidRDefault="00CC2E0C" w14:paraId="7275A7F0" w14:textId="26B8A8E9">
      <w:pPr>
        <w:pStyle w:val="ListBullet"/>
        <w:rPr/>
      </w:pPr>
      <w:r w:rsidR="4E19045C">
        <w:rPr/>
        <w:t>An increase in the percentage of year 5 students in the top two bands of writing to 19% or more.</w:t>
      </w:r>
    </w:p>
    <w:p w:rsidRPr="00837137" w:rsidR="00997CD0" w:rsidP="00CC2E0C" w:rsidRDefault="00CC2E0C" w14:paraId="12BD76A1" w14:textId="2C28EFD9">
      <w:pPr>
        <w:pStyle w:val="ListBullet"/>
        <w:rPr/>
      </w:pPr>
      <w:r w:rsidR="4E19045C">
        <w:rPr/>
        <w:t xml:space="preserve">A decrease in the percentage of year 5 students in the bottom two bands of writing to 13% or less. </w:t>
      </w:r>
    </w:p>
    <w:p w:rsidR="00997CD0" w:rsidP="00837137" w:rsidRDefault="00CC2E0C" w14:paraId="097CC839" w14:textId="4C02149C">
      <w:pPr>
        <w:pStyle w:val="ListBullet"/>
        <w:rPr/>
      </w:pPr>
      <w:r w:rsidR="4E19045C">
        <w:rPr/>
        <w:t>An</w:t>
      </w:r>
      <w:r w:rsidR="4E19045C">
        <w:rPr/>
        <w:t xml:space="preserve"> improve</w:t>
      </w:r>
      <w:r w:rsidR="4E19045C">
        <w:rPr/>
        <w:t>ment in</w:t>
      </w:r>
      <w:r w:rsidR="4E19045C">
        <w:rPr/>
        <w:t xml:space="preserve"> the percentage of students who strongly agree and agree that ‘teachers give useful feedback’ to 8</w:t>
      </w:r>
      <w:r w:rsidR="4E19045C">
        <w:rPr/>
        <w:t>0</w:t>
      </w:r>
      <w:r w:rsidR="4E19045C">
        <w:rPr/>
        <w:t>%</w:t>
      </w:r>
      <w:r w:rsidR="4E19045C">
        <w:rPr/>
        <w:t>.</w:t>
      </w:r>
    </w:p>
    <w:p w:rsidRPr="00837137" w:rsidR="00CC2E0C" w:rsidP="00837137" w:rsidRDefault="00CC2E0C" w14:paraId="06DD772C" w14:textId="7F156D49">
      <w:pPr>
        <w:pStyle w:val="ListBullet"/>
        <w:rPr/>
      </w:pPr>
      <w:r w:rsidR="4E19045C">
        <w:rPr/>
        <w:t>An</w:t>
      </w:r>
      <w:r w:rsidR="4E19045C">
        <w:rPr/>
        <w:t xml:space="preserve"> improve</w:t>
      </w:r>
      <w:r w:rsidR="4E19045C">
        <w:rPr/>
        <w:t>ment in</w:t>
      </w:r>
      <w:r w:rsidR="4E19045C">
        <w:rPr/>
        <w:t xml:space="preserve"> </w:t>
      </w:r>
      <w:r w:rsidR="4E19045C">
        <w:rPr/>
        <w:t>results from a teacher survey around the use of conferencing to improve writing results. Target to be determined after baseline data is collected.</w:t>
      </w:r>
    </w:p>
    <w:p w:rsidRPr="00373DC0" w:rsidR="004D5E45" w:rsidP="00837137" w:rsidRDefault="004D5E45" w14:paraId="1319DBFF" w14:textId="147947A9">
      <w:pPr>
        <w:pStyle w:val="BodyText"/>
      </w:pPr>
      <w:r w:rsidR="0ACB95D7">
        <w:rPr/>
        <w:t xml:space="preserve">In </w:t>
      </w:r>
      <w:r w:rsidR="40E1A7C4">
        <w:rPr/>
        <w:t>20</w:t>
      </w:r>
      <w:r w:rsidR="4E19045C">
        <w:rPr/>
        <w:t>21</w:t>
      </w:r>
      <w:r w:rsidR="0ACB95D7">
        <w:rPr/>
        <w:t xml:space="preserve"> we </w:t>
      </w:r>
      <w:r w:rsidR="300AB542">
        <w:rPr/>
        <w:t>implemented</w:t>
      </w:r>
      <w:r w:rsidR="0ACB95D7">
        <w:rPr/>
        <w:t xml:space="preserve"> this priority throug</w:t>
      </w:r>
      <w:r w:rsidR="300AB542">
        <w:rPr/>
        <w:t xml:space="preserve">h the following </w:t>
      </w:r>
      <w:r w:rsidR="0ACB95D7">
        <w:rPr/>
        <w:t>strategies:</w:t>
      </w:r>
    </w:p>
    <w:p w:rsidRPr="00CC2E0C" w:rsidR="00CC2E0C" w:rsidP="31B27EEE" w:rsidRDefault="00CC2E0C" w14:paraId="15B056A8" w14:textId="580ADD83">
      <w:pPr>
        <w:pStyle w:val="ListBullet"/>
        <w:rPr/>
      </w:pPr>
      <w:r w:rsidR="4E19045C">
        <w:rPr/>
        <w:t xml:space="preserve">Continued to develop a </w:t>
      </w:r>
      <w:r w:rsidR="4E19045C">
        <w:rPr/>
        <w:t>consistent approach to the teaching of writing with a focus on Deb Miller’s Workshop model.</w:t>
      </w:r>
      <w:r w:rsidR="4E19045C">
        <w:rPr/>
        <w:t xml:space="preserve"> </w:t>
      </w:r>
    </w:p>
    <w:p w:rsidR="00436626" w:rsidP="31B27EEE" w:rsidRDefault="009B454E" w14:paraId="5BB3533D" w14:textId="0E273982">
      <w:pPr>
        <w:pStyle w:val="ListBullet"/>
        <w:bidi w:val="0"/>
        <w:spacing w:before="0" w:beforeAutospacing="off" w:after="160" w:afterAutospacing="off" w:line="259" w:lineRule="auto"/>
        <w:ind w:left="360" w:right="0" w:hanging="360"/>
        <w:jc w:val="left"/>
        <w:rPr>
          <w:rFonts w:ascii="Calibri" w:hAnsi="Calibri" w:eastAsia="Calibri" w:cs="Calibri" w:asciiTheme="minorAscii" w:hAnsiTheme="minorAscii" w:eastAsiaTheme="minorAscii" w:cstheme="minorAscii"/>
          <w:sz w:val="22"/>
          <w:szCs w:val="22"/>
        </w:rPr>
      </w:pPr>
      <w:r w:rsidR="31B27EEE">
        <w:rPr/>
        <w:t>Building teacher capacity in grammatical structures to support the writing process</w:t>
      </w:r>
    </w:p>
    <w:p w:rsidR="00436626" w:rsidP="31B27EEE" w:rsidRDefault="009B454E" w14:paraId="1C3E5621" w14:textId="34CE20C0">
      <w:pPr>
        <w:pStyle w:val="ListBullet"/>
        <w:bidi w:val="0"/>
        <w:spacing w:before="0" w:beforeAutospacing="off" w:after="160" w:afterAutospacing="off" w:line="259" w:lineRule="auto"/>
        <w:ind w:left="360" w:right="0" w:hanging="360"/>
        <w:jc w:val="left"/>
        <w:rPr>
          <w:sz w:val="22"/>
          <w:szCs w:val="22"/>
        </w:rPr>
      </w:pPr>
      <w:r w:rsidR="31B27EEE">
        <w:rPr/>
        <w:t xml:space="preserve">Used Australian Curriculum Literacy Progressions to reflect on student work in moderation processes and guide writing goals for </w:t>
      </w:r>
      <w:r w:rsidR="31B27EEE">
        <w:rPr/>
        <w:t>each</w:t>
      </w:r>
      <w:r w:rsidR="31B27EEE">
        <w:rPr/>
        <w:t xml:space="preserve"> year level</w:t>
      </w:r>
    </w:p>
    <w:p w:rsidR="00436626" w:rsidP="31B27EEE" w:rsidRDefault="009B454E" w14:paraId="257DFB66" w14:textId="23587AE5">
      <w:pPr>
        <w:pStyle w:val="ListBullet"/>
        <w:numPr>
          <w:numId w:val="0"/>
        </w:numPr>
        <w:bidi w:val="0"/>
        <w:spacing w:before="0" w:beforeAutospacing="off" w:after="160" w:afterAutospacing="off" w:line="259" w:lineRule="auto"/>
        <w:ind w:left="0" w:right="0"/>
        <w:jc w:val="left"/>
        <w:rPr>
          <w:i w:val="1"/>
          <w:iCs w:val="1"/>
        </w:rPr>
      </w:pPr>
    </w:p>
    <w:p w:rsidR="00436626" w:rsidP="31B27EEE" w:rsidRDefault="009B454E" w14:paraId="7DFF073D" w14:textId="0E788F58">
      <w:pPr>
        <w:pStyle w:val="ListBullet"/>
        <w:numPr>
          <w:numId w:val="0"/>
        </w:numPr>
        <w:bidi w:val="0"/>
        <w:spacing w:before="0" w:beforeAutospacing="off" w:after="160" w:afterAutospacing="off" w:line="259" w:lineRule="auto"/>
        <w:ind w:left="0" w:right="0"/>
        <w:jc w:val="left"/>
        <w:rPr>
          <w:noProof/>
        </w:rPr>
      </w:pPr>
      <w:r w:rsidRPr="31B27EEE" w:rsidR="7FEB30B1">
        <w:rPr>
          <w:i w:val="1"/>
          <w:iCs w:val="1"/>
        </w:rPr>
        <w:t>Below is our p</w:t>
      </w:r>
      <w:r w:rsidRPr="31B27EEE" w:rsidR="0FD43400">
        <w:rPr>
          <w:i w:val="1"/>
          <w:iCs w:val="1"/>
        </w:rPr>
        <w:t xml:space="preserve">rogress towards </w:t>
      </w:r>
      <w:r w:rsidRPr="31B27EEE" w:rsidR="7FEB30B1">
        <w:rPr>
          <w:i w:val="1"/>
          <w:iCs w:val="1"/>
        </w:rPr>
        <w:t xml:space="preserve">our </w:t>
      </w:r>
      <w:r w:rsidRPr="31B27EEE" w:rsidR="0FD43400">
        <w:rPr>
          <w:i w:val="1"/>
          <w:iCs w:val="1"/>
        </w:rPr>
        <w:t>five-</w:t>
      </w:r>
      <w:r w:rsidRPr="31B27EEE" w:rsidR="73F7135E">
        <w:rPr>
          <w:i w:val="1"/>
          <w:iCs w:val="1"/>
        </w:rPr>
        <w:t>year targets</w:t>
      </w:r>
      <w:r w:rsidRPr="31B27EEE" w:rsidR="300AB542">
        <w:rPr>
          <w:i w:val="1"/>
          <w:iCs w:val="1"/>
        </w:rPr>
        <w:t xml:space="preserve"> with</w:t>
      </w:r>
      <w:r w:rsidRPr="31B27EEE" w:rsidR="0FD43400">
        <w:rPr>
          <w:i w:val="1"/>
          <w:iCs w:val="1"/>
        </w:rPr>
        <w:t xml:space="preserve"> an emphasis on the accumulation </w:t>
      </w:r>
      <w:r w:rsidRPr="31B27EEE" w:rsidR="300AB542">
        <w:rPr>
          <w:i w:val="1"/>
          <w:iCs w:val="1"/>
        </w:rPr>
        <w:t xml:space="preserve">and analysis </w:t>
      </w:r>
      <w:r w:rsidRPr="31B27EEE" w:rsidR="0FD43400">
        <w:rPr>
          <w:i w:val="1"/>
          <w:iCs w:val="1"/>
        </w:rPr>
        <w:t xml:space="preserve">of </w:t>
      </w:r>
      <w:r w:rsidRPr="31B27EEE" w:rsidR="300AB542">
        <w:rPr>
          <w:i w:val="1"/>
          <w:iCs w:val="1"/>
        </w:rPr>
        <w:t>evidence</w:t>
      </w:r>
      <w:r w:rsidRPr="31B27EEE" w:rsidR="0FD43400">
        <w:rPr>
          <w:i w:val="1"/>
          <w:iCs w:val="1"/>
        </w:rPr>
        <w:t xml:space="preserve"> </w:t>
      </w:r>
      <w:r w:rsidRPr="31B27EEE" w:rsidR="300AB542">
        <w:rPr>
          <w:i w:val="1"/>
          <w:iCs w:val="1"/>
        </w:rPr>
        <w:t xml:space="preserve">over the term of </w:t>
      </w:r>
      <w:r w:rsidRPr="31B27EEE" w:rsidR="7FEB30B1">
        <w:rPr>
          <w:i w:val="1"/>
          <w:iCs w:val="1"/>
        </w:rPr>
        <w:t>our</w:t>
      </w:r>
      <w:r w:rsidRPr="31B27EEE" w:rsidR="300AB542">
        <w:rPr>
          <w:i w:val="1"/>
          <w:iCs w:val="1"/>
        </w:rPr>
        <w:t xml:space="preserve"> plan.</w:t>
      </w:r>
      <w:r w:rsidRPr="31B27EEE" w:rsidR="1B25A717">
        <w:rPr>
          <w:noProof/>
        </w:rPr>
        <w:t xml:space="preserve"> </w:t>
      </w:r>
    </w:p>
    <w:p w:rsidR="00B2157A" w:rsidP="00997CD0" w:rsidRDefault="00B2157A" w14:paraId="7D461394" w14:textId="046A0DDB">
      <w:pPr>
        <w:pStyle w:val="PlainText"/>
        <w:rPr>
          <w:noProof/>
        </w:rPr>
      </w:pPr>
    </w:p>
    <w:p w:rsidRPr="00C0648C" w:rsidR="008A01DA" w:rsidP="00C0648C" w:rsidRDefault="008A01DA" w14:paraId="3BC59DD4" w14:textId="77777777">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179"/>
        <w:gridCol w:w="781"/>
        <w:gridCol w:w="957"/>
        <w:gridCol w:w="780"/>
        <w:gridCol w:w="780"/>
        <w:gridCol w:w="780"/>
        <w:gridCol w:w="781"/>
      </w:tblGrid>
      <w:tr w:rsidR="006D2F6B" w:rsidTr="31B27EEE" w14:paraId="11CF2626" w14:textId="77777777">
        <w:trPr>
          <w:jc w:val="center"/>
        </w:trPr>
        <w:tc>
          <w:tcPr>
            <w:tcW w:w="4297" w:type="dxa"/>
            <w:shd w:val="clear" w:color="auto" w:fill="auto"/>
            <w:tcMar/>
          </w:tcPr>
          <w:p w:rsidRPr="00D03B0C" w:rsidR="006D2F6B" w:rsidP="00D03B0C" w:rsidRDefault="006D2F6B" w14:paraId="2744B2CC" w14:textId="77777777">
            <w:pPr>
              <w:rPr>
                <w:b/>
              </w:rPr>
            </w:pPr>
            <w:r w:rsidRPr="00D03B0C">
              <w:rPr>
                <w:b/>
              </w:rPr>
              <w:t>Targets or Measures</w:t>
            </w:r>
          </w:p>
        </w:tc>
        <w:tc>
          <w:tcPr>
            <w:tcW w:w="790" w:type="dxa"/>
            <w:shd w:val="clear" w:color="auto" w:fill="auto"/>
            <w:tcMar/>
          </w:tcPr>
          <w:p w:rsidRPr="00D03B0C" w:rsidR="006D2F6B" w:rsidP="00D56F59" w:rsidRDefault="006D2F6B" w14:paraId="118BFB5A" w14:textId="77777777">
            <w:pPr>
              <w:jc w:val="center"/>
              <w:rPr>
                <w:b/>
              </w:rPr>
            </w:pPr>
            <w:r w:rsidRPr="00D03B0C">
              <w:rPr>
                <w:b/>
              </w:rPr>
              <w:t>Base</w:t>
            </w:r>
          </w:p>
        </w:tc>
        <w:tc>
          <w:tcPr>
            <w:tcW w:w="790" w:type="dxa"/>
            <w:shd w:val="clear" w:color="auto" w:fill="auto"/>
            <w:tcMar/>
          </w:tcPr>
          <w:p w:rsidRPr="00D03B0C" w:rsidR="006D2F6B" w:rsidP="00D56F59" w:rsidRDefault="006D2F6B" w14:paraId="42366ADC" w14:textId="77777777">
            <w:pPr>
              <w:jc w:val="center"/>
              <w:rPr>
                <w:b/>
              </w:rPr>
            </w:pPr>
            <w:r w:rsidRPr="00D03B0C">
              <w:rPr>
                <w:b/>
              </w:rPr>
              <w:t>Year 1</w:t>
            </w:r>
          </w:p>
        </w:tc>
        <w:tc>
          <w:tcPr>
            <w:tcW w:w="790" w:type="dxa"/>
            <w:shd w:val="clear" w:color="auto" w:fill="auto"/>
            <w:tcMar/>
          </w:tcPr>
          <w:p w:rsidRPr="00D03B0C" w:rsidR="006D2F6B" w:rsidP="5E8BF187" w:rsidRDefault="006D2F6B" w14:paraId="2796B576" w14:textId="34088AB7">
            <w:pPr>
              <w:jc w:val="center"/>
              <w:rPr>
                <w:b w:val="1"/>
                <w:bCs w:val="1"/>
              </w:rPr>
            </w:pPr>
            <w:r w:rsidRPr="5E8BF187" w:rsidR="006D2F6B">
              <w:rPr>
                <w:b w:val="1"/>
                <w:bCs w:val="1"/>
              </w:rPr>
              <w:t>Year 2</w:t>
            </w:r>
          </w:p>
          <w:p w:rsidRPr="00D03B0C" w:rsidR="006D2F6B" w:rsidP="5E8BF187" w:rsidRDefault="006D2F6B" w14:paraId="3CAE587B" w14:textId="1A507CAD">
            <w:pPr>
              <w:pStyle w:val="Normal"/>
              <w:jc w:val="center"/>
              <w:rPr>
                <w:b w:val="1"/>
                <w:bCs w:val="1"/>
              </w:rPr>
            </w:pPr>
            <w:r w:rsidRPr="5E8BF187" w:rsidR="5E8BF187">
              <w:rPr>
                <w:b w:val="1"/>
                <w:bCs w:val="1"/>
              </w:rPr>
              <w:t>2021</w:t>
            </w:r>
          </w:p>
        </w:tc>
        <w:tc>
          <w:tcPr>
            <w:tcW w:w="790" w:type="dxa"/>
            <w:shd w:val="clear" w:color="auto" w:fill="auto"/>
            <w:tcMar/>
          </w:tcPr>
          <w:p w:rsidRPr="00D03B0C" w:rsidR="006D2F6B" w:rsidP="31B27EEE" w:rsidRDefault="006D2F6B" w14:paraId="056F25D7" w14:textId="2496A3B9">
            <w:pPr>
              <w:jc w:val="center"/>
              <w:rPr>
                <w:b w:val="1"/>
                <w:bCs w:val="1"/>
              </w:rPr>
            </w:pPr>
            <w:r w:rsidRPr="31B27EEE" w:rsidR="2C5CDBA1">
              <w:rPr>
                <w:b w:val="1"/>
                <w:bCs w:val="1"/>
              </w:rPr>
              <w:t>Year 3</w:t>
            </w:r>
          </w:p>
          <w:p w:rsidRPr="00D03B0C" w:rsidR="006D2F6B" w:rsidP="31B27EEE" w:rsidRDefault="006D2F6B" w14:paraId="0785495E" w14:textId="3D309FCD">
            <w:pPr>
              <w:pStyle w:val="Normal"/>
              <w:jc w:val="center"/>
              <w:rPr>
                <w:b w:val="1"/>
                <w:bCs w:val="1"/>
              </w:rPr>
            </w:pPr>
            <w:r w:rsidRPr="31B27EEE" w:rsidR="31B27EEE">
              <w:rPr>
                <w:b w:val="1"/>
                <w:bCs w:val="1"/>
              </w:rPr>
              <w:t>2022</w:t>
            </w:r>
          </w:p>
        </w:tc>
        <w:tc>
          <w:tcPr>
            <w:tcW w:w="790" w:type="dxa"/>
            <w:shd w:val="clear" w:color="auto" w:fill="auto"/>
            <w:tcMar/>
          </w:tcPr>
          <w:p w:rsidRPr="00D03B0C" w:rsidR="006D2F6B" w:rsidP="31B27EEE" w:rsidRDefault="006D2F6B" w14:paraId="731B7291" w14:textId="1C251610">
            <w:pPr>
              <w:jc w:val="center"/>
              <w:rPr>
                <w:b w:val="1"/>
                <w:bCs w:val="1"/>
              </w:rPr>
            </w:pPr>
            <w:r w:rsidRPr="31B27EEE" w:rsidR="2C5CDBA1">
              <w:rPr>
                <w:b w:val="1"/>
                <w:bCs w:val="1"/>
              </w:rPr>
              <w:t>Year 4</w:t>
            </w:r>
          </w:p>
          <w:p w:rsidRPr="00D03B0C" w:rsidR="006D2F6B" w:rsidP="31B27EEE" w:rsidRDefault="006D2F6B" w14:paraId="1F5C5718" w14:textId="0AB92A98">
            <w:pPr>
              <w:pStyle w:val="Normal"/>
              <w:jc w:val="center"/>
              <w:rPr>
                <w:b w:val="1"/>
                <w:bCs w:val="1"/>
              </w:rPr>
            </w:pPr>
            <w:r w:rsidRPr="31B27EEE" w:rsidR="31B27EEE">
              <w:rPr>
                <w:b w:val="1"/>
                <w:bCs w:val="1"/>
              </w:rPr>
              <w:t>2023</w:t>
            </w:r>
          </w:p>
        </w:tc>
        <w:tc>
          <w:tcPr>
            <w:tcW w:w="791" w:type="dxa"/>
            <w:shd w:val="clear" w:color="auto" w:fill="auto"/>
            <w:tcMar/>
          </w:tcPr>
          <w:p w:rsidRPr="00D03B0C" w:rsidR="006D2F6B" w:rsidP="31B27EEE" w:rsidRDefault="006D2F6B" w14:paraId="1566198C" w14:textId="6D68479E">
            <w:pPr>
              <w:jc w:val="center"/>
              <w:rPr>
                <w:b w:val="1"/>
                <w:bCs w:val="1"/>
              </w:rPr>
            </w:pPr>
            <w:r w:rsidRPr="31B27EEE" w:rsidR="2C5CDBA1">
              <w:rPr>
                <w:b w:val="1"/>
                <w:bCs w:val="1"/>
              </w:rPr>
              <w:t>Year 5</w:t>
            </w:r>
          </w:p>
          <w:p w:rsidRPr="00D03B0C" w:rsidR="006D2F6B" w:rsidP="31B27EEE" w:rsidRDefault="006D2F6B" w14:paraId="3485F32F" w14:textId="6AA912F4">
            <w:pPr>
              <w:pStyle w:val="Normal"/>
              <w:jc w:val="center"/>
              <w:rPr>
                <w:b w:val="1"/>
                <w:bCs w:val="1"/>
              </w:rPr>
            </w:pPr>
            <w:r w:rsidRPr="31B27EEE" w:rsidR="31B27EEE">
              <w:rPr>
                <w:b w:val="1"/>
                <w:bCs w:val="1"/>
              </w:rPr>
              <w:t>2024</w:t>
            </w:r>
          </w:p>
        </w:tc>
      </w:tr>
      <w:tr w:rsidR="006D2F6B" w:rsidTr="31B27EEE" w14:paraId="3B6F6B79" w14:textId="77777777">
        <w:trPr>
          <w:jc w:val="center"/>
        </w:trPr>
        <w:tc>
          <w:tcPr>
            <w:tcW w:w="4297" w:type="dxa"/>
            <w:shd w:val="clear" w:color="auto" w:fill="auto"/>
            <w:tcMar/>
          </w:tcPr>
          <w:p w:rsidRPr="00D03B0C" w:rsidR="006D2F6B" w:rsidP="00086002" w:rsidRDefault="00110116" w14:paraId="52F72BA3" w14:textId="0DBDB423">
            <w:pPr>
              <w:pStyle w:val="ListBullet"/>
              <w:numPr>
                <w:ilvl w:val="0"/>
                <w:numId w:val="0"/>
              </w:numPr>
            </w:pPr>
            <w:r>
              <w:t>An increase in the percentage of year 5 students in the top two bands of writing to 19% or more.</w:t>
            </w:r>
          </w:p>
        </w:tc>
        <w:tc>
          <w:tcPr>
            <w:tcW w:w="790" w:type="dxa"/>
            <w:shd w:val="clear" w:color="auto" w:fill="auto"/>
            <w:tcMar/>
          </w:tcPr>
          <w:p w:rsidRPr="00D03B0C" w:rsidR="006D2F6B" w:rsidP="00D03B0C" w:rsidRDefault="00086002" w14:paraId="6F51F004" w14:textId="43AB9732">
            <w:r>
              <w:t>14%</w:t>
            </w:r>
          </w:p>
        </w:tc>
        <w:tc>
          <w:tcPr>
            <w:tcW w:w="790" w:type="dxa"/>
            <w:shd w:val="clear" w:color="auto" w:fill="auto"/>
            <w:tcMar/>
          </w:tcPr>
          <w:p w:rsidRPr="00D03B0C" w:rsidR="006D2F6B" w:rsidP="00D03B0C" w:rsidRDefault="00086002" w14:paraId="3571C78F" w14:textId="423D9D86">
            <w:proofErr w:type="gramStart"/>
            <w:r>
              <w:t>NAPLAN  cancelled</w:t>
            </w:r>
            <w:proofErr w:type="gramEnd"/>
            <w:r>
              <w:t xml:space="preserve"> due to COVID</w:t>
            </w:r>
          </w:p>
        </w:tc>
        <w:tc>
          <w:tcPr>
            <w:tcW w:w="790" w:type="dxa"/>
            <w:shd w:val="clear" w:color="auto" w:fill="auto"/>
            <w:tcMar/>
          </w:tcPr>
          <w:p w:rsidRPr="00D03B0C" w:rsidR="006D2F6B" w:rsidP="00D03B0C" w:rsidRDefault="006D2F6B" w14:paraId="69018766" w14:textId="49251D8E">
            <w:r w:rsidR="71EFEECA">
              <w:rPr/>
              <w:t>26.3%</w:t>
            </w:r>
          </w:p>
        </w:tc>
        <w:tc>
          <w:tcPr>
            <w:tcW w:w="790" w:type="dxa"/>
            <w:shd w:val="clear" w:color="auto" w:fill="auto"/>
            <w:tcMar/>
          </w:tcPr>
          <w:p w:rsidRPr="00D03B0C" w:rsidR="006D2F6B" w:rsidP="00D03B0C" w:rsidRDefault="006D2F6B" w14:paraId="7AB434B5" w14:textId="77777777"/>
        </w:tc>
        <w:tc>
          <w:tcPr>
            <w:tcW w:w="790" w:type="dxa"/>
            <w:shd w:val="clear" w:color="auto" w:fill="auto"/>
            <w:tcMar/>
          </w:tcPr>
          <w:p w:rsidRPr="00D03B0C" w:rsidR="006D2F6B" w:rsidP="00D03B0C" w:rsidRDefault="006D2F6B" w14:paraId="6E571018" w14:textId="77777777"/>
        </w:tc>
        <w:tc>
          <w:tcPr>
            <w:tcW w:w="791" w:type="dxa"/>
            <w:shd w:val="clear" w:color="auto" w:fill="auto"/>
            <w:tcMar/>
          </w:tcPr>
          <w:p w:rsidRPr="00D03B0C" w:rsidR="006D2F6B" w:rsidP="00D03B0C" w:rsidRDefault="006D2F6B" w14:paraId="1D114ACD" w14:textId="77777777"/>
        </w:tc>
      </w:tr>
      <w:tr w:rsidR="006D2F6B" w:rsidTr="31B27EEE" w14:paraId="3E447EBE" w14:textId="77777777">
        <w:trPr>
          <w:jc w:val="center"/>
        </w:trPr>
        <w:tc>
          <w:tcPr>
            <w:tcW w:w="4297" w:type="dxa"/>
            <w:shd w:val="clear" w:color="auto" w:fill="auto"/>
            <w:tcMar/>
          </w:tcPr>
          <w:p w:rsidRPr="00837137" w:rsidR="00086002" w:rsidP="00086002" w:rsidRDefault="00086002" w14:paraId="010DECB1" w14:textId="77777777">
            <w:pPr>
              <w:pStyle w:val="ListBullet"/>
              <w:numPr>
                <w:ilvl w:val="0"/>
                <w:numId w:val="0"/>
              </w:numPr>
            </w:pPr>
            <w:r>
              <w:t xml:space="preserve">A decrease in the percentage of year 5 students in the bottom two bands of writing to 13% or less. </w:t>
            </w:r>
          </w:p>
          <w:p w:rsidRPr="00D03B0C" w:rsidR="006D2F6B" w:rsidP="006D2F6B" w:rsidRDefault="006D2F6B" w14:paraId="3C7AC1FF" w14:textId="45F4BBCA"/>
        </w:tc>
        <w:tc>
          <w:tcPr>
            <w:tcW w:w="790" w:type="dxa"/>
            <w:shd w:val="clear" w:color="auto" w:fill="auto"/>
            <w:tcMar/>
          </w:tcPr>
          <w:p w:rsidRPr="00D03B0C" w:rsidR="006D2F6B" w:rsidP="00D03B0C" w:rsidRDefault="00086002" w14:paraId="4C712096" w14:textId="07BA1620">
            <w:r>
              <w:t>18%</w:t>
            </w:r>
          </w:p>
        </w:tc>
        <w:tc>
          <w:tcPr>
            <w:tcW w:w="790" w:type="dxa"/>
            <w:shd w:val="clear" w:color="auto" w:fill="auto"/>
            <w:tcMar/>
          </w:tcPr>
          <w:p w:rsidRPr="00D03B0C" w:rsidR="006D2F6B" w:rsidP="00D03B0C" w:rsidRDefault="00086002" w14:paraId="2AFC093D" w14:textId="553EF511">
            <w:proofErr w:type="gramStart"/>
            <w:r>
              <w:t>NAPLAN  cancelled</w:t>
            </w:r>
            <w:proofErr w:type="gramEnd"/>
            <w:r>
              <w:t xml:space="preserve"> due to COVID</w:t>
            </w:r>
          </w:p>
        </w:tc>
        <w:tc>
          <w:tcPr>
            <w:tcW w:w="790" w:type="dxa"/>
            <w:shd w:val="clear" w:color="auto" w:fill="auto"/>
            <w:tcMar/>
          </w:tcPr>
          <w:p w:rsidRPr="00D03B0C" w:rsidR="006D2F6B" w:rsidP="00D03B0C" w:rsidRDefault="006D2F6B" w14:paraId="21FB2E79" w14:textId="0C9938C0">
            <w:r w:rsidR="71EFEECA">
              <w:rPr/>
              <w:t>8.8%</w:t>
            </w:r>
          </w:p>
        </w:tc>
        <w:tc>
          <w:tcPr>
            <w:tcW w:w="790" w:type="dxa"/>
            <w:shd w:val="clear" w:color="auto" w:fill="auto"/>
            <w:tcMar/>
          </w:tcPr>
          <w:p w:rsidRPr="00D03B0C" w:rsidR="006D2F6B" w:rsidP="00D03B0C" w:rsidRDefault="006D2F6B" w14:paraId="3C328C1C" w14:textId="77777777"/>
        </w:tc>
        <w:tc>
          <w:tcPr>
            <w:tcW w:w="790" w:type="dxa"/>
            <w:shd w:val="clear" w:color="auto" w:fill="auto"/>
            <w:tcMar/>
          </w:tcPr>
          <w:p w:rsidRPr="00D03B0C" w:rsidR="006D2F6B" w:rsidP="00D03B0C" w:rsidRDefault="006D2F6B" w14:paraId="7A35D1D4" w14:textId="77777777"/>
        </w:tc>
        <w:tc>
          <w:tcPr>
            <w:tcW w:w="791" w:type="dxa"/>
            <w:shd w:val="clear" w:color="auto" w:fill="auto"/>
            <w:tcMar/>
          </w:tcPr>
          <w:p w:rsidRPr="00D03B0C" w:rsidR="006D2F6B" w:rsidP="00D03B0C" w:rsidRDefault="006D2F6B" w14:paraId="7DBFB30A" w14:textId="77777777"/>
        </w:tc>
      </w:tr>
    </w:tbl>
    <w:p w:rsidRPr="008A01DA" w:rsidR="008A01DA" w:rsidP="00C0648C" w:rsidRDefault="008A01DA" w14:paraId="64BF1F74" w14:textId="77777777">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3742"/>
        <w:gridCol w:w="1166"/>
        <w:gridCol w:w="1166"/>
        <w:gridCol w:w="741"/>
        <w:gridCol w:w="741"/>
        <w:gridCol w:w="741"/>
        <w:gridCol w:w="741"/>
      </w:tblGrid>
      <w:tr w:rsidR="006D2F6B" w:rsidTr="1C6BAF19" w14:paraId="4EF7DD9F" w14:textId="77777777">
        <w:trPr>
          <w:jc w:val="center"/>
        </w:trPr>
        <w:tc>
          <w:tcPr>
            <w:tcW w:w="4297" w:type="dxa"/>
            <w:shd w:val="clear" w:color="auto" w:fill="auto"/>
            <w:tcMar/>
          </w:tcPr>
          <w:p w:rsidRPr="006D2F6B" w:rsidR="006D2F6B" w:rsidP="00D03B0C" w:rsidRDefault="006D2F6B" w14:paraId="13269C94" w14:textId="77777777">
            <w:pPr>
              <w:rPr>
                <w:b/>
              </w:rPr>
            </w:pPr>
            <w:r w:rsidRPr="006D2F6B">
              <w:rPr>
                <w:b/>
              </w:rPr>
              <w:t>Targets or Measures</w:t>
            </w:r>
          </w:p>
        </w:tc>
        <w:tc>
          <w:tcPr>
            <w:tcW w:w="790" w:type="dxa"/>
            <w:shd w:val="clear" w:color="auto" w:fill="auto"/>
            <w:tcMar/>
          </w:tcPr>
          <w:p w:rsidRPr="006D2F6B" w:rsidR="006D2F6B" w:rsidP="00D56F59" w:rsidRDefault="006D2F6B" w14:paraId="4B51A1C5" w14:textId="77777777">
            <w:pPr>
              <w:jc w:val="center"/>
              <w:rPr>
                <w:b/>
              </w:rPr>
            </w:pPr>
            <w:r w:rsidRPr="006D2F6B">
              <w:rPr>
                <w:b/>
              </w:rPr>
              <w:t>Base</w:t>
            </w:r>
          </w:p>
        </w:tc>
        <w:tc>
          <w:tcPr>
            <w:tcW w:w="790" w:type="dxa"/>
            <w:shd w:val="clear" w:color="auto" w:fill="auto"/>
            <w:tcMar/>
          </w:tcPr>
          <w:p w:rsidRPr="006D2F6B" w:rsidR="006D2F6B" w:rsidP="00D56F59" w:rsidRDefault="006D2F6B" w14:paraId="15B7F1C3" w14:textId="77777777">
            <w:pPr>
              <w:jc w:val="center"/>
              <w:rPr>
                <w:b/>
              </w:rPr>
            </w:pPr>
            <w:r w:rsidRPr="006D2F6B">
              <w:rPr>
                <w:b/>
              </w:rPr>
              <w:t>Year 1</w:t>
            </w:r>
          </w:p>
        </w:tc>
        <w:tc>
          <w:tcPr>
            <w:tcW w:w="790" w:type="dxa"/>
            <w:shd w:val="clear" w:color="auto" w:fill="auto"/>
            <w:tcMar/>
          </w:tcPr>
          <w:p w:rsidRPr="006D2F6B" w:rsidR="006D2F6B" w:rsidP="5E8BF187" w:rsidRDefault="006D2F6B" w14:paraId="3BB5E533" w14:textId="6BDA5FF5">
            <w:pPr>
              <w:jc w:val="center"/>
              <w:rPr>
                <w:b w:val="1"/>
                <w:bCs w:val="1"/>
              </w:rPr>
            </w:pPr>
            <w:r w:rsidRPr="5E8BF187" w:rsidR="006D2F6B">
              <w:rPr>
                <w:b w:val="1"/>
                <w:bCs w:val="1"/>
              </w:rPr>
              <w:t>Year 2</w:t>
            </w:r>
          </w:p>
          <w:p w:rsidRPr="006D2F6B" w:rsidR="006D2F6B" w:rsidP="5E8BF187" w:rsidRDefault="006D2F6B" w14:paraId="4CC28E98" w14:textId="44A8707B">
            <w:pPr>
              <w:pStyle w:val="Normal"/>
              <w:jc w:val="center"/>
              <w:rPr>
                <w:b w:val="1"/>
                <w:bCs w:val="1"/>
              </w:rPr>
            </w:pPr>
            <w:r w:rsidRPr="5E8BF187" w:rsidR="5E8BF187">
              <w:rPr>
                <w:b w:val="1"/>
                <w:bCs w:val="1"/>
              </w:rPr>
              <w:t>2021</w:t>
            </w:r>
          </w:p>
        </w:tc>
        <w:tc>
          <w:tcPr>
            <w:tcW w:w="790" w:type="dxa"/>
            <w:shd w:val="clear" w:color="auto" w:fill="auto"/>
            <w:tcMar/>
          </w:tcPr>
          <w:p w:rsidRPr="006D2F6B" w:rsidR="006D2F6B" w:rsidP="31B27EEE" w:rsidRDefault="006D2F6B" w14:paraId="56732F93" w14:textId="30CCD356">
            <w:pPr>
              <w:jc w:val="center"/>
              <w:rPr>
                <w:b w:val="1"/>
                <w:bCs w:val="1"/>
              </w:rPr>
            </w:pPr>
            <w:r w:rsidRPr="31B27EEE" w:rsidR="2C5CDBA1">
              <w:rPr>
                <w:b w:val="1"/>
                <w:bCs w:val="1"/>
              </w:rPr>
              <w:t>Year 3</w:t>
            </w:r>
          </w:p>
          <w:p w:rsidRPr="006D2F6B" w:rsidR="006D2F6B" w:rsidP="31B27EEE" w:rsidRDefault="006D2F6B" w14:paraId="5EE5455E" w14:textId="1CFF865B">
            <w:pPr>
              <w:pStyle w:val="Normal"/>
              <w:jc w:val="center"/>
              <w:rPr>
                <w:b w:val="1"/>
                <w:bCs w:val="1"/>
              </w:rPr>
            </w:pPr>
            <w:r w:rsidRPr="31B27EEE" w:rsidR="31B27EEE">
              <w:rPr>
                <w:b w:val="1"/>
                <w:bCs w:val="1"/>
              </w:rPr>
              <w:t>2022</w:t>
            </w:r>
          </w:p>
        </w:tc>
        <w:tc>
          <w:tcPr>
            <w:tcW w:w="790" w:type="dxa"/>
            <w:shd w:val="clear" w:color="auto" w:fill="auto"/>
            <w:tcMar/>
          </w:tcPr>
          <w:p w:rsidRPr="006D2F6B" w:rsidR="006D2F6B" w:rsidP="31B27EEE" w:rsidRDefault="006D2F6B" w14:paraId="4567AE74" w14:textId="34354781">
            <w:pPr>
              <w:jc w:val="center"/>
              <w:rPr>
                <w:b w:val="1"/>
                <w:bCs w:val="1"/>
              </w:rPr>
            </w:pPr>
            <w:r w:rsidRPr="31B27EEE" w:rsidR="2C5CDBA1">
              <w:rPr>
                <w:b w:val="1"/>
                <w:bCs w:val="1"/>
              </w:rPr>
              <w:t>Year 4</w:t>
            </w:r>
          </w:p>
          <w:p w:rsidRPr="006D2F6B" w:rsidR="006D2F6B" w:rsidP="31B27EEE" w:rsidRDefault="006D2F6B" w14:paraId="1CA3136C" w14:textId="22A725E5">
            <w:pPr>
              <w:pStyle w:val="Normal"/>
              <w:jc w:val="center"/>
              <w:rPr>
                <w:b w:val="1"/>
                <w:bCs w:val="1"/>
              </w:rPr>
            </w:pPr>
            <w:r w:rsidRPr="31B27EEE" w:rsidR="31B27EEE">
              <w:rPr>
                <w:b w:val="1"/>
                <w:bCs w:val="1"/>
              </w:rPr>
              <w:t>2023</w:t>
            </w:r>
          </w:p>
        </w:tc>
        <w:tc>
          <w:tcPr>
            <w:tcW w:w="791" w:type="dxa"/>
            <w:shd w:val="clear" w:color="auto" w:fill="auto"/>
            <w:tcMar/>
          </w:tcPr>
          <w:p w:rsidRPr="006D2F6B" w:rsidR="006D2F6B" w:rsidP="31B27EEE" w:rsidRDefault="006D2F6B" w14:paraId="6C217BC7" w14:textId="67A8030D">
            <w:pPr>
              <w:jc w:val="center"/>
              <w:rPr>
                <w:b w:val="1"/>
                <w:bCs w:val="1"/>
              </w:rPr>
            </w:pPr>
            <w:r w:rsidRPr="31B27EEE" w:rsidR="2C5CDBA1">
              <w:rPr>
                <w:b w:val="1"/>
                <w:bCs w:val="1"/>
              </w:rPr>
              <w:t>Year 5</w:t>
            </w:r>
          </w:p>
          <w:p w:rsidRPr="006D2F6B" w:rsidR="006D2F6B" w:rsidP="31B27EEE" w:rsidRDefault="006D2F6B" w14:paraId="372CDBC5" w14:textId="153F36DF">
            <w:pPr>
              <w:pStyle w:val="Normal"/>
              <w:jc w:val="center"/>
              <w:rPr>
                <w:b w:val="1"/>
                <w:bCs w:val="1"/>
              </w:rPr>
            </w:pPr>
            <w:r w:rsidRPr="31B27EEE" w:rsidR="31B27EEE">
              <w:rPr>
                <w:b w:val="1"/>
                <w:bCs w:val="1"/>
              </w:rPr>
              <w:t>2024</w:t>
            </w:r>
          </w:p>
        </w:tc>
      </w:tr>
      <w:tr w:rsidR="006D2F6B" w:rsidTr="1C6BAF19" w14:paraId="71FE611D" w14:textId="77777777">
        <w:trPr>
          <w:jc w:val="center"/>
        </w:trPr>
        <w:tc>
          <w:tcPr>
            <w:tcW w:w="4297" w:type="dxa"/>
            <w:shd w:val="clear" w:color="auto" w:fill="auto"/>
            <w:tcMar/>
          </w:tcPr>
          <w:p w:rsidRPr="006D2F6B" w:rsidR="006D2F6B" w:rsidP="000179E2" w:rsidRDefault="00086002" w14:paraId="15FDFA6D" w14:textId="58C530CB">
            <w:pPr>
              <w:pStyle w:val="ListBullet"/>
              <w:numPr>
                <w:ilvl w:val="0"/>
                <w:numId w:val="0"/>
              </w:numPr>
            </w:pPr>
            <w:r>
              <w:t>An</w:t>
            </w:r>
            <w:r w:rsidRPr="0069166A">
              <w:t xml:space="preserve"> improve</w:t>
            </w:r>
            <w:r>
              <w:t>ment in</w:t>
            </w:r>
            <w:r w:rsidRPr="0069166A">
              <w:t xml:space="preserve"> the percentage of students who strongly agree and agree that ‘teachers give useful feedback’ to 8</w:t>
            </w:r>
            <w:r>
              <w:t>0</w:t>
            </w:r>
            <w:r w:rsidRPr="0069166A">
              <w:t>%</w:t>
            </w:r>
            <w:r>
              <w:t>.</w:t>
            </w:r>
          </w:p>
        </w:tc>
        <w:tc>
          <w:tcPr>
            <w:tcW w:w="790" w:type="dxa"/>
            <w:shd w:val="clear" w:color="auto" w:fill="auto"/>
            <w:tcMar/>
          </w:tcPr>
          <w:p w:rsidRPr="006D2F6B" w:rsidR="006D2F6B" w:rsidP="00D03B0C" w:rsidRDefault="00086002" w14:paraId="4B7CDD05" w14:textId="48C31090">
            <w:r>
              <w:t>76.33%</w:t>
            </w:r>
          </w:p>
        </w:tc>
        <w:tc>
          <w:tcPr>
            <w:tcW w:w="790" w:type="dxa"/>
            <w:shd w:val="clear" w:color="auto" w:fill="auto"/>
            <w:tcMar/>
          </w:tcPr>
          <w:p w:rsidRPr="006D2F6B" w:rsidR="006D2F6B" w:rsidP="00D03B0C" w:rsidRDefault="000179E2" w14:paraId="1037F637" w14:textId="21B93223">
            <w:r>
              <w:t>77.8%</w:t>
            </w:r>
          </w:p>
        </w:tc>
        <w:tc>
          <w:tcPr>
            <w:tcW w:w="790" w:type="dxa"/>
            <w:shd w:val="clear" w:color="auto" w:fill="auto"/>
            <w:tcMar/>
          </w:tcPr>
          <w:p w:rsidRPr="006D2F6B" w:rsidR="006D2F6B" w:rsidP="00D03B0C" w:rsidRDefault="006D2F6B" w14:paraId="4DED56F3" w14:textId="3D901939">
            <w:r w:rsidR="31B27EEE">
              <w:rPr/>
              <w:t>68%</w:t>
            </w:r>
          </w:p>
        </w:tc>
        <w:tc>
          <w:tcPr>
            <w:tcW w:w="790" w:type="dxa"/>
            <w:shd w:val="clear" w:color="auto" w:fill="auto"/>
            <w:tcMar/>
          </w:tcPr>
          <w:p w:rsidRPr="006D2F6B" w:rsidR="006D2F6B" w:rsidP="00D03B0C" w:rsidRDefault="006D2F6B" w14:paraId="252D803F" w14:textId="77777777"/>
        </w:tc>
        <w:tc>
          <w:tcPr>
            <w:tcW w:w="790" w:type="dxa"/>
            <w:shd w:val="clear" w:color="auto" w:fill="auto"/>
            <w:tcMar/>
          </w:tcPr>
          <w:p w:rsidRPr="006D2F6B" w:rsidR="006D2F6B" w:rsidP="00D03B0C" w:rsidRDefault="006D2F6B" w14:paraId="5D9DADCD" w14:textId="77777777"/>
        </w:tc>
        <w:tc>
          <w:tcPr>
            <w:tcW w:w="791" w:type="dxa"/>
            <w:shd w:val="clear" w:color="auto" w:fill="auto"/>
            <w:tcMar/>
          </w:tcPr>
          <w:p w:rsidRPr="006D2F6B" w:rsidR="006D2F6B" w:rsidP="00D03B0C" w:rsidRDefault="006D2F6B" w14:paraId="0521852A" w14:textId="77777777"/>
        </w:tc>
      </w:tr>
      <w:tr w:rsidR="006D2F6B" w:rsidTr="1C6BAF19" w14:paraId="38F74B11" w14:textId="77777777">
        <w:trPr>
          <w:jc w:val="center"/>
        </w:trPr>
        <w:tc>
          <w:tcPr>
            <w:tcW w:w="4297" w:type="dxa"/>
            <w:shd w:val="clear" w:color="auto" w:fill="auto"/>
            <w:tcMar/>
          </w:tcPr>
          <w:p w:rsidRPr="00837137" w:rsidR="00B26872" w:rsidP="00B26872" w:rsidRDefault="00B26872" w14:paraId="53A54DEA" w14:textId="1D30069C">
            <w:pPr>
              <w:pStyle w:val="ListBullet"/>
              <w:numPr>
                <w:ilvl w:val="0"/>
                <w:numId w:val="0"/>
              </w:numPr>
            </w:pPr>
            <w:r>
              <w:t>An</w:t>
            </w:r>
            <w:r w:rsidRPr="0069166A">
              <w:t xml:space="preserve"> improve</w:t>
            </w:r>
            <w:r>
              <w:t>ment in</w:t>
            </w:r>
            <w:r w:rsidRPr="0069166A">
              <w:t xml:space="preserve"> </w:t>
            </w:r>
            <w:r>
              <w:t>results from a teacher survey around the use of conferencing to improve writing results.</w:t>
            </w:r>
          </w:p>
          <w:p w:rsidRPr="006D2F6B" w:rsidR="006D2F6B" w:rsidP="00704E3D" w:rsidRDefault="006D2F6B" w14:paraId="46E092F7" w14:textId="6996A783"/>
        </w:tc>
        <w:tc>
          <w:tcPr>
            <w:tcW w:w="790" w:type="dxa"/>
            <w:shd w:val="clear" w:color="auto" w:fill="auto"/>
            <w:tcMar/>
          </w:tcPr>
          <w:p w:rsidRPr="006D2F6B" w:rsidR="006D2F6B" w:rsidP="00D03B0C" w:rsidRDefault="00B26872" w14:paraId="3072EA45" w14:textId="5B5BD77D">
            <w:r>
              <w:t>Not determined due to COVID</w:t>
            </w:r>
          </w:p>
        </w:tc>
        <w:tc>
          <w:tcPr>
            <w:tcW w:w="790" w:type="dxa"/>
            <w:shd w:val="clear" w:color="auto" w:fill="auto"/>
            <w:tcMar/>
          </w:tcPr>
          <w:p w:rsidRPr="006D2F6B" w:rsidR="006D2F6B" w:rsidP="00D03B0C" w:rsidRDefault="00821D7F" w14:paraId="4392190E" w14:textId="6909BCE7">
            <w:r>
              <w:t>Not determined due to COVID</w:t>
            </w:r>
          </w:p>
        </w:tc>
        <w:tc>
          <w:tcPr>
            <w:tcW w:w="790" w:type="dxa"/>
            <w:shd w:val="clear" w:color="auto" w:fill="auto"/>
            <w:tcMar/>
          </w:tcPr>
          <w:p w:rsidRPr="006D2F6B" w:rsidR="006D2F6B" w:rsidP="00D03B0C" w:rsidRDefault="006D2F6B" w14:paraId="56D80C92" w14:textId="53F537FE">
            <w:r w:rsidR="1C6BAF19">
              <w:rPr/>
              <w:t>Not Determined</w:t>
            </w:r>
          </w:p>
        </w:tc>
        <w:tc>
          <w:tcPr>
            <w:tcW w:w="790" w:type="dxa"/>
            <w:shd w:val="clear" w:color="auto" w:fill="auto"/>
            <w:tcMar/>
          </w:tcPr>
          <w:p w:rsidRPr="006D2F6B" w:rsidR="006D2F6B" w:rsidP="00D03B0C" w:rsidRDefault="006D2F6B" w14:paraId="396718C1" w14:textId="77777777"/>
        </w:tc>
        <w:tc>
          <w:tcPr>
            <w:tcW w:w="790" w:type="dxa"/>
            <w:shd w:val="clear" w:color="auto" w:fill="auto"/>
            <w:tcMar/>
          </w:tcPr>
          <w:p w:rsidRPr="006D2F6B" w:rsidR="006D2F6B" w:rsidP="00D03B0C" w:rsidRDefault="006D2F6B" w14:paraId="432D642D" w14:textId="77777777"/>
        </w:tc>
        <w:tc>
          <w:tcPr>
            <w:tcW w:w="791" w:type="dxa"/>
            <w:shd w:val="clear" w:color="auto" w:fill="auto"/>
            <w:tcMar/>
          </w:tcPr>
          <w:p w:rsidRPr="006D2F6B" w:rsidR="006D2F6B" w:rsidP="00D03B0C" w:rsidRDefault="006D2F6B" w14:paraId="3F68F7CD" w14:textId="77777777"/>
        </w:tc>
      </w:tr>
    </w:tbl>
    <w:p w:rsidRPr="00E061B8" w:rsidR="003C69DC" w:rsidP="005C7432" w:rsidRDefault="00997CD0" w14:paraId="139DE5A0" w14:textId="77777777">
      <w:pPr>
        <w:pStyle w:val="Heading3"/>
      </w:pPr>
      <w:r w:rsidR="00997CD0">
        <w:rPr/>
        <w:t xml:space="preserve">What </w:t>
      </w:r>
      <w:r w:rsidR="006D2F6B">
        <w:rPr/>
        <w:t>this</w:t>
      </w:r>
      <w:r w:rsidR="00997CD0">
        <w:rPr/>
        <w:t xml:space="preserve"> evidence tells us</w:t>
      </w:r>
    </w:p>
    <w:p w:rsidR="71EFEECA" w:rsidRDefault="71EFEECA" w14:paraId="72729C6A" w14:textId="7C747041"/>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rsidTr="3765761F" w14:paraId="22251EEF" w14:textId="77777777">
        <w:trPr>
          <w:trHeight w:val="401"/>
          <w:jc w:val="center"/>
        </w:trPr>
        <w:tc>
          <w:tcPr>
            <w:tcW w:w="9027" w:type="dxa"/>
            <w:shd w:val="clear" w:color="auto" w:fill="auto"/>
            <w:tcMar/>
          </w:tcPr>
          <w:p w:rsidR="001419C3" w:rsidP="31B27EEE" w:rsidRDefault="002F09CD" w14:paraId="2B13519A" w14:textId="27A87771">
            <w:pPr>
              <w:pStyle w:val="PlainText"/>
              <w:numPr>
                <w:ilvl w:val="0"/>
                <w:numId w:val="23"/>
              </w:numPr>
              <w:ind/>
              <w:rPr>
                <w:rFonts w:ascii="Calibri" w:hAnsi="Calibri" w:eastAsia="Calibri" w:cs="Calibri" w:asciiTheme="minorAscii" w:hAnsiTheme="minorAscii" w:eastAsiaTheme="minorAscii" w:cstheme="minorAscii"/>
                <w:sz w:val="22"/>
                <w:szCs w:val="22"/>
              </w:rPr>
            </w:pPr>
            <w:r w:rsidRPr="3765761F" w:rsidR="31B27EEE">
              <w:rPr>
                <w:noProof w:val="0"/>
                <w:lang w:val="en-AU"/>
              </w:rPr>
              <w:t>This year has highlighted the need for teachers to have and use multiple sources of evidence to monitor student progress and achievement. It also highlighted the need to have less reliance on using targets in band levels over time, but rather to look at growth over time across cohorts.</w:t>
            </w:r>
          </w:p>
          <w:p w:rsidR="001419C3" w:rsidP="66B31E4E" w:rsidRDefault="002F09CD" w14:paraId="396B2008" w14:textId="7CCEB1A7">
            <w:pPr>
              <w:pStyle w:val="PlainText"/>
              <w:numPr>
                <w:ilvl w:val="0"/>
                <w:numId w:val="23"/>
              </w:numPr>
              <w:ind/>
              <w:rPr>
                <w:rFonts w:ascii="Calibri" w:hAnsi="Calibri" w:eastAsia="Calibri" w:cs="Calibri" w:asciiTheme="minorAscii" w:hAnsiTheme="minorAscii" w:eastAsiaTheme="minorAscii" w:cstheme="minorAscii"/>
                <w:sz w:val="22"/>
                <w:szCs w:val="22"/>
              </w:rPr>
            </w:pPr>
            <w:r w:rsidR="31B27EEE">
              <w:rPr/>
              <w:t xml:space="preserve">Limited targets and measures (based on System Data of NAPLAN) have meant </w:t>
            </w:r>
            <w:r w:rsidR="31B27EEE">
              <w:rPr/>
              <w:t xml:space="preserve">mid-cycle </w:t>
            </w:r>
            <w:r w:rsidR="31B27EEE">
              <w:rPr/>
              <w:t>analysis</w:t>
            </w:r>
            <w:r w:rsidR="31B27EEE">
              <w:rPr/>
              <w:t xml:space="preserve"> of the Strategic plan is limited and does not holistically show impact of strategies in the plan.</w:t>
            </w:r>
            <w:r w:rsidR="31B27EEE">
              <w:rPr/>
              <w:t xml:space="preserve"> A need for fine-tuning measures and targets is required to ensure consistency and reflection of implementation.</w:t>
            </w:r>
          </w:p>
          <w:p w:rsidR="66B31E4E" w:rsidP="66B31E4E" w:rsidRDefault="66B31E4E" w14:paraId="130B57C5" w14:textId="7235B63D">
            <w:pPr>
              <w:pStyle w:val="PlainText"/>
              <w:numPr>
                <w:ilvl w:val="0"/>
                <w:numId w:val="23"/>
              </w:numPr>
              <w:rPr>
                <w:sz w:val="22"/>
                <w:szCs w:val="22"/>
              </w:rPr>
            </w:pPr>
            <w:r w:rsidRPr="3765761F" w:rsidR="66B31E4E">
              <w:rPr>
                <w:rFonts w:ascii="Calibri" w:hAnsi="Calibri" w:eastAsia="Calibri" w:cs="Consolas"/>
                <w:sz w:val="22"/>
                <w:szCs w:val="22"/>
              </w:rPr>
              <w:t xml:space="preserve">Undertaking a deep dive into 2021 NAPLAN results demonstrates </w:t>
            </w:r>
            <w:proofErr w:type="gramStart"/>
            <w:r w:rsidRPr="3765761F" w:rsidR="66B31E4E">
              <w:rPr>
                <w:rFonts w:ascii="Calibri" w:hAnsi="Calibri" w:eastAsia="Calibri" w:cs="Consolas"/>
                <w:sz w:val="22"/>
                <w:szCs w:val="22"/>
              </w:rPr>
              <w:t>that  our</w:t>
            </w:r>
            <w:proofErr w:type="gramEnd"/>
            <w:r w:rsidRPr="3765761F" w:rsidR="66B31E4E">
              <w:rPr>
                <w:rFonts w:ascii="Calibri" w:hAnsi="Calibri" w:eastAsia="Calibri" w:cs="Consolas"/>
                <w:sz w:val="22"/>
                <w:szCs w:val="22"/>
              </w:rPr>
              <w:t xml:space="preserve"> female students outperform on average more than male students in year 3, whilst our male students outperform our females in year 5.</w:t>
            </w:r>
          </w:p>
          <w:p w:rsidR="001419C3" w:rsidP="1C6BAF19" w:rsidRDefault="002F09CD" w14:paraId="025B2300" w14:textId="6A5F033E">
            <w:pPr>
              <w:pStyle w:val="PlainText"/>
              <w:numPr>
                <w:ilvl w:val="0"/>
                <w:numId w:val="23"/>
              </w:numPr>
              <w:ind/>
              <w:rPr>
                <w:sz w:val="22"/>
                <w:szCs w:val="22"/>
              </w:rPr>
            </w:pPr>
            <w:r w:rsidRPr="3765761F" w:rsidR="31B27EEE">
              <w:rPr>
                <w:rFonts w:ascii="Calibri" w:hAnsi="Calibri" w:eastAsia="Calibri" w:cs="Consolas"/>
              </w:rPr>
              <w:t>Perception data for “Teachers give useful feedback” has dropped by almost 10%.  This perception data has not been deliberately used to support strategies embedded in the plan. Explicit support for teachers to embed “Feedback” will be a focus of the 2022 Action Plan.</w:t>
            </w:r>
          </w:p>
          <w:p w:rsidR="001419C3" w:rsidP="31B27EEE" w:rsidRDefault="002F09CD" w14:paraId="2DFB70DA" w14:textId="6FAA069B">
            <w:pPr>
              <w:pStyle w:val="PlainText"/>
              <w:numPr>
                <w:ilvl w:val="0"/>
                <w:numId w:val="23"/>
              </w:numPr>
              <w:ind/>
              <w:rPr>
                <w:sz w:val="22"/>
                <w:szCs w:val="22"/>
              </w:rPr>
            </w:pPr>
            <w:r w:rsidRPr="66B31E4E" w:rsidR="31B27EEE">
              <w:rPr>
                <w:rFonts w:ascii="Calibri" w:hAnsi="Calibri" w:eastAsia="Calibri" w:cs="Consolas"/>
              </w:rPr>
              <w:t>There is no baseline data linked with Writing conferencing, therefore tracking of impact does not correlate with student outcomes.</w:t>
            </w:r>
          </w:p>
        </w:tc>
      </w:tr>
    </w:tbl>
    <w:p w:rsidRPr="005611F4" w:rsidR="005611F4" w:rsidP="00707D78" w:rsidRDefault="00937D6F" w14:paraId="2C475ECA" w14:textId="6A372A1E">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rsidTr="219C0A8A" w14:paraId="67D0E0F5" w14:textId="77777777">
        <w:trPr>
          <w:trHeight w:val="223"/>
          <w:jc w:val="center"/>
        </w:trPr>
        <w:tc>
          <w:tcPr>
            <w:tcW w:w="9016" w:type="dxa"/>
            <w:shd w:val="clear" w:color="auto" w:fill="auto"/>
            <w:tcMar/>
          </w:tcPr>
          <w:p w:rsidRPr="00CE5293" w:rsidR="007D4779" w:rsidP="00CE5293" w:rsidRDefault="007D4779" w14:paraId="15FD3FC1" w14:textId="0B589340">
            <w:pPr>
              <w:pStyle w:val="BodyText"/>
              <w:rPr>
                <w:b/>
                <w:bCs/>
                <w:iCs/>
              </w:rPr>
            </w:pPr>
            <w:r w:rsidRPr="31B27EEE" w:rsidR="3FE060F3">
              <w:rPr>
                <w:b w:val="1"/>
                <w:bCs w:val="1"/>
              </w:rPr>
              <w:t>To facilitate high quality teaching in ACT public schools and strengthen educational outcomes.</w:t>
            </w:r>
          </w:p>
          <w:p w:rsidR="31B27EEE" w:rsidP="219C0A8A" w:rsidRDefault="31B27EEE" w14:paraId="2B6060C1" w14:textId="1AE676E8">
            <w:pPr>
              <w:pStyle w:val="ListBullet"/>
              <w:rPr/>
            </w:pPr>
            <w:r w:rsidR="31B27EEE">
              <w:rPr/>
              <w:t xml:space="preserve">Engaged staff in professional learning in Deb Miller’s Workshop Model, Sentence Level Grammar, Chris </w:t>
            </w:r>
            <w:proofErr w:type="spellStart"/>
            <w:r w:rsidR="31B27EEE">
              <w:rPr/>
              <w:t>Topfer</w:t>
            </w:r>
            <w:proofErr w:type="spellEnd"/>
          </w:p>
          <w:p w:rsidR="31B27EEE" w:rsidP="31B27EEE" w:rsidRDefault="31B27EEE" w14:paraId="23A5D60E" w14:textId="77435855">
            <w:pPr>
              <w:pStyle w:val="ListBullet"/>
              <w:rPr/>
            </w:pPr>
            <w:r w:rsidR="31B27EEE">
              <w:rPr/>
              <w:t>Create data tracker to collect and analyse the achievement of Writing goals in year levels</w:t>
            </w:r>
          </w:p>
          <w:p w:rsidRPr="00CA26FB" w:rsidR="00CA26FB" w:rsidP="00CA26FB" w:rsidRDefault="008B5D28" w14:paraId="48C5D032" w14:textId="7D569D39">
            <w:pPr>
              <w:pStyle w:val="ListBullet"/>
              <w:rPr/>
            </w:pPr>
            <w:r w:rsidR="3CCEF291">
              <w:rPr/>
              <w:t xml:space="preserve">Creation and trial of a </w:t>
            </w:r>
            <w:r w:rsidR="3CCEF291">
              <w:rPr/>
              <w:t>literacy</w:t>
            </w:r>
            <w:r w:rsidR="3CCEF291">
              <w:rPr/>
              <w:t xml:space="preserve"> planning template that incorporates whole school endorsed literacy practices</w:t>
            </w:r>
          </w:p>
        </w:tc>
      </w:tr>
    </w:tbl>
    <w:p w:rsidR="00937D6F" w:rsidP="00937D6F" w:rsidRDefault="00937D6F" w14:paraId="53530C31" w14:textId="77777777">
      <w:pPr>
        <w:pStyle w:val="BodyText"/>
      </w:pPr>
    </w:p>
    <w:p w:rsidR="68DB8C6F" w:rsidP="31B27EEE" w:rsidRDefault="68DB8C6F" w14:paraId="364DB6BD" w14:textId="4437415C">
      <w:pPr>
        <w:pStyle w:val="Heading3"/>
      </w:pPr>
      <w:r w:rsidR="68DB8C6F">
        <w:rPr/>
        <w:t xml:space="preserve">Challenges we </w:t>
      </w:r>
      <w:r w:rsidR="68DB8C6F">
        <w:rPr/>
        <w:t>will address in</w:t>
      </w:r>
      <w:r w:rsidR="68DB8C6F">
        <w:rPr/>
        <w:t xml:space="preserve"> our</w:t>
      </w:r>
      <w:r w:rsidR="68DB8C6F">
        <w:rPr/>
        <w:t xml:space="preserve"> next Action Plan</w:t>
      </w:r>
    </w:p>
    <w:p w:rsidR="31B27EEE" w:rsidRDefault="31B27EEE" w14:paraId="5E0D384E" w14:textId="69D4AD98"/>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rsidTr="3765761F" w14:paraId="18CB09D5" w14:textId="77777777">
        <w:trPr>
          <w:trHeight w:val="116"/>
          <w:jc w:val="center"/>
        </w:trPr>
        <w:tc>
          <w:tcPr>
            <w:tcW w:w="9016" w:type="dxa"/>
            <w:shd w:val="clear" w:color="auto" w:fill="auto"/>
            <w:tcMar/>
          </w:tcPr>
          <w:p w:rsidR="00647CC9" w:rsidP="00CE5293" w:rsidRDefault="00647CC9" w14:paraId="64267B86" w14:textId="562EA8FC">
            <w:pPr>
              <w:pStyle w:val="ListBullet"/>
              <w:rPr/>
            </w:pPr>
            <w:r w:rsidR="4DF91D93">
              <w:rPr/>
              <w:t>Widen our data sets to include school data to track impact over shorter periods – create a data team to oversee the collection and lead the analysis and interpretation of data including exploring writing assessment to support feedback</w:t>
            </w:r>
          </w:p>
          <w:p w:rsidR="00647CC9" w:rsidP="00CE5293" w:rsidRDefault="00647CC9" w14:paraId="3B91BF18" w14:textId="013745B5">
            <w:pPr>
              <w:pStyle w:val="ListBullet"/>
              <w:rPr/>
            </w:pPr>
            <w:r w:rsidR="31B27EEE">
              <w:rPr/>
              <w:t xml:space="preserve">Widen data sets by building teacher capacity in using Multiple Sources of Data </w:t>
            </w:r>
          </w:p>
          <w:p w:rsidR="00647CC9" w:rsidP="00CE5293" w:rsidRDefault="00647CC9" w14:paraId="057A9BEB" w14:textId="5EB6BEF7">
            <w:pPr>
              <w:pStyle w:val="ListBullet"/>
              <w:rPr/>
            </w:pPr>
            <w:r w:rsidR="31B27EEE">
              <w:rPr/>
              <w:t>Set targets based on NAPLAN growth including analysing and closing the gap between statistically similar schools (SSSG)</w:t>
            </w:r>
          </w:p>
          <w:p w:rsidR="00647CC9" w:rsidP="00CE5293" w:rsidRDefault="00647CC9" w14:paraId="22D36EEE" w14:textId="01A33A45">
            <w:pPr>
              <w:pStyle w:val="ListBullet"/>
              <w:rPr/>
            </w:pPr>
            <w:r w:rsidR="31B27EEE">
              <w:rPr/>
              <w:t xml:space="preserve">Embedding with consistency PLCs - using the Maturity Matrix to guide </w:t>
            </w:r>
            <w:r w:rsidR="31B27EEE">
              <w:rPr/>
              <w:t>PLC</w:t>
            </w:r>
            <w:r w:rsidR="31B27EEE">
              <w:rPr/>
              <w:t xml:space="preserve"> work – including completion of whole cycle review</w:t>
            </w:r>
          </w:p>
          <w:p w:rsidR="00647CC9" w:rsidP="00CE5293" w:rsidRDefault="00647CC9" w14:paraId="25A40ECD" w14:textId="7CBE8137">
            <w:pPr>
              <w:pStyle w:val="ListBullet"/>
              <w:rPr/>
            </w:pPr>
            <w:r w:rsidR="31B27EEE">
              <w:rPr/>
              <w:t>Mid-cycle review with NSIT / School review processes to re-target and direct school plan</w:t>
            </w:r>
          </w:p>
          <w:p w:rsidR="00647CC9" w:rsidP="31B27EEE" w:rsidRDefault="00647CC9" w14:paraId="21501890" w14:textId="6674FFCF">
            <w:pPr>
              <w:pStyle w:val="ListBullet"/>
              <w:numPr>
                <w:numId w:val="0"/>
              </w:numPr>
              <w:ind w:left="0"/>
              <w:rPr>
                <w:highlight w:val="yellow"/>
              </w:rPr>
            </w:pPr>
          </w:p>
        </w:tc>
      </w:tr>
    </w:tbl>
    <w:p w:rsidR="00937D6F" w:rsidP="00937D6F" w:rsidRDefault="00937D6F" w14:paraId="4044E8BA" w14:textId="77777777">
      <w:pPr>
        <w:pStyle w:val="BodyText"/>
      </w:pPr>
    </w:p>
    <w:p w:rsidR="006D2F6B" w:rsidRDefault="006D2F6B" w14:paraId="2EA0F1D3" w14:textId="77777777">
      <w:pPr>
        <w:rPr>
          <w:b/>
        </w:rPr>
      </w:pPr>
      <w:r>
        <w:rPr>
          <w:b/>
        </w:rPr>
        <w:br w:type="page"/>
      </w:r>
    </w:p>
    <w:p w:rsidRPr="000F0410" w:rsidR="00EB70CE" w:rsidP="00EB70CE" w:rsidRDefault="00EB70CE" w14:paraId="6F6A05B7" w14:textId="29EA4824">
      <w:pPr>
        <w:pStyle w:val="Heading2"/>
        <w:tabs>
          <w:tab w:val="clear" w:pos="2410"/>
          <w:tab w:val="left" w:pos="1276"/>
        </w:tabs>
        <w:ind w:left="1276" w:hanging="1276"/>
        <w:rPr>
          <w:color w:val="auto"/>
        </w:rPr>
      </w:pPr>
      <w:r w:rsidRPr="000F0410">
        <w:lastRenderedPageBreak/>
        <w:t xml:space="preserve">Priority </w:t>
      </w:r>
      <w:r>
        <w:t>2</w:t>
      </w:r>
      <w:r w:rsidRPr="000F0410">
        <w:t>:</w:t>
      </w:r>
      <w:r w:rsidRPr="000F0410">
        <w:rPr>
          <w:color w:val="auto"/>
        </w:rPr>
        <w:tab/>
      </w:r>
      <w:r w:rsidRPr="00F3358A" w:rsidR="00F3358A">
        <w:rPr>
          <w:rFonts w:asciiTheme="minorHAnsi" w:hAnsiTheme="minorHAnsi" w:cstheme="minorBidi"/>
          <w:color w:val="auto"/>
          <w:sz w:val="22"/>
        </w:rPr>
        <w:t>Increase growth in student performance in mathematics across all year levels</w:t>
      </w:r>
    </w:p>
    <w:p w:rsidRPr="00837137" w:rsidR="00EB70CE" w:rsidP="00EB70CE" w:rsidRDefault="00EB70CE" w14:paraId="516A240E" w14:textId="77777777">
      <w:pPr>
        <w:pStyle w:val="Heading3"/>
      </w:pPr>
      <w:r w:rsidRPr="00837137">
        <w:t>Targets or measures</w:t>
      </w:r>
    </w:p>
    <w:p w:rsidR="00EB70CE" w:rsidP="00EB70CE" w:rsidRDefault="00EB70CE" w14:paraId="6FF6208C" w14:textId="2FB9D4E9">
      <w:pPr>
        <w:pStyle w:val="BodyText"/>
      </w:pPr>
      <w:r>
        <w:t>By the end of 20</w:t>
      </w:r>
      <w:r w:rsidR="00F3358A">
        <w:t>24</w:t>
      </w:r>
      <w:r>
        <w:t xml:space="preserve"> we will achieve:</w:t>
      </w:r>
    </w:p>
    <w:p w:rsidR="00F3358A" w:rsidP="00EB70CE" w:rsidRDefault="00F3358A" w14:paraId="07556943" w14:textId="72B3E642">
      <w:pPr>
        <w:pStyle w:val="ListBullet"/>
        <w:rPr/>
      </w:pPr>
      <w:r w:rsidR="7D55EC26">
        <w:rPr/>
        <w:t>56</w:t>
      </w:r>
      <w:r w:rsidR="7D55EC26">
        <w:rPr/>
        <w:t xml:space="preserve">% or more of our year 5 students will </w:t>
      </w:r>
      <w:r w:rsidR="7D55EC26">
        <w:rPr/>
        <w:t>achieve</w:t>
      </w:r>
      <w:r w:rsidR="7D55EC26">
        <w:rPr/>
        <w:t xml:space="preserve"> at or above expected growth in numeracy. </w:t>
      </w:r>
    </w:p>
    <w:p w:rsidR="00F3358A" w:rsidP="00EB70CE" w:rsidRDefault="00F3358A" w14:paraId="0B92EE0A" w14:textId="77777777">
      <w:pPr>
        <w:pStyle w:val="ListBullet"/>
        <w:rPr/>
      </w:pPr>
      <w:r w:rsidR="7D55EC26">
        <w:rPr/>
        <w:t>An</w:t>
      </w:r>
      <w:r w:rsidR="7D55EC26">
        <w:rPr/>
        <w:t xml:space="preserve"> improve</w:t>
      </w:r>
      <w:r w:rsidR="7D55EC26">
        <w:rPr/>
        <w:t>ment in</w:t>
      </w:r>
      <w:r w:rsidR="7D55EC26">
        <w:rPr/>
        <w:t xml:space="preserve"> the percentage of students who strongly agree and agree that ‘teachers give useful feedback’ to 8</w:t>
      </w:r>
      <w:r w:rsidR="7D55EC26">
        <w:rPr/>
        <w:t>0</w:t>
      </w:r>
      <w:r w:rsidR="7D55EC26">
        <w:rPr/>
        <w:t>%</w:t>
      </w:r>
      <w:r w:rsidR="7D55EC26">
        <w:rPr/>
        <w:t xml:space="preserve"> </w:t>
      </w:r>
    </w:p>
    <w:p w:rsidRPr="00C7526B" w:rsidR="00F3358A" w:rsidP="00F3358A" w:rsidRDefault="00F3358A" w14:paraId="5932F552" w14:textId="7D145FC6">
      <w:pPr>
        <w:pStyle w:val="ListBullet"/>
        <w:rPr>
          <w:rFonts w:eastAsia="Times New Roman" w:cs="Calibri" w:cstheme="minorAscii"/>
          <w:color w:val="000000"/>
        </w:rPr>
      </w:pPr>
      <w:r w:rsidR="7D55EC26">
        <w:rPr/>
        <w:t>An</w:t>
      </w:r>
      <w:r w:rsidR="7D55EC26">
        <w:rPr/>
        <w:t xml:space="preserve"> improve</w:t>
      </w:r>
      <w:r w:rsidR="7D55EC26">
        <w:rPr/>
        <w:t>ment in</w:t>
      </w:r>
      <w:r w:rsidR="7D55EC26">
        <w:rPr/>
        <w:t xml:space="preserve"> </w:t>
      </w:r>
      <w:r w:rsidR="7D55EC26">
        <w:rPr/>
        <w:t xml:space="preserve">positive attitudes to mathematics from 43% in 2019 to 50% or more by 2024. </w:t>
      </w:r>
    </w:p>
    <w:p w:rsidRPr="005B44C8" w:rsidR="00C7526B" w:rsidP="00C7526B" w:rsidRDefault="00C7526B" w14:paraId="11AB3A13" w14:textId="77777777">
      <w:pPr>
        <w:pStyle w:val="ListBullet"/>
        <w:numPr>
          <w:ilvl w:val="0"/>
          <w:numId w:val="0"/>
        </w:numPr>
        <w:rPr>
          <w:rFonts w:eastAsia="Times New Roman" w:cstheme="minorHAnsi"/>
          <w:color w:val="000000"/>
        </w:rPr>
      </w:pPr>
    </w:p>
    <w:p w:rsidRPr="00373DC0" w:rsidR="00EB70CE" w:rsidP="00C7526B" w:rsidRDefault="00EB70CE" w14:paraId="6BF90988" w14:textId="56177773">
      <w:pPr>
        <w:pStyle w:val="ListBullet"/>
        <w:numPr>
          <w:numId w:val="0"/>
        </w:numPr>
      </w:pPr>
      <w:r w:rsidR="726C33F4">
        <w:rPr/>
        <w:t>In 20</w:t>
      </w:r>
      <w:r w:rsidR="3C73D764">
        <w:rPr/>
        <w:t>21</w:t>
      </w:r>
      <w:r w:rsidR="726C33F4">
        <w:rPr/>
        <w:t xml:space="preserve"> we </w:t>
      </w:r>
      <w:r w:rsidR="726C33F4">
        <w:rPr/>
        <w:t>implemented</w:t>
      </w:r>
      <w:r w:rsidR="726C33F4">
        <w:rPr/>
        <w:t xml:space="preserve"> this priority throug</w:t>
      </w:r>
      <w:r w:rsidR="726C33F4">
        <w:rPr/>
        <w:t xml:space="preserve">h the following </w:t>
      </w:r>
      <w:r w:rsidR="726C33F4">
        <w:rPr/>
        <w:t>strategies.</w:t>
      </w:r>
    </w:p>
    <w:p w:rsidR="31B27EEE" w:rsidP="31B27EEE" w:rsidRDefault="31B27EEE" w14:paraId="2EFAFC24" w14:textId="2BE0B3EB">
      <w:pPr>
        <w:pStyle w:val="ListBullet"/>
        <w:bidi w:val="0"/>
        <w:spacing w:before="0" w:beforeAutospacing="off" w:after="160" w:afterAutospacing="off" w:line="259" w:lineRule="auto"/>
        <w:ind w:left="360" w:right="0" w:hanging="360"/>
        <w:jc w:val="left"/>
        <w:rPr>
          <w:rFonts w:ascii="Calibri" w:hAnsi="Calibri" w:eastAsia="Calibri" w:cs="Calibri" w:asciiTheme="minorAscii" w:hAnsiTheme="minorAscii" w:eastAsiaTheme="minorAscii" w:cstheme="minorAscii"/>
          <w:sz w:val="22"/>
          <w:szCs w:val="22"/>
        </w:rPr>
      </w:pPr>
      <w:r w:rsidR="31B27EEE">
        <w:rPr/>
        <w:t>Engaged in professional learning to build an expert teaching team in Maths Discourse.</w:t>
      </w:r>
    </w:p>
    <w:p w:rsidR="31B27EEE" w:rsidP="31B27EEE" w:rsidRDefault="31B27EEE" w14:paraId="43C51012" w14:textId="796943AE">
      <w:pPr>
        <w:pStyle w:val="ListBullet"/>
        <w:bidi w:val="0"/>
        <w:spacing w:before="0" w:beforeAutospacing="off" w:after="160" w:afterAutospacing="off" w:line="259" w:lineRule="auto"/>
        <w:ind w:left="360" w:right="0" w:hanging="360"/>
        <w:jc w:val="left"/>
        <w:rPr>
          <w:sz w:val="22"/>
          <w:szCs w:val="22"/>
        </w:rPr>
      </w:pPr>
      <w:r w:rsidR="31B27EEE">
        <w:rPr/>
        <w:t xml:space="preserve">The Leadership team engaged with the </w:t>
      </w:r>
      <w:r w:rsidR="31B27EEE">
        <w:rPr/>
        <w:t>Directorate's</w:t>
      </w:r>
      <w:r w:rsidR="31B27EEE">
        <w:rPr/>
        <w:t xml:space="preserve"> “Finding the Balance” Maths professional learning. </w:t>
      </w:r>
    </w:p>
    <w:p w:rsidR="00EB70CE" w:rsidP="00EB70CE" w:rsidRDefault="00EB70CE" w14:paraId="32A84660" w14:textId="5C9B69F3">
      <w:pPr>
        <w:pStyle w:val="PlainText"/>
        <w:rPr>
          <w:noProof/>
        </w:rPr>
      </w:pPr>
      <w:r w:rsidRPr="31B27EEE" w:rsidR="726C33F4">
        <w:rPr>
          <w:i w:val="1"/>
          <w:iCs w:val="1"/>
        </w:rPr>
        <w:t>Below is our p</w:t>
      </w:r>
      <w:r w:rsidRPr="31B27EEE" w:rsidR="726C33F4">
        <w:rPr>
          <w:i w:val="1"/>
          <w:iCs w:val="1"/>
        </w:rPr>
        <w:t>ro</w:t>
      </w:r>
      <w:r w:rsidRPr="31B27EEE" w:rsidR="726C33F4">
        <w:rPr>
          <w:i w:val="1"/>
          <w:iCs w:val="1"/>
        </w:rPr>
        <w:t xml:space="preserve">gress towards </w:t>
      </w:r>
      <w:r w:rsidRPr="31B27EEE" w:rsidR="726C33F4">
        <w:rPr>
          <w:i w:val="1"/>
          <w:iCs w:val="1"/>
        </w:rPr>
        <w:t xml:space="preserve">our </w:t>
      </w:r>
      <w:r w:rsidRPr="31B27EEE" w:rsidR="726C33F4">
        <w:rPr>
          <w:i w:val="1"/>
          <w:iCs w:val="1"/>
        </w:rPr>
        <w:t xml:space="preserve">five-year targets with an emphasis on the accumulation and analysis of evidence over the term of </w:t>
      </w:r>
      <w:r w:rsidRPr="31B27EEE" w:rsidR="726C33F4">
        <w:rPr>
          <w:i w:val="1"/>
          <w:iCs w:val="1"/>
        </w:rPr>
        <w:t>our</w:t>
      </w:r>
      <w:r w:rsidRPr="31B27EEE" w:rsidR="726C33F4">
        <w:rPr>
          <w:i w:val="1"/>
          <w:iCs w:val="1"/>
        </w:rPr>
        <w:t xml:space="preserve"> plan.</w:t>
      </w:r>
      <w:r w:rsidRPr="31B27EEE" w:rsidR="7047169E">
        <w:rPr>
          <w:noProof/>
        </w:rPr>
        <w:t xml:space="preserve"> </w:t>
      </w:r>
    </w:p>
    <w:p w:rsidR="00B2157A" w:rsidP="00EB70CE" w:rsidRDefault="00B2157A" w14:paraId="513C8537" w14:textId="19CF6513">
      <w:pPr>
        <w:pStyle w:val="PlainText"/>
        <w:rPr>
          <w:noProof/>
        </w:rPr>
      </w:pPr>
    </w:p>
    <w:p w:rsidRPr="00C0648C" w:rsidR="00EB70CE" w:rsidP="00EB70CE" w:rsidRDefault="00EB70CE" w14:paraId="7CA09BBA" w14:textId="77777777">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029"/>
        <w:gridCol w:w="770"/>
        <w:gridCol w:w="1166"/>
        <w:gridCol w:w="768"/>
        <w:gridCol w:w="768"/>
        <w:gridCol w:w="768"/>
        <w:gridCol w:w="769"/>
      </w:tblGrid>
      <w:tr w:rsidR="00EB70CE" w:rsidTr="71EFEECA" w14:paraId="52A1D276" w14:textId="77777777">
        <w:trPr>
          <w:jc w:val="center"/>
        </w:trPr>
        <w:tc>
          <w:tcPr>
            <w:tcW w:w="4029" w:type="dxa"/>
            <w:shd w:val="clear" w:color="auto" w:fill="auto"/>
            <w:tcMar/>
          </w:tcPr>
          <w:p w:rsidRPr="00D03B0C" w:rsidR="00EB70CE" w:rsidP="00654356" w:rsidRDefault="00EB70CE" w14:paraId="38831A05" w14:textId="77777777">
            <w:pPr>
              <w:rPr>
                <w:b/>
              </w:rPr>
            </w:pPr>
            <w:r w:rsidRPr="00D03B0C">
              <w:rPr>
                <w:b/>
              </w:rPr>
              <w:t>Targets or Measures</w:t>
            </w:r>
          </w:p>
        </w:tc>
        <w:tc>
          <w:tcPr>
            <w:tcW w:w="770" w:type="dxa"/>
            <w:shd w:val="clear" w:color="auto" w:fill="auto"/>
            <w:tcMar/>
          </w:tcPr>
          <w:p w:rsidRPr="00D03B0C" w:rsidR="00EB70CE" w:rsidP="00654356" w:rsidRDefault="00EB70CE" w14:paraId="1889F794" w14:textId="77777777">
            <w:pPr>
              <w:jc w:val="center"/>
              <w:rPr>
                <w:b/>
              </w:rPr>
            </w:pPr>
            <w:r w:rsidRPr="00D03B0C">
              <w:rPr>
                <w:b/>
              </w:rPr>
              <w:t>Base</w:t>
            </w:r>
          </w:p>
        </w:tc>
        <w:tc>
          <w:tcPr>
            <w:tcW w:w="1166" w:type="dxa"/>
            <w:shd w:val="clear" w:color="auto" w:fill="auto"/>
            <w:tcMar/>
          </w:tcPr>
          <w:p w:rsidRPr="00D03B0C" w:rsidR="00EB70CE" w:rsidP="00654356" w:rsidRDefault="00EB70CE" w14:paraId="7FEBA05C" w14:textId="77777777">
            <w:pPr>
              <w:jc w:val="center"/>
              <w:rPr>
                <w:b/>
              </w:rPr>
            </w:pPr>
            <w:r w:rsidRPr="00D03B0C">
              <w:rPr>
                <w:b/>
              </w:rPr>
              <w:t>Year 1</w:t>
            </w:r>
          </w:p>
        </w:tc>
        <w:tc>
          <w:tcPr>
            <w:tcW w:w="768" w:type="dxa"/>
            <w:shd w:val="clear" w:color="auto" w:fill="auto"/>
            <w:tcMar/>
          </w:tcPr>
          <w:p w:rsidRPr="00D03B0C" w:rsidR="00EB70CE" w:rsidP="00654356" w:rsidRDefault="00EB70CE" w14:paraId="0D73E116" w14:textId="77777777">
            <w:pPr>
              <w:jc w:val="center"/>
              <w:rPr>
                <w:b/>
              </w:rPr>
            </w:pPr>
            <w:r w:rsidRPr="00D03B0C">
              <w:rPr>
                <w:b/>
              </w:rPr>
              <w:t>Year 2</w:t>
            </w:r>
          </w:p>
        </w:tc>
        <w:tc>
          <w:tcPr>
            <w:tcW w:w="768" w:type="dxa"/>
            <w:shd w:val="clear" w:color="auto" w:fill="auto"/>
            <w:tcMar/>
          </w:tcPr>
          <w:p w:rsidRPr="00D03B0C" w:rsidR="00EB70CE" w:rsidP="00654356" w:rsidRDefault="00EB70CE" w14:paraId="318EBF9E" w14:textId="77777777">
            <w:pPr>
              <w:jc w:val="center"/>
              <w:rPr>
                <w:b/>
              </w:rPr>
            </w:pPr>
            <w:r w:rsidRPr="00D03B0C">
              <w:rPr>
                <w:b/>
              </w:rPr>
              <w:t>Year 3</w:t>
            </w:r>
          </w:p>
        </w:tc>
        <w:tc>
          <w:tcPr>
            <w:tcW w:w="768" w:type="dxa"/>
            <w:shd w:val="clear" w:color="auto" w:fill="auto"/>
            <w:tcMar/>
          </w:tcPr>
          <w:p w:rsidRPr="00D03B0C" w:rsidR="00EB70CE" w:rsidP="00654356" w:rsidRDefault="00EB70CE" w14:paraId="4C59D3D5" w14:textId="77777777">
            <w:pPr>
              <w:jc w:val="center"/>
              <w:rPr>
                <w:b/>
              </w:rPr>
            </w:pPr>
            <w:r w:rsidRPr="00D03B0C">
              <w:rPr>
                <w:b/>
              </w:rPr>
              <w:t>Year 4</w:t>
            </w:r>
          </w:p>
        </w:tc>
        <w:tc>
          <w:tcPr>
            <w:tcW w:w="769" w:type="dxa"/>
            <w:shd w:val="clear" w:color="auto" w:fill="auto"/>
            <w:tcMar/>
          </w:tcPr>
          <w:p w:rsidRPr="00D03B0C" w:rsidR="00EB70CE" w:rsidP="00654356" w:rsidRDefault="00EB70CE" w14:paraId="2D207E80" w14:textId="77777777">
            <w:pPr>
              <w:jc w:val="center"/>
              <w:rPr>
                <w:b/>
              </w:rPr>
            </w:pPr>
            <w:r w:rsidRPr="00D03B0C">
              <w:rPr>
                <w:b/>
              </w:rPr>
              <w:t>Year 5</w:t>
            </w:r>
          </w:p>
        </w:tc>
      </w:tr>
      <w:tr w:rsidR="002146B2" w:rsidTr="71EFEECA" w14:paraId="619F7E44" w14:textId="77777777">
        <w:trPr>
          <w:jc w:val="center"/>
        </w:trPr>
        <w:tc>
          <w:tcPr>
            <w:tcW w:w="4029" w:type="dxa"/>
            <w:shd w:val="clear" w:color="auto" w:fill="auto"/>
            <w:tcMar/>
          </w:tcPr>
          <w:p w:rsidR="002146B2" w:rsidP="002146B2" w:rsidRDefault="002146B2" w14:paraId="072F052B" w14:textId="77777777">
            <w:pPr>
              <w:pStyle w:val="ListBullet"/>
              <w:numPr>
                <w:ilvl w:val="0"/>
                <w:numId w:val="0"/>
              </w:numPr>
            </w:pPr>
            <w:r>
              <w:t>56</w:t>
            </w:r>
            <w:r w:rsidRPr="00A761EE">
              <w:t xml:space="preserve">% or more of our year 5 students will </w:t>
            </w:r>
            <w:r>
              <w:t>achieve</w:t>
            </w:r>
            <w:r w:rsidRPr="00A761EE">
              <w:t xml:space="preserve"> at or above expected growth in numeracy. </w:t>
            </w:r>
          </w:p>
          <w:p w:rsidRPr="00D03B0C" w:rsidR="002146B2" w:rsidP="002146B2" w:rsidRDefault="002146B2" w14:paraId="2513CA2B" w14:textId="0B4F95B5">
            <w:pPr>
              <w:pStyle w:val="PlainText"/>
            </w:pPr>
          </w:p>
        </w:tc>
        <w:tc>
          <w:tcPr>
            <w:tcW w:w="770" w:type="dxa"/>
            <w:shd w:val="clear" w:color="auto" w:fill="auto"/>
            <w:tcMar/>
          </w:tcPr>
          <w:p w:rsidRPr="00D03B0C" w:rsidR="002146B2" w:rsidP="002146B2" w:rsidRDefault="002146B2" w14:paraId="033F8A2C" w14:textId="72DD5B15">
            <w:r>
              <w:t>51%</w:t>
            </w:r>
          </w:p>
        </w:tc>
        <w:tc>
          <w:tcPr>
            <w:tcW w:w="1166" w:type="dxa"/>
            <w:shd w:val="clear" w:color="auto" w:fill="auto"/>
            <w:tcMar/>
          </w:tcPr>
          <w:p w:rsidRPr="00D03B0C" w:rsidR="002146B2" w:rsidP="002146B2" w:rsidRDefault="002146B2" w14:paraId="37A47674" w14:textId="44BE6FF1">
            <w:proofErr w:type="gramStart"/>
            <w:r>
              <w:t>NAPLAN  cancelled</w:t>
            </w:r>
            <w:proofErr w:type="gramEnd"/>
            <w:r>
              <w:t xml:space="preserve"> due to COVID</w:t>
            </w:r>
          </w:p>
        </w:tc>
        <w:tc>
          <w:tcPr>
            <w:tcW w:w="768" w:type="dxa"/>
            <w:shd w:val="clear" w:color="auto" w:fill="auto"/>
            <w:tcMar/>
          </w:tcPr>
          <w:p w:rsidRPr="00D03B0C" w:rsidR="002146B2" w:rsidP="002146B2" w:rsidRDefault="002146B2" w14:paraId="3B610A06" w14:textId="3EFB78AF">
            <w:r w:rsidR="71EFEECA">
              <w:rPr/>
              <w:t>50.9%</w:t>
            </w:r>
          </w:p>
        </w:tc>
        <w:tc>
          <w:tcPr>
            <w:tcW w:w="768" w:type="dxa"/>
            <w:shd w:val="clear" w:color="auto" w:fill="auto"/>
            <w:tcMar/>
          </w:tcPr>
          <w:p w:rsidRPr="00D03B0C" w:rsidR="002146B2" w:rsidP="002146B2" w:rsidRDefault="002146B2" w14:paraId="14CA5668" w14:textId="77777777"/>
        </w:tc>
        <w:tc>
          <w:tcPr>
            <w:tcW w:w="768" w:type="dxa"/>
            <w:shd w:val="clear" w:color="auto" w:fill="auto"/>
            <w:tcMar/>
          </w:tcPr>
          <w:p w:rsidRPr="00D03B0C" w:rsidR="002146B2" w:rsidP="002146B2" w:rsidRDefault="002146B2" w14:paraId="31619F89" w14:textId="77777777"/>
        </w:tc>
        <w:tc>
          <w:tcPr>
            <w:tcW w:w="769" w:type="dxa"/>
            <w:shd w:val="clear" w:color="auto" w:fill="auto"/>
            <w:tcMar/>
          </w:tcPr>
          <w:p w:rsidRPr="00D03B0C" w:rsidR="002146B2" w:rsidP="002146B2" w:rsidRDefault="002146B2" w14:paraId="093216C0" w14:textId="77777777"/>
        </w:tc>
      </w:tr>
    </w:tbl>
    <w:p w:rsidRPr="008A01DA" w:rsidR="00EB70CE" w:rsidP="00EB70CE" w:rsidRDefault="00EB70CE" w14:paraId="277910B0" w14:textId="77777777">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022"/>
        <w:gridCol w:w="789"/>
        <w:gridCol w:w="1166"/>
        <w:gridCol w:w="765"/>
        <w:gridCol w:w="765"/>
        <w:gridCol w:w="765"/>
        <w:gridCol w:w="766"/>
      </w:tblGrid>
      <w:tr w:rsidR="00EB70CE" w:rsidTr="219C0A8A" w14:paraId="1396D008" w14:textId="77777777">
        <w:trPr>
          <w:jc w:val="center"/>
        </w:trPr>
        <w:tc>
          <w:tcPr>
            <w:tcW w:w="4297" w:type="dxa"/>
            <w:shd w:val="clear" w:color="auto" w:fill="auto"/>
            <w:tcMar/>
          </w:tcPr>
          <w:p w:rsidRPr="006D2F6B" w:rsidR="00EB70CE" w:rsidP="00654356" w:rsidRDefault="00EB70CE" w14:paraId="6A81EE33" w14:textId="77777777">
            <w:pPr>
              <w:rPr>
                <w:b/>
              </w:rPr>
            </w:pPr>
            <w:r w:rsidRPr="006D2F6B">
              <w:rPr>
                <w:b/>
              </w:rPr>
              <w:t>Targets or Measures</w:t>
            </w:r>
          </w:p>
        </w:tc>
        <w:tc>
          <w:tcPr>
            <w:tcW w:w="790" w:type="dxa"/>
            <w:shd w:val="clear" w:color="auto" w:fill="auto"/>
            <w:tcMar/>
          </w:tcPr>
          <w:p w:rsidRPr="006D2F6B" w:rsidR="00EB70CE" w:rsidP="00654356" w:rsidRDefault="00EB70CE" w14:paraId="159C188F" w14:textId="77777777">
            <w:pPr>
              <w:jc w:val="center"/>
              <w:rPr>
                <w:b/>
              </w:rPr>
            </w:pPr>
            <w:r w:rsidRPr="006D2F6B">
              <w:rPr>
                <w:b/>
              </w:rPr>
              <w:t>Base</w:t>
            </w:r>
          </w:p>
        </w:tc>
        <w:tc>
          <w:tcPr>
            <w:tcW w:w="790" w:type="dxa"/>
            <w:shd w:val="clear" w:color="auto" w:fill="auto"/>
            <w:tcMar/>
          </w:tcPr>
          <w:p w:rsidRPr="006D2F6B" w:rsidR="00EB70CE" w:rsidP="00654356" w:rsidRDefault="00EB70CE" w14:paraId="2066ED5C" w14:textId="77777777">
            <w:pPr>
              <w:jc w:val="center"/>
              <w:rPr>
                <w:b/>
              </w:rPr>
            </w:pPr>
            <w:r w:rsidRPr="006D2F6B">
              <w:rPr>
                <w:b/>
              </w:rPr>
              <w:t>Year 1</w:t>
            </w:r>
          </w:p>
        </w:tc>
        <w:tc>
          <w:tcPr>
            <w:tcW w:w="790" w:type="dxa"/>
            <w:shd w:val="clear" w:color="auto" w:fill="auto"/>
            <w:tcMar/>
          </w:tcPr>
          <w:p w:rsidRPr="006D2F6B" w:rsidR="00EB70CE" w:rsidP="00654356" w:rsidRDefault="00EB70CE" w14:paraId="27AC99DF" w14:textId="77777777">
            <w:pPr>
              <w:jc w:val="center"/>
              <w:rPr>
                <w:b/>
              </w:rPr>
            </w:pPr>
            <w:r w:rsidRPr="006D2F6B">
              <w:rPr>
                <w:b/>
              </w:rPr>
              <w:t>Year 2</w:t>
            </w:r>
          </w:p>
        </w:tc>
        <w:tc>
          <w:tcPr>
            <w:tcW w:w="790" w:type="dxa"/>
            <w:shd w:val="clear" w:color="auto" w:fill="auto"/>
            <w:tcMar/>
          </w:tcPr>
          <w:p w:rsidRPr="006D2F6B" w:rsidR="00EB70CE" w:rsidP="00654356" w:rsidRDefault="00EB70CE" w14:paraId="2397C360" w14:textId="77777777">
            <w:pPr>
              <w:jc w:val="center"/>
              <w:rPr>
                <w:b/>
              </w:rPr>
            </w:pPr>
            <w:r w:rsidRPr="006D2F6B">
              <w:rPr>
                <w:b/>
              </w:rPr>
              <w:t>Year 3</w:t>
            </w:r>
          </w:p>
        </w:tc>
        <w:tc>
          <w:tcPr>
            <w:tcW w:w="790" w:type="dxa"/>
            <w:shd w:val="clear" w:color="auto" w:fill="auto"/>
            <w:tcMar/>
          </w:tcPr>
          <w:p w:rsidRPr="006D2F6B" w:rsidR="00EB70CE" w:rsidP="00654356" w:rsidRDefault="00EB70CE" w14:paraId="102EF8AB" w14:textId="77777777">
            <w:pPr>
              <w:jc w:val="center"/>
              <w:rPr>
                <w:b/>
              </w:rPr>
            </w:pPr>
            <w:r w:rsidRPr="006D2F6B">
              <w:rPr>
                <w:b/>
              </w:rPr>
              <w:t>Year 4</w:t>
            </w:r>
          </w:p>
        </w:tc>
        <w:tc>
          <w:tcPr>
            <w:tcW w:w="791" w:type="dxa"/>
            <w:shd w:val="clear" w:color="auto" w:fill="auto"/>
            <w:tcMar/>
          </w:tcPr>
          <w:p w:rsidRPr="006D2F6B" w:rsidR="00EB70CE" w:rsidP="00654356" w:rsidRDefault="00EB70CE" w14:paraId="750673D6" w14:textId="77777777">
            <w:pPr>
              <w:jc w:val="center"/>
              <w:rPr>
                <w:b/>
              </w:rPr>
            </w:pPr>
            <w:r w:rsidRPr="006D2F6B">
              <w:rPr>
                <w:b/>
              </w:rPr>
              <w:t>Year 5</w:t>
            </w:r>
          </w:p>
        </w:tc>
      </w:tr>
      <w:tr w:rsidR="00EB70CE" w:rsidTr="219C0A8A" w14:paraId="715AAF1C" w14:textId="77777777">
        <w:trPr>
          <w:jc w:val="center"/>
        </w:trPr>
        <w:tc>
          <w:tcPr>
            <w:tcW w:w="4297" w:type="dxa"/>
            <w:shd w:val="clear" w:color="auto" w:fill="auto"/>
            <w:tcMar/>
          </w:tcPr>
          <w:p w:rsidRPr="006D2F6B" w:rsidR="00EB70CE" w:rsidP="00D441BF" w:rsidRDefault="00F3358A" w14:paraId="1BB77CFA" w14:textId="6DC024AD">
            <w:pPr>
              <w:pStyle w:val="ListBullet"/>
              <w:numPr>
                <w:ilvl w:val="0"/>
                <w:numId w:val="0"/>
              </w:numPr>
            </w:pPr>
            <w:r>
              <w:t>An</w:t>
            </w:r>
            <w:r w:rsidRPr="0069166A">
              <w:t xml:space="preserve"> improve</w:t>
            </w:r>
            <w:r>
              <w:t>ment in</w:t>
            </w:r>
            <w:r w:rsidRPr="0069166A">
              <w:t xml:space="preserve"> the percentage of students who strongly agree and agree that ‘teachers give useful feedback’ to 8</w:t>
            </w:r>
            <w:r>
              <w:t>0</w:t>
            </w:r>
            <w:r w:rsidRPr="0069166A">
              <w:t>%</w:t>
            </w:r>
            <w:r w:rsidRPr="00837137">
              <w:t xml:space="preserve"> </w:t>
            </w:r>
          </w:p>
        </w:tc>
        <w:tc>
          <w:tcPr>
            <w:tcW w:w="790" w:type="dxa"/>
            <w:shd w:val="clear" w:color="auto" w:fill="auto"/>
            <w:tcMar/>
          </w:tcPr>
          <w:p w:rsidRPr="006D2F6B" w:rsidR="00EB70CE" w:rsidP="00654356" w:rsidRDefault="009956FE" w14:paraId="694253E4" w14:textId="195A7D79">
            <w:r>
              <w:t>76.33%</w:t>
            </w:r>
          </w:p>
        </w:tc>
        <w:tc>
          <w:tcPr>
            <w:tcW w:w="790" w:type="dxa"/>
            <w:shd w:val="clear" w:color="auto" w:fill="auto"/>
            <w:tcMar/>
          </w:tcPr>
          <w:p w:rsidRPr="006D2F6B" w:rsidR="00EB70CE" w:rsidP="00654356" w:rsidRDefault="009956FE" w14:paraId="30994033" w14:textId="6573AE14">
            <w:r>
              <w:t>77.8%</w:t>
            </w:r>
          </w:p>
        </w:tc>
        <w:tc>
          <w:tcPr>
            <w:tcW w:w="790" w:type="dxa"/>
            <w:shd w:val="clear" w:color="auto" w:fill="auto"/>
            <w:tcMar/>
          </w:tcPr>
          <w:p w:rsidRPr="006D2F6B" w:rsidR="00EB70CE" w:rsidP="00654356" w:rsidRDefault="00EB70CE" w14:paraId="0240AD5D" w14:textId="03C9698C">
            <w:r w:rsidR="4974C019">
              <w:rPr/>
              <w:t>68%</w:t>
            </w:r>
          </w:p>
        </w:tc>
        <w:tc>
          <w:tcPr>
            <w:tcW w:w="790" w:type="dxa"/>
            <w:shd w:val="clear" w:color="auto" w:fill="auto"/>
            <w:tcMar/>
          </w:tcPr>
          <w:p w:rsidRPr="006D2F6B" w:rsidR="00EB70CE" w:rsidP="00654356" w:rsidRDefault="00EB70CE" w14:paraId="06476B2E" w14:textId="77777777"/>
        </w:tc>
        <w:tc>
          <w:tcPr>
            <w:tcW w:w="790" w:type="dxa"/>
            <w:shd w:val="clear" w:color="auto" w:fill="auto"/>
            <w:tcMar/>
          </w:tcPr>
          <w:p w:rsidRPr="006D2F6B" w:rsidR="00EB70CE" w:rsidP="00654356" w:rsidRDefault="00EB70CE" w14:paraId="7CE7857F" w14:textId="77777777"/>
        </w:tc>
        <w:tc>
          <w:tcPr>
            <w:tcW w:w="791" w:type="dxa"/>
            <w:shd w:val="clear" w:color="auto" w:fill="auto"/>
            <w:tcMar/>
          </w:tcPr>
          <w:p w:rsidRPr="006D2F6B" w:rsidR="00EB70CE" w:rsidP="00654356" w:rsidRDefault="00EB70CE" w14:paraId="58F95C67" w14:textId="77777777"/>
        </w:tc>
      </w:tr>
      <w:tr w:rsidR="00EB70CE" w:rsidTr="219C0A8A" w14:paraId="6DD2C688" w14:textId="77777777">
        <w:trPr>
          <w:jc w:val="center"/>
        </w:trPr>
        <w:tc>
          <w:tcPr>
            <w:tcW w:w="4297" w:type="dxa"/>
            <w:shd w:val="clear" w:color="auto" w:fill="auto"/>
            <w:tcMar/>
          </w:tcPr>
          <w:p w:rsidRPr="00D441BF" w:rsidR="00EB70CE" w:rsidP="00D441BF" w:rsidRDefault="00F3358A" w14:paraId="3EFCC141" w14:textId="7F4BFAFA">
            <w:pPr>
              <w:pStyle w:val="ListBullet"/>
              <w:numPr>
                <w:ilvl w:val="0"/>
                <w:numId w:val="0"/>
              </w:numPr>
              <w:rPr>
                <w:rFonts w:eastAsia="Times New Roman" w:cstheme="minorHAnsi"/>
                <w:color w:val="000000"/>
              </w:rPr>
            </w:pPr>
            <w:r>
              <w:t>An</w:t>
            </w:r>
            <w:r w:rsidRPr="0069166A">
              <w:t xml:space="preserve"> improve</w:t>
            </w:r>
            <w:r>
              <w:t>ment in</w:t>
            </w:r>
            <w:r w:rsidRPr="0069166A">
              <w:t xml:space="preserve"> </w:t>
            </w:r>
            <w:r>
              <w:t xml:space="preserve">positive attitudes to mathematics from 43% in 2019 to 50% or more by 2024. </w:t>
            </w:r>
          </w:p>
        </w:tc>
        <w:tc>
          <w:tcPr>
            <w:tcW w:w="790" w:type="dxa"/>
            <w:shd w:val="clear" w:color="auto" w:fill="auto"/>
            <w:tcMar/>
          </w:tcPr>
          <w:p w:rsidRPr="006D2F6B" w:rsidR="00EB70CE" w:rsidP="00654356" w:rsidRDefault="00F3358A" w14:paraId="018EACAA" w14:textId="54DAE941">
            <w:r>
              <w:t>43%</w:t>
            </w:r>
          </w:p>
        </w:tc>
        <w:tc>
          <w:tcPr>
            <w:tcW w:w="790" w:type="dxa"/>
            <w:shd w:val="clear" w:color="auto" w:fill="auto"/>
            <w:tcMar/>
          </w:tcPr>
          <w:p w:rsidRPr="006D2F6B" w:rsidR="00EB70CE" w:rsidP="00654356" w:rsidRDefault="00F3358A" w14:paraId="5982A543" w14:textId="4B8254C0">
            <w:r>
              <w:t xml:space="preserve">To be determined at the end of term 1, 2021. </w:t>
            </w:r>
          </w:p>
        </w:tc>
        <w:tc>
          <w:tcPr>
            <w:tcW w:w="790" w:type="dxa"/>
            <w:shd w:val="clear" w:color="auto" w:fill="auto"/>
            <w:tcMar/>
          </w:tcPr>
          <w:p w:rsidRPr="006D2F6B" w:rsidR="00EB70CE" w:rsidP="00654356" w:rsidRDefault="00EB70CE" w14:paraId="040ADB54" w14:textId="7F597F71">
            <w:r w:rsidR="219C0A8A">
              <w:rPr/>
              <w:t>TBC</w:t>
            </w:r>
          </w:p>
        </w:tc>
        <w:tc>
          <w:tcPr>
            <w:tcW w:w="790" w:type="dxa"/>
            <w:shd w:val="clear" w:color="auto" w:fill="auto"/>
            <w:tcMar/>
          </w:tcPr>
          <w:p w:rsidRPr="006D2F6B" w:rsidR="00EB70CE" w:rsidP="00654356" w:rsidRDefault="00EB70CE" w14:paraId="2F8CD83E" w14:textId="77777777"/>
        </w:tc>
        <w:tc>
          <w:tcPr>
            <w:tcW w:w="790" w:type="dxa"/>
            <w:shd w:val="clear" w:color="auto" w:fill="auto"/>
            <w:tcMar/>
          </w:tcPr>
          <w:p w:rsidRPr="006D2F6B" w:rsidR="00EB70CE" w:rsidP="00654356" w:rsidRDefault="00EB70CE" w14:paraId="49509B3D" w14:textId="77777777"/>
        </w:tc>
        <w:tc>
          <w:tcPr>
            <w:tcW w:w="791" w:type="dxa"/>
            <w:shd w:val="clear" w:color="auto" w:fill="auto"/>
            <w:tcMar/>
          </w:tcPr>
          <w:p w:rsidRPr="006D2F6B" w:rsidR="00EB70CE" w:rsidP="00654356" w:rsidRDefault="00EB70CE" w14:paraId="34604F66" w14:textId="77777777"/>
        </w:tc>
      </w:tr>
    </w:tbl>
    <w:p w:rsidRPr="00E061B8" w:rsidR="00EB70CE" w:rsidP="005C7432" w:rsidRDefault="00EB70CE" w14:paraId="05EC0CAB" w14:textId="77777777">
      <w:pPr>
        <w:pStyle w:val="Heading3"/>
      </w:pPr>
      <w:r w:rsidRPr="00E061B8">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rsidTr="3765761F" w14:paraId="315630D6" w14:textId="77777777">
        <w:trPr>
          <w:trHeight w:val="401"/>
          <w:jc w:val="center"/>
        </w:trPr>
        <w:tc>
          <w:tcPr>
            <w:tcW w:w="9027" w:type="dxa"/>
            <w:shd w:val="clear" w:color="auto" w:fill="auto"/>
            <w:tcMar/>
          </w:tcPr>
          <w:p w:rsidR="00A150B8" w:rsidP="31B27EEE" w:rsidRDefault="00A150B8" w14:paraId="281CC45B" w14:textId="23DC35E6">
            <w:pPr>
              <w:pStyle w:val="PlainText"/>
              <w:numPr>
                <w:ilvl w:val="0"/>
                <w:numId w:val="24"/>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sz w:val="22"/>
                <w:szCs w:val="22"/>
              </w:rPr>
            </w:pPr>
            <w:r w:rsidR="31B27EEE">
              <w:rPr/>
              <w:t xml:space="preserve">Evidence in </w:t>
            </w:r>
            <w:r w:rsidR="31B27EEE">
              <w:rPr/>
              <w:t>perception</w:t>
            </w:r>
            <w:r w:rsidR="31B27EEE">
              <w:rPr/>
              <w:t xml:space="preserve"> data saw a 10% decrease in students who strongly agree and agree that “teachers give useful feedback”</w:t>
            </w:r>
            <w:r w:rsidR="31B27EEE">
              <w:rPr/>
              <w:t xml:space="preserve">.  </w:t>
            </w:r>
            <w:r w:rsidR="31B27EEE">
              <w:rPr/>
              <w:t>No direct correlation between this target and strategic actions were determined in 2021.</w:t>
            </w:r>
          </w:p>
          <w:p w:rsidR="00A150B8" w:rsidP="60AF299C" w:rsidRDefault="00A150B8" w14:paraId="1ED2B27C" w14:textId="68C45283">
            <w:pPr>
              <w:pStyle w:val="PlainText"/>
              <w:numPr>
                <w:ilvl w:val="0"/>
                <w:numId w:val="24"/>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sz w:val="22"/>
                <w:szCs w:val="22"/>
              </w:rPr>
            </w:pPr>
            <w:r w:rsidR="31B27EEE">
              <w:rPr/>
              <w:t>Limited targets and measures (based on Sys</w:t>
            </w:r>
            <w:r w:rsidR="31B27EEE">
              <w:rPr/>
              <w:t xml:space="preserve">tem Data of NAPLAN) have </w:t>
            </w:r>
            <w:r w:rsidR="31B27EEE">
              <w:rPr/>
              <w:t xml:space="preserve">mid-cycle </w:t>
            </w:r>
            <w:r w:rsidR="31B27EEE">
              <w:rPr/>
              <w:t>analysis</w:t>
            </w:r>
            <w:r w:rsidR="31B27EEE">
              <w:rPr/>
              <w:t xml:space="preserve"> of the Strategic plan using set data is limited and does not holistically show impact of strategies in the plan.</w:t>
            </w:r>
            <w:r w:rsidR="31B27EEE">
              <w:rPr/>
              <w:t xml:space="preserve"> A need for fine-tuning measures and targets is required to ensure consistency and reflection of implementation.</w:t>
            </w:r>
          </w:p>
          <w:p w:rsidR="60AF299C" w:rsidP="219C0A8A" w:rsidRDefault="60AF299C" w14:paraId="292949A3" w14:textId="06974F03">
            <w:pPr>
              <w:pStyle w:val="PlainText"/>
              <w:numPr>
                <w:ilvl w:val="0"/>
                <w:numId w:val="24"/>
              </w:numPr>
              <w:bidi w:val="0"/>
              <w:spacing w:before="0" w:beforeAutospacing="off" w:after="0" w:afterAutospacing="off" w:line="240" w:lineRule="auto"/>
              <w:ind w:right="0"/>
              <w:jc w:val="left"/>
              <w:rPr>
                <w:sz w:val="22"/>
                <w:szCs w:val="22"/>
              </w:rPr>
            </w:pPr>
            <w:r w:rsidRPr="219C0A8A" w:rsidR="72570BC1">
              <w:rPr>
                <w:rFonts w:ascii="Calibri" w:hAnsi="Calibri" w:eastAsia="Calibri" w:cs="Consolas"/>
                <w:sz w:val="22"/>
                <w:szCs w:val="22"/>
              </w:rPr>
              <w:t xml:space="preserve">Deep diving into NAPLAN data shows a distinct </w:t>
            </w:r>
            <w:r w:rsidRPr="219C0A8A" w:rsidR="72570BC1">
              <w:rPr>
                <w:rFonts w:ascii="Calibri" w:hAnsi="Calibri" w:eastAsia="Calibri" w:cs="Consolas"/>
                <w:sz w:val="22"/>
                <w:szCs w:val="22"/>
              </w:rPr>
              <w:t>difference</w:t>
            </w:r>
            <w:r w:rsidRPr="219C0A8A" w:rsidR="72570BC1">
              <w:rPr>
                <w:rFonts w:ascii="Calibri" w:hAnsi="Calibri" w:eastAsia="Calibri" w:cs="Consolas"/>
                <w:sz w:val="22"/>
                <w:szCs w:val="22"/>
              </w:rPr>
              <w:t xml:space="preserve"> in achievement between male and female students.</w:t>
            </w:r>
          </w:p>
          <w:p w:rsidR="219C0A8A" w:rsidP="219C0A8A" w:rsidRDefault="219C0A8A" w14:paraId="09ADD505" w14:textId="6512448A">
            <w:pPr>
              <w:pStyle w:val="PlainText"/>
              <w:numPr>
                <w:ilvl w:val="0"/>
                <w:numId w:val="24"/>
              </w:numPr>
              <w:bidi w:val="0"/>
              <w:spacing w:before="0" w:beforeAutospacing="off" w:after="0" w:afterAutospacing="off" w:line="240" w:lineRule="auto"/>
              <w:ind w:right="0"/>
              <w:jc w:val="left"/>
              <w:rPr>
                <w:sz w:val="22"/>
                <w:szCs w:val="22"/>
              </w:rPr>
            </w:pPr>
            <w:r w:rsidRPr="219C0A8A" w:rsidR="219C0A8A">
              <w:rPr>
                <w:rFonts w:ascii="Calibri" w:hAnsi="Calibri" w:eastAsia="Calibri" w:cs="Consolas"/>
                <w:sz w:val="22"/>
                <w:szCs w:val="22"/>
              </w:rPr>
              <w:t xml:space="preserve">Year 3 male students outperformed both the state and </w:t>
            </w:r>
            <w:r w:rsidRPr="219C0A8A" w:rsidR="219C0A8A">
              <w:rPr>
                <w:rFonts w:ascii="Calibri" w:hAnsi="Calibri" w:eastAsia="Calibri" w:cs="Consolas"/>
                <w:sz w:val="22"/>
                <w:szCs w:val="22"/>
              </w:rPr>
              <w:t>statistically</w:t>
            </w:r>
            <w:r w:rsidRPr="219C0A8A" w:rsidR="219C0A8A">
              <w:rPr>
                <w:rFonts w:ascii="Calibri" w:hAnsi="Calibri" w:eastAsia="Calibri" w:cs="Consolas"/>
                <w:sz w:val="22"/>
                <w:szCs w:val="22"/>
              </w:rPr>
              <w:t xml:space="preserve"> similar schools (SSSG), whilst females were below SSSG but above state average.</w:t>
            </w:r>
          </w:p>
          <w:p w:rsidR="219C0A8A" w:rsidP="219C0A8A" w:rsidRDefault="219C0A8A" w14:paraId="0B16F3F0" w14:textId="644AA0DD">
            <w:pPr>
              <w:pStyle w:val="PlainText"/>
              <w:numPr>
                <w:ilvl w:val="0"/>
                <w:numId w:val="24"/>
              </w:numPr>
              <w:bidi w:val="0"/>
              <w:spacing w:before="0" w:beforeAutospacing="off" w:after="0" w:afterAutospacing="off" w:line="240" w:lineRule="auto"/>
              <w:ind w:right="0"/>
              <w:jc w:val="left"/>
              <w:rPr>
                <w:sz w:val="22"/>
                <w:szCs w:val="22"/>
              </w:rPr>
            </w:pPr>
            <w:r w:rsidRPr="3765761F" w:rsidR="377DC7FF">
              <w:rPr>
                <w:rFonts w:ascii="Calibri" w:hAnsi="Calibri" w:eastAsia="Calibri" w:cs="Consolas"/>
                <w:sz w:val="22"/>
                <w:szCs w:val="22"/>
              </w:rPr>
              <w:t>Year 5 male students were below SSSG but above the ACT average score</w:t>
            </w:r>
            <w:r w:rsidRPr="3765761F" w:rsidR="377DC7FF">
              <w:rPr>
                <w:rFonts w:ascii="Calibri" w:hAnsi="Calibri" w:eastAsia="Calibri" w:cs="Consolas"/>
                <w:sz w:val="22"/>
                <w:szCs w:val="22"/>
              </w:rPr>
              <w:t>.  Y</w:t>
            </w:r>
            <w:r w:rsidRPr="3765761F" w:rsidR="377DC7FF">
              <w:rPr>
                <w:rFonts w:ascii="Calibri" w:hAnsi="Calibri" w:eastAsia="Calibri" w:cs="Consolas"/>
                <w:sz w:val="22"/>
                <w:szCs w:val="22"/>
              </w:rPr>
              <w:t xml:space="preserve">ear 5 female students </w:t>
            </w:r>
            <w:r w:rsidRPr="3765761F" w:rsidR="377DC7FF">
              <w:rPr>
                <w:rFonts w:ascii="Calibri" w:hAnsi="Calibri" w:eastAsia="Calibri" w:cs="Consolas"/>
                <w:sz w:val="22"/>
                <w:szCs w:val="22"/>
              </w:rPr>
              <w:t>demonstrated</w:t>
            </w:r>
            <w:r w:rsidRPr="3765761F" w:rsidR="377DC7FF">
              <w:rPr>
                <w:rFonts w:ascii="Calibri" w:hAnsi="Calibri" w:eastAsia="Calibri" w:cs="Consolas"/>
                <w:sz w:val="22"/>
                <w:szCs w:val="22"/>
              </w:rPr>
              <w:t xml:space="preserve"> a </w:t>
            </w:r>
            <w:r w:rsidRPr="3765761F" w:rsidR="377DC7FF">
              <w:rPr>
                <w:rFonts w:ascii="Calibri" w:hAnsi="Calibri" w:eastAsia="Calibri" w:cs="Consolas"/>
                <w:sz w:val="22"/>
                <w:szCs w:val="22"/>
              </w:rPr>
              <w:t>20-point</w:t>
            </w:r>
            <w:r w:rsidRPr="3765761F" w:rsidR="377DC7FF">
              <w:rPr>
                <w:rFonts w:ascii="Calibri" w:hAnsi="Calibri" w:eastAsia="Calibri" w:cs="Consolas"/>
                <w:sz w:val="22"/>
                <w:szCs w:val="22"/>
              </w:rPr>
              <w:t xml:space="preserve"> decrease from the ACT average, and a </w:t>
            </w:r>
            <w:r w:rsidRPr="3765761F" w:rsidR="377DC7FF">
              <w:rPr>
                <w:rFonts w:ascii="Calibri" w:hAnsi="Calibri" w:eastAsia="Calibri" w:cs="Consolas"/>
                <w:sz w:val="22"/>
                <w:szCs w:val="22"/>
              </w:rPr>
              <w:t>43-point</w:t>
            </w:r>
            <w:r w:rsidRPr="3765761F" w:rsidR="377DC7FF">
              <w:rPr>
                <w:rFonts w:ascii="Calibri" w:hAnsi="Calibri" w:eastAsia="Calibri" w:cs="Consolas"/>
                <w:sz w:val="22"/>
                <w:szCs w:val="22"/>
              </w:rPr>
              <w:t xml:space="preserve"> decrease difference from SSAG.</w:t>
            </w:r>
          </w:p>
          <w:p w:rsidR="219C0A8A" w:rsidP="219C0A8A" w:rsidRDefault="219C0A8A" w14:paraId="1506BB9F" w14:textId="424132B6">
            <w:pPr>
              <w:pStyle w:val="PlainText"/>
              <w:numPr>
                <w:ilvl w:val="0"/>
                <w:numId w:val="24"/>
              </w:numPr>
              <w:bidi w:val="0"/>
              <w:spacing w:before="0" w:beforeAutospacing="off" w:after="0" w:afterAutospacing="off" w:line="240" w:lineRule="auto"/>
              <w:ind w:right="0"/>
              <w:jc w:val="left"/>
              <w:rPr>
                <w:sz w:val="22"/>
                <w:szCs w:val="22"/>
              </w:rPr>
            </w:pPr>
            <w:r w:rsidRPr="3765761F" w:rsidR="377DC7FF">
              <w:rPr>
                <w:rFonts w:ascii="Calibri" w:hAnsi="Calibri" w:eastAsia="Calibri" w:cs="Consolas"/>
                <w:sz w:val="22"/>
                <w:szCs w:val="22"/>
              </w:rPr>
              <w:t xml:space="preserve">Year 3 Numeracy data show 58.8% of students in the top two </w:t>
            </w:r>
            <w:r w:rsidRPr="3765761F" w:rsidR="377DC7FF">
              <w:rPr>
                <w:rFonts w:ascii="Calibri" w:hAnsi="Calibri" w:eastAsia="Calibri" w:cs="Consolas"/>
                <w:sz w:val="22"/>
                <w:szCs w:val="22"/>
              </w:rPr>
              <w:t>bands</w:t>
            </w:r>
            <w:r w:rsidRPr="3765761F" w:rsidR="377DC7FF">
              <w:rPr>
                <w:rFonts w:ascii="Calibri" w:hAnsi="Calibri" w:eastAsia="Calibri" w:cs="Consolas"/>
                <w:sz w:val="22"/>
                <w:szCs w:val="22"/>
              </w:rPr>
              <w:t xml:space="preserve"> whilst year 5 had 46.6%.</w:t>
            </w:r>
          </w:p>
          <w:p w:rsidR="00A150B8" w:rsidP="31B27EEE" w:rsidRDefault="00A150B8" w14:paraId="17DDC188" w14:textId="6D5933AF">
            <w:pPr>
              <w:pStyle w:val="PlainText"/>
              <w:bidi w:val="0"/>
              <w:spacing w:before="0" w:beforeAutospacing="off" w:after="0" w:afterAutospacing="off" w:line="240" w:lineRule="auto"/>
              <w:ind w:left="0" w:right="0"/>
              <w:jc w:val="left"/>
              <w:rPr>
                <w:rFonts w:ascii="Calibri" w:hAnsi="Calibri" w:eastAsia="Calibri" w:cs="Consolas"/>
                <w:highlight w:val="yellow"/>
              </w:rPr>
            </w:pPr>
          </w:p>
        </w:tc>
      </w:tr>
    </w:tbl>
    <w:p w:rsidR="00937D6F" w:rsidP="00937D6F" w:rsidRDefault="00937D6F" w14:paraId="529C3E95" w14:textId="0BE20FDE">
      <w:pPr>
        <w:pStyle w:val="Heading3"/>
      </w:pPr>
      <w:r>
        <w:lastRenderedPageBreak/>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rsidTr="3765761F" w14:paraId="2AEE622D" w14:textId="77777777">
        <w:trPr>
          <w:trHeight w:val="223"/>
          <w:jc w:val="center"/>
        </w:trPr>
        <w:tc>
          <w:tcPr>
            <w:tcW w:w="9027" w:type="dxa"/>
            <w:shd w:val="clear" w:color="auto" w:fill="auto"/>
            <w:tcMar/>
          </w:tcPr>
          <w:p w:rsidRPr="00CE5293" w:rsidR="00D9630F" w:rsidP="00D9630F" w:rsidRDefault="00D9630F" w14:paraId="50E840C6" w14:textId="77777777">
            <w:pPr>
              <w:pStyle w:val="BodyText"/>
              <w:rPr>
                <w:b/>
                <w:bCs/>
                <w:iCs/>
              </w:rPr>
            </w:pPr>
            <w:r w:rsidRPr="007D4779">
              <w:rPr>
                <w:b/>
                <w:bCs/>
                <w:iCs/>
              </w:rPr>
              <w:t>To facilitate high quality teaching in ACT public schools and strengthen educational outcomes.</w:t>
            </w:r>
          </w:p>
          <w:p w:rsidR="6E120198" w:rsidP="31B27EEE" w:rsidRDefault="6E120198" w14:paraId="5A0C037B" w14:textId="19481F21">
            <w:pPr>
              <w:pStyle w:val="ListBullet"/>
              <w:rPr/>
            </w:pPr>
            <w:r w:rsidR="6E120198">
              <w:rPr/>
              <w:t>Limited achievements due to COVID interruptions and change of leadership team</w:t>
            </w:r>
          </w:p>
          <w:p w:rsidR="6E120198" w:rsidP="31B27EEE" w:rsidRDefault="6E120198" w14:paraId="39072937" w14:textId="1B899E0C">
            <w:pPr>
              <w:pStyle w:val="ListBullet"/>
              <w:rPr/>
            </w:pPr>
            <w:r w:rsidR="6D90E7E2">
              <w:rPr/>
              <w:t xml:space="preserve">2022 planning of Maths </w:t>
            </w:r>
            <w:r w:rsidR="6D90E7E2">
              <w:rPr/>
              <w:t>PL (Professional Learning)</w:t>
            </w:r>
            <w:r w:rsidR="6D90E7E2">
              <w:rPr/>
              <w:t xml:space="preserve"> in Week 0 to support whole </w:t>
            </w:r>
            <w:r w:rsidR="6D90E7E2">
              <w:rPr/>
              <w:t>school</w:t>
            </w:r>
            <w:r w:rsidR="6D90E7E2">
              <w:rPr/>
              <w:t xml:space="preserve"> approaches</w:t>
            </w:r>
          </w:p>
          <w:p w:rsidRPr="00CA26FB" w:rsidR="00937D6F" w:rsidP="60AF299C" w:rsidRDefault="00B21795" w14:paraId="4F19C6D9" w14:textId="4E3C6BAA">
            <w:pPr>
              <w:pStyle w:val="ListBullet"/>
              <w:numPr>
                <w:numId w:val="0"/>
              </w:numPr>
              <w:ind w:left="0"/>
            </w:pPr>
          </w:p>
        </w:tc>
      </w:tr>
    </w:tbl>
    <w:p w:rsidR="00937D6F" w:rsidP="00937D6F" w:rsidRDefault="00937D6F" w14:paraId="16392F0B" w14:textId="77777777">
      <w:pPr>
        <w:pStyle w:val="BodyText"/>
      </w:pPr>
    </w:p>
    <w:p w:rsidR="00937D6F" w:rsidP="00937D6F" w:rsidRDefault="00937D6F" w14:paraId="2ACE728B" w14:textId="4B929145">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rsidTr="219C0A8A" w14:paraId="078B8E06" w14:textId="77777777">
        <w:trPr>
          <w:trHeight w:val="116"/>
          <w:jc w:val="center"/>
        </w:trPr>
        <w:tc>
          <w:tcPr>
            <w:tcW w:w="9027" w:type="dxa"/>
            <w:shd w:val="clear" w:color="auto" w:fill="auto"/>
            <w:tcMar/>
          </w:tcPr>
          <w:p w:rsidR="31B27EEE" w:rsidP="31B27EEE" w:rsidRDefault="31B27EEE" w14:paraId="57D0D54D" w14:textId="1C67164F">
            <w:pPr>
              <w:pStyle w:val="ListBullet"/>
              <w:bidi w:val="0"/>
              <w:spacing w:before="0" w:beforeAutospacing="off" w:after="0" w:afterAutospacing="off" w:line="259" w:lineRule="auto"/>
              <w:ind w:left="360" w:right="0" w:hanging="360"/>
              <w:jc w:val="left"/>
              <w:rPr>
                <w:rFonts w:ascii="Calibri" w:hAnsi="Calibri" w:eastAsia="Calibri" w:cs="Calibri" w:asciiTheme="minorAscii" w:hAnsiTheme="minorAscii" w:eastAsiaTheme="minorAscii" w:cstheme="minorAscii"/>
                <w:sz w:val="22"/>
                <w:szCs w:val="22"/>
              </w:rPr>
            </w:pPr>
            <w:r w:rsidR="31B27EEE">
              <w:rPr/>
              <w:t xml:space="preserve">Investigate coaching process to support expert teaching in mathematics </w:t>
            </w:r>
          </w:p>
          <w:p w:rsidR="31B27EEE" w:rsidP="31B27EEE" w:rsidRDefault="31B27EEE" w14:paraId="3EE61DE1" w14:textId="56D0FEFB">
            <w:pPr>
              <w:pStyle w:val="ListBullet"/>
              <w:bidi w:val="0"/>
              <w:spacing w:before="0" w:beforeAutospacing="off" w:after="0" w:afterAutospacing="off" w:line="259" w:lineRule="auto"/>
              <w:ind w:left="360" w:right="0" w:hanging="360"/>
              <w:jc w:val="left"/>
              <w:rPr>
                <w:rFonts w:ascii="Calibri" w:hAnsi="Calibri" w:eastAsia="Calibri" w:cs="Calibri" w:asciiTheme="minorAscii" w:hAnsiTheme="minorAscii" w:eastAsiaTheme="minorAscii" w:cstheme="minorAscii"/>
                <w:sz w:val="22"/>
                <w:szCs w:val="22"/>
              </w:rPr>
            </w:pPr>
            <w:r w:rsidR="31B27EEE">
              <w:rPr/>
              <w:t>Mid-cycle review with NSIT / School review processes to re-target and direct school plan</w:t>
            </w:r>
          </w:p>
          <w:p w:rsidR="00647CC9" w:rsidP="00647CC9" w:rsidRDefault="002F4B42" w14:paraId="7CF74EC7" w14:textId="53AE5DEC">
            <w:pPr>
              <w:pStyle w:val="ListBullet"/>
              <w:rPr/>
            </w:pPr>
            <w:r w:rsidR="3DBAE4A1">
              <w:rPr/>
              <w:t xml:space="preserve">Explore small data sets </w:t>
            </w:r>
            <w:r w:rsidR="3DBAE4A1">
              <w:rPr/>
              <w:t>through</w:t>
            </w:r>
            <w:r w:rsidR="3DBAE4A1">
              <w:rPr/>
              <w:t xml:space="preserve"> the PLC process to track impact of teaching and learning</w:t>
            </w:r>
          </w:p>
          <w:p w:rsidR="00647CC9" w:rsidP="00647CC9" w:rsidRDefault="002F4B42" w14:paraId="4D0D0527" w14:textId="377BAA79">
            <w:pPr>
              <w:pStyle w:val="ListBullet"/>
              <w:rPr/>
            </w:pPr>
            <w:r w:rsidR="219C0A8A">
              <w:rPr/>
              <w:t>Invest time to explore baseline data in all year levels to track student outcomes in multiple sources of data to triangulate impact of strategies employed.</w:t>
            </w:r>
          </w:p>
        </w:tc>
      </w:tr>
    </w:tbl>
    <w:p w:rsidR="00937D6F" w:rsidP="00937D6F" w:rsidRDefault="00937D6F" w14:paraId="0FD44264" w14:textId="77777777">
      <w:pPr>
        <w:pStyle w:val="BodyText"/>
      </w:pPr>
    </w:p>
    <w:p w:rsidR="00EB70CE" w:rsidP="00EB70CE" w:rsidRDefault="00EB70CE" w14:paraId="5D03B15F" w14:textId="77777777">
      <w:pPr>
        <w:rPr>
          <w:b/>
        </w:rPr>
      </w:pPr>
      <w:r>
        <w:rPr>
          <w:b/>
        </w:rPr>
        <w:br w:type="page"/>
      </w:r>
    </w:p>
    <w:p w:rsidRPr="00557F65" w:rsidR="00271528" w:rsidP="00E061B8" w:rsidRDefault="00271528" w14:paraId="05A9A145" w14:textId="77777777">
      <w:pPr>
        <w:pStyle w:val="Heading2"/>
      </w:pPr>
      <w:r>
        <w:lastRenderedPageBreak/>
        <w:t>Reporting on preschool improvement</w:t>
      </w:r>
    </w:p>
    <w:p w:rsidR="00271528" w:rsidP="009B454E" w:rsidRDefault="00271528" w14:paraId="579C7EB3" w14:textId="1B370386">
      <w:pPr>
        <w:pStyle w:val="BodyText"/>
      </w:pPr>
      <w:r>
        <w:t>All schools</w:t>
      </w:r>
      <w:r w:rsidR="00557F65">
        <w:t xml:space="preserve"> with a preschool setting are required to </w:t>
      </w:r>
      <w:r>
        <w:t>annually</w:t>
      </w:r>
      <w:r w:rsidR="00557F65">
        <w:t xml:space="preserve"> </w:t>
      </w:r>
      <w:r>
        <w:t>review and update their Quality Impr</w:t>
      </w:r>
      <w:r w:rsidR="0024781C">
        <w:t>ovement Plan*</w:t>
      </w:r>
      <w:r>
        <w:t xml:space="preserve">. Schools have a choice to </w:t>
      </w:r>
      <w:r w:rsidR="00AF0BBA">
        <w:t xml:space="preserve">report progress and achievements </w:t>
      </w:r>
      <w:r>
        <w:t xml:space="preserve">either </w:t>
      </w:r>
      <w:r w:rsidR="00AF0BBA">
        <w:t xml:space="preserve">within their </w:t>
      </w:r>
      <w:r>
        <w:t xml:space="preserve">QIP </w:t>
      </w:r>
      <w:r w:rsidR="00AF0BBA">
        <w:t xml:space="preserve">or in the </w:t>
      </w:r>
      <w:r w:rsidR="00282D2C">
        <w:t>section below.</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271528" w:rsidTr="31B27EEE" w14:paraId="330CC8EA" w14:textId="77777777">
        <w:trPr>
          <w:trHeight w:val="76"/>
          <w:jc w:val="center"/>
        </w:trPr>
        <w:tc>
          <w:tcPr>
            <w:tcW w:w="9016" w:type="dxa"/>
            <w:shd w:val="clear" w:color="auto" w:fill="auto"/>
            <w:tcMar/>
          </w:tcPr>
          <w:p w:rsidR="00271528" w:rsidP="007370DC" w:rsidRDefault="007370DC" w14:paraId="29B5806E" w14:textId="3C8D8A96">
            <w:pPr>
              <w:pStyle w:val="ListBullet"/>
              <w:rPr/>
            </w:pPr>
            <w:r w:rsidR="2CD31C68">
              <w:rPr/>
              <w:t>See QIP</w:t>
            </w:r>
          </w:p>
        </w:tc>
      </w:tr>
    </w:tbl>
    <w:p w:rsidR="00271528" w:rsidP="009B454E" w:rsidRDefault="00610A38" w14:paraId="0C848164" w14:textId="77777777">
      <w:pPr>
        <w:pStyle w:val="BodyText"/>
      </w:pPr>
      <w:r w:rsidRPr="0024781C">
        <w:rPr>
          <w:i/>
        </w:rPr>
        <w:t>*A copy of the QIP is available for viewing at the school.</w:t>
      </w:r>
    </w:p>
    <w:sectPr w:rsidR="00271528" w:rsidSect="00C77B0A">
      <w:headerReference w:type="default" r:id="rId10"/>
      <w:footerReference w:type="default" r:id="rId11"/>
      <w:headerReference w:type="firs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BAD" w:rsidP="00CA0BAD" w:rsidRDefault="00CA0BAD" w14:paraId="40755A95" w14:textId="77777777">
      <w:pPr>
        <w:spacing w:after="0" w:line="240" w:lineRule="auto"/>
      </w:pPr>
      <w:r>
        <w:separator/>
      </w:r>
    </w:p>
  </w:endnote>
  <w:endnote w:type="continuationSeparator" w:id="0">
    <w:p w:rsidR="00CA0BAD" w:rsidP="00CA0BAD" w:rsidRDefault="00CA0BAD" w14:paraId="1684B00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rsidRPr="00BF488D" w:rsidR="008679D5" w:rsidP="008679D5" w:rsidRDefault="008679D5" w14:paraId="2D64F8C0" w14:textId="583790F4">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F536D7">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F536D7">
              <w:rPr>
                <w:rFonts w:ascii="Arial" w:hAnsi="Arial" w:cs="Arial"/>
                <w:color w:val="808080" w:themeColor="background1" w:themeShade="80"/>
                <w:sz w:val="20"/>
                <w:szCs w:val="20"/>
              </w:rPr>
              <w:t xml:space="preserve"> </w:t>
            </w:r>
            <w:r w:rsidR="00F536D7">
              <w:rPr>
                <w:rFonts w:ascii="Arial" w:hAnsi="Arial" w:cs="Arial"/>
                <w:color w:val="808080" w:themeColor="background1" w:themeShade="80"/>
                <w:sz w:val="20"/>
                <w:szCs w:val="20"/>
              </w:rPr>
              <w:fldChar w:fldCharType="begin"/>
            </w:r>
            <w:r w:rsidR="00F536D7">
              <w:rPr>
                <w:rFonts w:ascii="Arial" w:hAnsi="Arial" w:cs="Arial"/>
                <w:color w:val="808080" w:themeColor="background1" w:themeShade="80"/>
                <w:sz w:val="20"/>
                <w:szCs w:val="20"/>
              </w:rPr>
              <w:instrText xml:space="preserve"> SAVEDATE  \@ "dddd, d MMMM yyyy"  \* MERGEFORMAT </w:instrText>
            </w:r>
            <w:r w:rsidR="00F536D7">
              <w:rPr>
                <w:rFonts w:ascii="Arial" w:hAnsi="Arial" w:cs="Arial"/>
                <w:color w:val="808080" w:themeColor="background1" w:themeShade="80"/>
                <w:sz w:val="20"/>
                <w:szCs w:val="20"/>
              </w:rPr>
              <w:fldChar w:fldCharType="separate"/>
            </w:r>
            <w:r w:rsidR="00552FBC">
              <w:rPr>
                <w:rFonts w:ascii="Arial" w:hAnsi="Arial" w:cs="Arial"/>
                <w:noProof/>
                <w:color w:val="808080" w:themeColor="background1" w:themeShade="80"/>
                <w:sz w:val="20"/>
                <w:szCs w:val="20"/>
              </w:rPr>
              <w:t>Thursday, 4 February 2021</w:t>
            </w:r>
            <w:r w:rsidR="00F536D7">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rsidRPr="008679D5" w:rsidR="00CA0BAD" w:rsidP="008679D5" w:rsidRDefault="008679D5" w14:paraId="15A7ACBA" w14:textId="77777777">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w:t>
        </w:r>
        <w:r w:rsidRPr="00D5105D" w:rsidR="00846E51">
          <w:rPr>
            <w:rFonts w:ascii="Arial" w:hAnsi="Arial" w:cs="Arial"/>
            <w:b/>
            <w:color w:val="000000" w:themeColor="text1"/>
            <w:sz w:val="18"/>
            <w:szCs w:val="18"/>
          </w:rPr>
          <w:t xml:space="preserve">Analysis </w:t>
        </w:r>
        <w:r w:rsidRPr="00D5105D" w:rsidR="00846E51">
          <w:rPr>
            <w:rFonts w:ascii="Wingdings" w:hAnsi="Wingdings" w:eastAsia="Wingdings" w:cs="Wingdings"/>
            <w:b/>
            <w:color w:val="A6A6A6" w:themeColor="background1" w:themeShade="A6"/>
            <w:sz w:val="18"/>
            <w:szCs w:val="18"/>
          </w:rPr>
          <w:t>à</w:t>
        </w:r>
        <w:r w:rsidRPr="00D5105D" w:rsidR="00846E51">
          <w:rPr>
            <w:rFonts w:ascii="Arial" w:hAnsi="Arial" w:cs="Arial"/>
            <w:b/>
            <w:color w:val="A6A6A6" w:themeColor="background1" w:themeShade="A6"/>
            <w:sz w:val="18"/>
            <w:szCs w:val="18"/>
          </w:rPr>
          <w:t xml:space="preserve"> </w:t>
        </w:r>
        <w:r w:rsidRPr="00566883" w:rsidR="00846E51">
          <w:rPr>
            <w:rFonts w:ascii="Arial" w:hAnsi="Arial" w:cs="Arial"/>
            <w:b/>
            <w:color w:val="000000" w:themeColor="text1"/>
            <w:sz w:val="18"/>
            <w:szCs w:val="18"/>
          </w:rPr>
          <w:t>Priorities</w:t>
        </w:r>
        <w:r w:rsidRPr="00D5105D" w:rsidR="00846E51">
          <w:rPr>
            <w:rFonts w:ascii="Arial" w:hAnsi="Arial" w:cs="Arial"/>
            <w:b/>
            <w:color w:val="FF0000"/>
            <w:sz w:val="24"/>
            <w:szCs w:val="18"/>
          </w:rPr>
          <w:t xml:space="preserve"> </w:t>
        </w:r>
        <w:r w:rsidRPr="00D5105D" w:rsidR="00846E51">
          <w:rPr>
            <w:rFonts w:ascii="Wingdings" w:hAnsi="Wingdings" w:eastAsia="Wingdings" w:cs="Wingdings"/>
            <w:b/>
            <w:color w:val="A6A6A6" w:themeColor="background1" w:themeShade="A6"/>
            <w:sz w:val="18"/>
            <w:szCs w:val="18"/>
          </w:rPr>
          <w:t>à</w:t>
        </w:r>
        <w:r w:rsidRPr="00D5105D" w:rsidR="00846E51">
          <w:rPr>
            <w:rFonts w:ascii="Arial" w:hAnsi="Arial" w:cs="Arial"/>
            <w:b/>
            <w:color w:val="A6A6A6" w:themeColor="background1" w:themeShade="A6"/>
            <w:sz w:val="18"/>
            <w:szCs w:val="18"/>
          </w:rPr>
          <w:t xml:space="preserve"> </w:t>
        </w:r>
        <w:bookmarkStart w:name="_Hlk527701860" w:id="1"/>
        <w:r w:rsidRPr="00846E51" w:rsidR="00846E51">
          <w:rPr>
            <w:rFonts w:ascii="Arial" w:hAnsi="Arial" w:cs="Arial"/>
            <w:b/>
            <w:color w:val="000000" w:themeColor="text1"/>
            <w:sz w:val="18"/>
            <w:szCs w:val="18"/>
          </w:rPr>
          <w:t>Strategies</w:t>
        </w:r>
        <w:r w:rsidR="00846E51">
          <w:rPr>
            <w:rFonts w:ascii="Arial" w:hAnsi="Arial" w:cs="Arial"/>
            <w:b/>
            <w:color w:val="A6A6A6" w:themeColor="background1" w:themeShade="A6"/>
            <w:sz w:val="18"/>
            <w:szCs w:val="18"/>
          </w:rPr>
          <w:t xml:space="preserve"> </w:t>
        </w:r>
        <w:r w:rsidRPr="00D5105D" w:rsidR="00846E51">
          <w:rPr>
            <w:rFonts w:ascii="Wingdings" w:hAnsi="Wingdings" w:eastAsia="Wingdings" w:cs="Wingdings"/>
            <w:b/>
            <w:color w:val="A6A6A6" w:themeColor="background1" w:themeShade="A6"/>
            <w:sz w:val="18"/>
            <w:szCs w:val="18"/>
          </w:rPr>
          <w:t>à</w:t>
        </w:r>
        <w:bookmarkEnd w:id="1"/>
        <w:r w:rsidRPr="00D5105D" w:rsidR="00846E51">
          <w:rPr>
            <w:rFonts w:ascii="Arial" w:hAnsi="Arial" w:cs="Arial"/>
            <w:b/>
            <w:color w:val="A6A6A6" w:themeColor="background1" w:themeShade="A6"/>
            <w:sz w:val="18"/>
            <w:szCs w:val="18"/>
          </w:rPr>
          <w:t xml:space="preserve"> </w:t>
        </w:r>
        <w:r w:rsidRPr="00846E51" w:rsidR="00846E51">
          <w:rPr>
            <w:rFonts w:ascii="Arial" w:hAnsi="Arial" w:cs="Arial"/>
            <w:b/>
            <w:color w:val="000000" w:themeColor="text1"/>
            <w:sz w:val="18"/>
            <w:szCs w:val="18"/>
          </w:rPr>
          <w:t>Actions</w:t>
        </w:r>
        <w:r w:rsidRPr="00D5105D" w:rsidR="00846E51">
          <w:rPr>
            <w:rFonts w:ascii="Arial" w:hAnsi="Arial" w:cs="Arial"/>
            <w:b/>
            <w:color w:val="000000" w:themeColor="text1"/>
            <w:sz w:val="18"/>
            <w:szCs w:val="18"/>
          </w:rPr>
          <w:t xml:space="preserve"> </w:t>
        </w:r>
        <w:r w:rsidRPr="00D5105D" w:rsidR="00846E51">
          <w:rPr>
            <w:rFonts w:ascii="Wingdings" w:hAnsi="Wingdings" w:eastAsia="Wingdings" w:cs="Wingdings"/>
            <w:b/>
            <w:color w:val="A6A6A6" w:themeColor="background1" w:themeShade="A6"/>
            <w:sz w:val="18"/>
            <w:szCs w:val="18"/>
          </w:rPr>
          <w:t>à</w:t>
        </w:r>
        <w:r w:rsidRPr="00D5105D" w:rsidR="00846E51">
          <w:rPr>
            <w:rFonts w:ascii="Arial" w:hAnsi="Arial" w:cs="Arial"/>
            <w:b/>
            <w:color w:val="A6A6A6" w:themeColor="background1" w:themeShade="A6"/>
            <w:sz w:val="18"/>
            <w:szCs w:val="18"/>
          </w:rPr>
          <w:t xml:space="preserve"> </w:t>
        </w:r>
        <w:r w:rsidRPr="00846E51" w:rsidR="00846E51">
          <w:rPr>
            <w:rFonts w:ascii="Arial" w:hAnsi="Arial" w:cs="Arial"/>
            <w:b/>
            <w:color w:val="FF0000"/>
            <w:sz w:val="24"/>
            <w:szCs w:val="18"/>
          </w:rPr>
          <w:t>Impact</w:t>
        </w:r>
        <w:r w:rsidRPr="00D5105D" w:rsidR="00846E51">
          <w:rPr>
            <w:b/>
            <w:sz w:val="18"/>
            <w:szCs w:val="18"/>
          </w:rPr>
          <w:t xml:space="preserve"> </w:t>
        </w:r>
        <w:r w:rsidRPr="00846E51" w:rsid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BAD" w:rsidP="00CA0BAD" w:rsidRDefault="00CA0BAD" w14:paraId="5AD3382C" w14:textId="77777777">
      <w:pPr>
        <w:spacing w:after="0" w:line="240" w:lineRule="auto"/>
      </w:pPr>
      <w:r>
        <w:separator/>
      </w:r>
    </w:p>
  </w:footnote>
  <w:footnote w:type="continuationSeparator" w:id="0">
    <w:p w:rsidR="00CA0BAD" w:rsidP="00CA0BAD" w:rsidRDefault="00CA0BAD" w14:paraId="5BA1BBC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F0F" w:rsidP="00377F0F" w:rsidRDefault="00377F0F" w14:paraId="6C2F128F"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377F0F" w:rsidP="00377F0F" w:rsidRDefault="00377F0F" w14:paraId="1FD5334A" w14:textId="77777777">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6F0A4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60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C0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E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0098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CBDC3EC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B2AACEA2"/>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F946B2FA"/>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FE406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7AF71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hint="default" w:ascii="Wingdings" w:hAnsi="Wingdings"/>
        <w:color w:val="000000" w:themeColor="text1"/>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1F4D00FD"/>
    <w:multiLevelType w:val="hybridMultilevel"/>
    <w:tmpl w:val="3746DA52"/>
    <w:lvl w:ilvl="0" w:tplc="3522BCF2">
      <w:start w:val="1"/>
      <w:numFmt w:val="decimal"/>
      <w:lvlText w:val="%1."/>
      <w:lvlJc w:val="left"/>
      <w:pPr>
        <w:ind w:left="720" w:hanging="360"/>
      </w:pPr>
      <w:rPr>
        <w:rFonts w:hint="default" w:ascii="Calibri" w:hAnsi="Calibri" w:cs="Calibri"/>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E22CF0"/>
    <w:multiLevelType w:val="hybridMultilevel"/>
    <w:tmpl w:val="B9C6728A"/>
    <w:lvl w:ilvl="0" w:tplc="B6764FBC">
      <w:start w:val="1"/>
      <w:numFmt w:val="bullet"/>
      <w:lvlText w:val=""/>
      <w:lvlJc w:val="left"/>
      <w:pPr>
        <w:ind w:left="720" w:hanging="360"/>
      </w:pPr>
      <w:rPr>
        <w:rFonts w:hint="default" w:ascii="Wingdings" w:hAnsi="Wingdings"/>
        <w:color w:val="000000" w:themeColor="text1"/>
      </w:rPr>
    </w:lvl>
    <w:lvl w:ilvl="1" w:tplc="5C3CDFC8">
      <w:numFmt w:val="bullet"/>
      <w:lvlText w:val="&gt;"/>
      <w:lvlJc w:val="left"/>
      <w:pPr>
        <w:ind w:left="1440" w:hanging="360"/>
      </w:pPr>
      <w:rPr>
        <w:rFonts w:hint="default" w:ascii="Calibri" w:hAnsi="Calibri" w:cstheme="minorBidi"/>
        <w:color w:val="000000" w:themeColor="text1"/>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31430A15"/>
    <w:multiLevelType w:val="hybridMultilevel"/>
    <w:tmpl w:val="9ACE391E"/>
    <w:lvl w:ilvl="0" w:tplc="D5EC5E90">
      <w:start w:val="1"/>
      <w:numFmt w:val="bullet"/>
      <w:pStyle w:val="ListBullet"/>
      <w:lvlText w:val=""/>
      <w:lvlJc w:val="left"/>
      <w:pPr>
        <w:ind w:left="360" w:hanging="360"/>
      </w:pPr>
      <w:rPr>
        <w:rFonts w:hint="default" w:ascii="Wingdings" w:hAnsi="Wingdings"/>
      </w:rPr>
    </w:lvl>
    <w:lvl w:ilvl="1" w:tplc="46A6BB66">
      <w:start w:val="1"/>
      <w:numFmt w:val="bullet"/>
      <w:pStyle w:val="ListBullet2"/>
      <w:lvlText w:val="&gt;"/>
      <w:lvlJc w:val="left"/>
      <w:pPr>
        <w:ind w:left="1080" w:hanging="360"/>
      </w:pPr>
      <w:rPr>
        <w:rFonts w:hint="default" w:ascii="Courier New" w:hAnsi="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4" w15:restartNumberingAfterBreak="0">
    <w:nsid w:val="37643769"/>
    <w:multiLevelType w:val="hybridMultilevel"/>
    <w:tmpl w:val="C7E4EA90"/>
    <w:lvl w:ilvl="0" w:tplc="0C090005">
      <w:start w:val="1"/>
      <w:numFmt w:val="bullet"/>
      <w:lvlText w:val=""/>
      <w:lvlJc w:val="left"/>
      <w:pPr>
        <w:ind w:left="360" w:hanging="360"/>
      </w:pPr>
      <w:rPr>
        <w:rFonts w:hint="default" w:ascii="Wingdings" w:hAnsi="Wingdings"/>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5" w15:restartNumberingAfterBreak="0">
    <w:nsid w:val="3C6C4141"/>
    <w:multiLevelType w:val="hybridMultilevel"/>
    <w:tmpl w:val="ABC07C5C"/>
    <w:lvl w:ilvl="0" w:tplc="AD32D45E">
      <w:numFmt w:val="bullet"/>
      <w:lvlText w:val="-"/>
      <w:lvlJc w:val="left"/>
      <w:pPr>
        <w:ind w:left="720" w:hanging="360"/>
      </w:pPr>
      <w:rPr>
        <w:rFonts w:hint="default" w:ascii="Calibri" w:hAnsi="Calibri"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483A2DE7"/>
    <w:multiLevelType w:val="hybridMultilevel"/>
    <w:tmpl w:val="3FFC377E"/>
    <w:lvl w:ilvl="0" w:tplc="B6764FBC">
      <w:start w:val="1"/>
      <w:numFmt w:val="bullet"/>
      <w:lvlText w:val=""/>
      <w:lvlJc w:val="left"/>
      <w:pPr>
        <w:ind w:left="720" w:hanging="360"/>
      </w:pPr>
      <w:rPr>
        <w:rFonts w:hint="default" w:ascii="Wingdings" w:hAnsi="Wingdings"/>
        <w:color w:val="000000" w:themeColor="text1"/>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4CD07BB5"/>
    <w:multiLevelType w:val="hybridMultilevel"/>
    <w:tmpl w:val="33407DF6"/>
    <w:lvl w:ilvl="0" w:tplc="B6764FBC">
      <w:start w:val="1"/>
      <w:numFmt w:val="bullet"/>
      <w:lvlText w:val=""/>
      <w:lvlJc w:val="left"/>
      <w:pPr>
        <w:ind w:left="770" w:hanging="360"/>
      </w:pPr>
      <w:rPr>
        <w:rFonts w:hint="default" w:ascii="Wingdings" w:hAnsi="Wingdings"/>
        <w:color w:val="000000" w:themeColor="text1"/>
      </w:rPr>
    </w:lvl>
    <w:lvl w:ilvl="1" w:tplc="0C090003" w:tentative="1">
      <w:start w:val="1"/>
      <w:numFmt w:val="bullet"/>
      <w:lvlText w:val="o"/>
      <w:lvlJc w:val="left"/>
      <w:pPr>
        <w:ind w:left="1490" w:hanging="360"/>
      </w:pPr>
      <w:rPr>
        <w:rFonts w:hint="default" w:ascii="Courier New" w:hAnsi="Courier New" w:cs="Courier New"/>
      </w:rPr>
    </w:lvl>
    <w:lvl w:ilvl="2" w:tplc="0C090005" w:tentative="1">
      <w:start w:val="1"/>
      <w:numFmt w:val="bullet"/>
      <w:lvlText w:val=""/>
      <w:lvlJc w:val="left"/>
      <w:pPr>
        <w:ind w:left="2210" w:hanging="360"/>
      </w:pPr>
      <w:rPr>
        <w:rFonts w:hint="default" w:ascii="Wingdings" w:hAnsi="Wingdings"/>
      </w:rPr>
    </w:lvl>
    <w:lvl w:ilvl="3" w:tplc="0C090001" w:tentative="1">
      <w:start w:val="1"/>
      <w:numFmt w:val="bullet"/>
      <w:lvlText w:val=""/>
      <w:lvlJc w:val="left"/>
      <w:pPr>
        <w:ind w:left="2930" w:hanging="360"/>
      </w:pPr>
      <w:rPr>
        <w:rFonts w:hint="default" w:ascii="Symbol" w:hAnsi="Symbol"/>
      </w:rPr>
    </w:lvl>
    <w:lvl w:ilvl="4" w:tplc="0C090003" w:tentative="1">
      <w:start w:val="1"/>
      <w:numFmt w:val="bullet"/>
      <w:lvlText w:val="o"/>
      <w:lvlJc w:val="left"/>
      <w:pPr>
        <w:ind w:left="3650" w:hanging="360"/>
      </w:pPr>
      <w:rPr>
        <w:rFonts w:hint="default" w:ascii="Courier New" w:hAnsi="Courier New" w:cs="Courier New"/>
      </w:rPr>
    </w:lvl>
    <w:lvl w:ilvl="5" w:tplc="0C090005" w:tentative="1">
      <w:start w:val="1"/>
      <w:numFmt w:val="bullet"/>
      <w:lvlText w:val=""/>
      <w:lvlJc w:val="left"/>
      <w:pPr>
        <w:ind w:left="4370" w:hanging="360"/>
      </w:pPr>
      <w:rPr>
        <w:rFonts w:hint="default" w:ascii="Wingdings" w:hAnsi="Wingdings"/>
      </w:rPr>
    </w:lvl>
    <w:lvl w:ilvl="6" w:tplc="0C090001" w:tentative="1">
      <w:start w:val="1"/>
      <w:numFmt w:val="bullet"/>
      <w:lvlText w:val=""/>
      <w:lvlJc w:val="left"/>
      <w:pPr>
        <w:ind w:left="5090" w:hanging="360"/>
      </w:pPr>
      <w:rPr>
        <w:rFonts w:hint="default" w:ascii="Symbol" w:hAnsi="Symbol"/>
      </w:rPr>
    </w:lvl>
    <w:lvl w:ilvl="7" w:tplc="0C090003" w:tentative="1">
      <w:start w:val="1"/>
      <w:numFmt w:val="bullet"/>
      <w:lvlText w:val="o"/>
      <w:lvlJc w:val="left"/>
      <w:pPr>
        <w:ind w:left="5810" w:hanging="360"/>
      </w:pPr>
      <w:rPr>
        <w:rFonts w:hint="default" w:ascii="Courier New" w:hAnsi="Courier New" w:cs="Courier New"/>
      </w:rPr>
    </w:lvl>
    <w:lvl w:ilvl="8" w:tplc="0C090005" w:tentative="1">
      <w:start w:val="1"/>
      <w:numFmt w:val="bullet"/>
      <w:lvlText w:val=""/>
      <w:lvlJc w:val="left"/>
      <w:pPr>
        <w:ind w:left="6530" w:hanging="360"/>
      </w:pPr>
      <w:rPr>
        <w:rFonts w:hint="default" w:ascii="Wingdings" w:hAnsi="Wingdings"/>
      </w:rPr>
    </w:lvl>
  </w:abstractNum>
  <w:abstractNum w:abstractNumId="18" w15:restartNumberingAfterBreak="0">
    <w:nsid w:val="6F3D49BF"/>
    <w:multiLevelType w:val="hybridMultilevel"/>
    <w:tmpl w:val="F1FE2D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24">
    <w:abstractNumId w:val="21"/>
  </w:num>
  <w:num w:numId="23">
    <w:abstractNumId w:val="20"/>
  </w:num>
  <w:num w:numId="22">
    <w:abstractNumId w:val="19"/>
  </w:num>
  <w:num w:numId="1">
    <w:abstractNumId w:val="12"/>
  </w:num>
  <w:num w:numId="2">
    <w:abstractNumId w:val="10"/>
  </w:num>
  <w:num w:numId="3">
    <w:abstractNumId w:val="17"/>
  </w:num>
  <w:num w:numId="4">
    <w:abstractNumId w:val="15"/>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4"/>
  </w:num>
  <w:num w:numId="18">
    <w:abstractNumId w:val="18"/>
  </w:num>
  <w:num w:numId="19">
    <w:abstractNumId w:val="13"/>
  </w:num>
  <w:num w:numId="20">
    <w:abstractNumId w:val="11"/>
  </w:num>
  <w:num w:numId="21">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07C24"/>
    <w:rsid w:val="00010252"/>
    <w:rsid w:val="000179E2"/>
    <w:rsid w:val="00057DAD"/>
    <w:rsid w:val="00086002"/>
    <w:rsid w:val="000E41C4"/>
    <w:rsid w:val="000F7E7C"/>
    <w:rsid w:val="00107AE2"/>
    <w:rsid w:val="00110116"/>
    <w:rsid w:val="00115899"/>
    <w:rsid w:val="00115AA9"/>
    <w:rsid w:val="00125D7B"/>
    <w:rsid w:val="00125F98"/>
    <w:rsid w:val="00127C5E"/>
    <w:rsid w:val="00132917"/>
    <w:rsid w:val="001345D4"/>
    <w:rsid w:val="001419C3"/>
    <w:rsid w:val="00160BF0"/>
    <w:rsid w:val="00161E50"/>
    <w:rsid w:val="00163579"/>
    <w:rsid w:val="00183DE5"/>
    <w:rsid w:val="00197AE0"/>
    <w:rsid w:val="001B26EA"/>
    <w:rsid w:val="001B2E33"/>
    <w:rsid w:val="002145F7"/>
    <w:rsid w:val="002146B2"/>
    <w:rsid w:val="0024781C"/>
    <w:rsid w:val="00266E77"/>
    <w:rsid w:val="00271528"/>
    <w:rsid w:val="00282D2C"/>
    <w:rsid w:val="002B6CCB"/>
    <w:rsid w:val="002D0EEA"/>
    <w:rsid w:val="002F09CD"/>
    <w:rsid w:val="002F2C6F"/>
    <w:rsid w:val="002F4184"/>
    <w:rsid w:val="002F4B42"/>
    <w:rsid w:val="00300F72"/>
    <w:rsid w:val="00334BBF"/>
    <w:rsid w:val="00341517"/>
    <w:rsid w:val="00342B3F"/>
    <w:rsid w:val="00365890"/>
    <w:rsid w:val="00365A1C"/>
    <w:rsid w:val="00373DC0"/>
    <w:rsid w:val="00377F0F"/>
    <w:rsid w:val="00390CA5"/>
    <w:rsid w:val="003A6B8D"/>
    <w:rsid w:val="003B5E3D"/>
    <w:rsid w:val="003C2864"/>
    <w:rsid w:val="003C69DC"/>
    <w:rsid w:val="003E1EFB"/>
    <w:rsid w:val="00407B8B"/>
    <w:rsid w:val="00435AB7"/>
    <w:rsid w:val="00435C6B"/>
    <w:rsid w:val="00436626"/>
    <w:rsid w:val="00461D07"/>
    <w:rsid w:val="004659EE"/>
    <w:rsid w:val="00476A7E"/>
    <w:rsid w:val="00481BD2"/>
    <w:rsid w:val="00492440"/>
    <w:rsid w:val="004C32E2"/>
    <w:rsid w:val="004D00F4"/>
    <w:rsid w:val="004D5E45"/>
    <w:rsid w:val="004E67DE"/>
    <w:rsid w:val="00520A86"/>
    <w:rsid w:val="005340A6"/>
    <w:rsid w:val="00552FBC"/>
    <w:rsid w:val="00557F65"/>
    <w:rsid w:val="005611F4"/>
    <w:rsid w:val="0057672E"/>
    <w:rsid w:val="0058339C"/>
    <w:rsid w:val="0059350F"/>
    <w:rsid w:val="005A4749"/>
    <w:rsid w:val="005C723C"/>
    <w:rsid w:val="005C7432"/>
    <w:rsid w:val="005D62F0"/>
    <w:rsid w:val="005E76E4"/>
    <w:rsid w:val="005F3B55"/>
    <w:rsid w:val="00610A38"/>
    <w:rsid w:val="00631663"/>
    <w:rsid w:val="00647CC9"/>
    <w:rsid w:val="0066643F"/>
    <w:rsid w:val="006725EF"/>
    <w:rsid w:val="00674E1D"/>
    <w:rsid w:val="006830C3"/>
    <w:rsid w:val="006A31D6"/>
    <w:rsid w:val="006A5062"/>
    <w:rsid w:val="006C7828"/>
    <w:rsid w:val="006D2F6B"/>
    <w:rsid w:val="00707D78"/>
    <w:rsid w:val="007347A7"/>
    <w:rsid w:val="007370DC"/>
    <w:rsid w:val="007375B4"/>
    <w:rsid w:val="00752390"/>
    <w:rsid w:val="007542FA"/>
    <w:rsid w:val="007B0189"/>
    <w:rsid w:val="007D407C"/>
    <w:rsid w:val="007D4779"/>
    <w:rsid w:val="007E21B0"/>
    <w:rsid w:val="00811735"/>
    <w:rsid w:val="00821938"/>
    <w:rsid w:val="00821D7F"/>
    <w:rsid w:val="008300DD"/>
    <w:rsid w:val="00837137"/>
    <w:rsid w:val="00846E51"/>
    <w:rsid w:val="00867888"/>
    <w:rsid w:val="008679D5"/>
    <w:rsid w:val="00896B58"/>
    <w:rsid w:val="008A01DA"/>
    <w:rsid w:val="008B5D28"/>
    <w:rsid w:val="00902FFB"/>
    <w:rsid w:val="00915ADE"/>
    <w:rsid w:val="0093040B"/>
    <w:rsid w:val="00930C91"/>
    <w:rsid w:val="00932E67"/>
    <w:rsid w:val="00937D6F"/>
    <w:rsid w:val="00942026"/>
    <w:rsid w:val="009453EC"/>
    <w:rsid w:val="009646B8"/>
    <w:rsid w:val="009956FE"/>
    <w:rsid w:val="00997CD0"/>
    <w:rsid w:val="009B1640"/>
    <w:rsid w:val="009B454E"/>
    <w:rsid w:val="009B7107"/>
    <w:rsid w:val="009E2D26"/>
    <w:rsid w:val="00A112C4"/>
    <w:rsid w:val="00A150B8"/>
    <w:rsid w:val="00A1525D"/>
    <w:rsid w:val="00A537BA"/>
    <w:rsid w:val="00A80B23"/>
    <w:rsid w:val="00A93BF6"/>
    <w:rsid w:val="00A967A3"/>
    <w:rsid w:val="00AB0078"/>
    <w:rsid w:val="00AB3505"/>
    <w:rsid w:val="00AC1830"/>
    <w:rsid w:val="00AD7D38"/>
    <w:rsid w:val="00AE1CAD"/>
    <w:rsid w:val="00AE2FBD"/>
    <w:rsid w:val="00AE3C70"/>
    <w:rsid w:val="00AF0BBA"/>
    <w:rsid w:val="00AF47AF"/>
    <w:rsid w:val="00B06296"/>
    <w:rsid w:val="00B10319"/>
    <w:rsid w:val="00B2157A"/>
    <w:rsid w:val="00B21795"/>
    <w:rsid w:val="00B26872"/>
    <w:rsid w:val="00B36AF4"/>
    <w:rsid w:val="00B41802"/>
    <w:rsid w:val="00B53B59"/>
    <w:rsid w:val="00B734D8"/>
    <w:rsid w:val="00BF2C6A"/>
    <w:rsid w:val="00C0648C"/>
    <w:rsid w:val="00C06492"/>
    <w:rsid w:val="00C36B48"/>
    <w:rsid w:val="00C63CC4"/>
    <w:rsid w:val="00C674D2"/>
    <w:rsid w:val="00C7526B"/>
    <w:rsid w:val="00C77B0A"/>
    <w:rsid w:val="00C91C8E"/>
    <w:rsid w:val="00C9357A"/>
    <w:rsid w:val="00C96960"/>
    <w:rsid w:val="00C97BE1"/>
    <w:rsid w:val="00CA0BAD"/>
    <w:rsid w:val="00CA26FB"/>
    <w:rsid w:val="00CA2D6E"/>
    <w:rsid w:val="00CC2E0C"/>
    <w:rsid w:val="00CE5293"/>
    <w:rsid w:val="00CE7597"/>
    <w:rsid w:val="00CF3F40"/>
    <w:rsid w:val="00D03B0C"/>
    <w:rsid w:val="00D21886"/>
    <w:rsid w:val="00D353EF"/>
    <w:rsid w:val="00D441BF"/>
    <w:rsid w:val="00D4537E"/>
    <w:rsid w:val="00D56F59"/>
    <w:rsid w:val="00D63F95"/>
    <w:rsid w:val="00D66148"/>
    <w:rsid w:val="00D731BD"/>
    <w:rsid w:val="00D9630F"/>
    <w:rsid w:val="00DA09ED"/>
    <w:rsid w:val="00DA4480"/>
    <w:rsid w:val="00DA46CF"/>
    <w:rsid w:val="00DB037A"/>
    <w:rsid w:val="00DB59F0"/>
    <w:rsid w:val="00DD7043"/>
    <w:rsid w:val="00DE43E6"/>
    <w:rsid w:val="00DE75EB"/>
    <w:rsid w:val="00DF012D"/>
    <w:rsid w:val="00DF0245"/>
    <w:rsid w:val="00DF695B"/>
    <w:rsid w:val="00E0546F"/>
    <w:rsid w:val="00E061B8"/>
    <w:rsid w:val="00E14A54"/>
    <w:rsid w:val="00E434FA"/>
    <w:rsid w:val="00E6596F"/>
    <w:rsid w:val="00E8123C"/>
    <w:rsid w:val="00E8979F"/>
    <w:rsid w:val="00EA1B8A"/>
    <w:rsid w:val="00EB70CE"/>
    <w:rsid w:val="00EF2574"/>
    <w:rsid w:val="00F05C79"/>
    <w:rsid w:val="00F3358A"/>
    <w:rsid w:val="00F4123D"/>
    <w:rsid w:val="00F536D7"/>
    <w:rsid w:val="00F63E85"/>
    <w:rsid w:val="00F74884"/>
    <w:rsid w:val="00F87A19"/>
    <w:rsid w:val="00FA6811"/>
    <w:rsid w:val="00FA6A61"/>
    <w:rsid w:val="00FB31F0"/>
    <w:rsid w:val="00FE1945"/>
    <w:rsid w:val="00FE365C"/>
    <w:rsid w:val="010CE5E8"/>
    <w:rsid w:val="01692180"/>
    <w:rsid w:val="016B26B2"/>
    <w:rsid w:val="0201ACD2"/>
    <w:rsid w:val="0221CF8E"/>
    <w:rsid w:val="02588FB6"/>
    <w:rsid w:val="033EE0FF"/>
    <w:rsid w:val="03F55EC1"/>
    <w:rsid w:val="0498EF18"/>
    <w:rsid w:val="04BDDAA1"/>
    <w:rsid w:val="04FD8BFC"/>
    <w:rsid w:val="050A2869"/>
    <w:rsid w:val="05B39684"/>
    <w:rsid w:val="05BBDB10"/>
    <w:rsid w:val="05DE0579"/>
    <w:rsid w:val="0659AB02"/>
    <w:rsid w:val="06ABE74F"/>
    <w:rsid w:val="074D47DA"/>
    <w:rsid w:val="075623B0"/>
    <w:rsid w:val="07B4D2A9"/>
    <w:rsid w:val="08778929"/>
    <w:rsid w:val="08E699F2"/>
    <w:rsid w:val="09972493"/>
    <w:rsid w:val="09D2A72E"/>
    <w:rsid w:val="09D2A72E"/>
    <w:rsid w:val="0A055A52"/>
    <w:rsid w:val="0A50D32D"/>
    <w:rsid w:val="0A545F02"/>
    <w:rsid w:val="0ACB95D7"/>
    <w:rsid w:val="0B6A147B"/>
    <w:rsid w:val="0C11BB7A"/>
    <w:rsid w:val="0C20B8FD"/>
    <w:rsid w:val="0D16090B"/>
    <w:rsid w:val="0EF47563"/>
    <w:rsid w:val="0F2B11B1"/>
    <w:rsid w:val="0F5859BF"/>
    <w:rsid w:val="0FD43400"/>
    <w:rsid w:val="0FF05B03"/>
    <w:rsid w:val="11202E7F"/>
    <w:rsid w:val="112DA7CE"/>
    <w:rsid w:val="11E7ED13"/>
    <w:rsid w:val="137A9231"/>
    <w:rsid w:val="13ABB0BF"/>
    <w:rsid w:val="13F15B84"/>
    <w:rsid w:val="14455935"/>
    <w:rsid w:val="14455935"/>
    <w:rsid w:val="158D2BE5"/>
    <w:rsid w:val="1603D441"/>
    <w:rsid w:val="16B4AAB3"/>
    <w:rsid w:val="17162DD8"/>
    <w:rsid w:val="172234AA"/>
    <w:rsid w:val="1728FC46"/>
    <w:rsid w:val="172F5635"/>
    <w:rsid w:val="1771BE33"/>
    <w:rsid w:val="18B1FE39"/>
    <w:rsid w:val="192F6BF6"/>
    <w:rsid w:val="197AE326"/>
    <w:rsid w:val="19AF36F9"/>
    <w:rsid w:val="19E83AE9"/>
    <w:rsid w:val="1AA2F9EC"/>
    <w:rsid w:val="1AA49FF3"/>
    <w:rsid w:val="1AD5BA3C"/>
    <w:rsid w:val="1B25A717"/>
    <w:rsid w:val="1B803845"/>
    <w:rsid w:val="1BC21AF4"/>
    <w:rsid w:val="1BDC4A08"/>
    <w:rsid w:val="1C6BAF19"/>
    <w:rsid w:val="1C7161CA"/>
    <w:rsid w:val="1C8612DC"/>
    <w:rsid w:val="1CD0A473"/>
    <w:rsid w:val="1E3BB8AC"/>
    <w:rsid w:val="1E3D0E77"/>
    <w:rsid w:val="1E925AAC"/>
    <w:rsid w:val="1F1CA1E1"/>
    <w:rsid w:val="1F766B0F"/>
    <w:rsid w:val="1FF5BAD9"/>
    <w:rsid w:val="2005763B"/>
    <w:rsid w:val="2082D860"/>
    <w:rsid w:val="20B79AEF"/>
    <w:rsid w:val="219C0A8A"/>
    <w:rsid w:val="21A1469C"/>
    <w:rsid w:val="21FBCA63"/>
    <w:rsid w:val="230F29CF"/>
    <w:rsid w:val="23965526"/>
    <w:rsid w:val="24291613"/>
    <w:rsid w:val="246A47D4"/>
    <w:rsid w:val="24DC2EDC"/>
    <w:rsid w:val="25AB3D35"/>
    <w:rsid w:val="25CF794B"/>
    <w:rsid w:val="27CEF7A3"/>
    <w:rsid w:val="2993ACD1"/>
    <w:rsid w:val="29B19369"/>
    <w:rsid w:val="29B87759"/>
    <w:rsid w:val="29F8D004"/>
    <w:rsid w:val="2A06BA07"/>
    <w:rsid w:val="2BBA223E"/>
    <w:rsid w:val="2BF61DC3"/>
    <w:rsid w:val="2C0E7DAC"/>
    <w:rsid w:val="2C5CDBA1"/>
    <w:rsid w:val="2C77F89D"/>
    <w:rsid w:val="2CD31C68"/>
    <w:rsid w:val="2CF385B8"/>
    <w:rsid w:val="2D1EBE45"/>
    <w:rsid w:val="2D20F199"/>
    <w:rsid w:val="2D3A19F6"/>
    <w:rsid w:val="2D96A932"/>
    <w:rsid w:val="2E396558"/>
    <w:rsid w:val="2E7ADE2C"/>
    <w:rsid w:val="2F024C29"/>
    <w:rsid w:val="300AB542"/>
    <w:rsid w:val="30CC10AB"/>
    <w:rsid w:val="30D68392"/>
    <w:rsid w:val="30E46FBA"/>
    <w:rsid w:val="3174E8BA"/>
    <w:rsid w:val="31B27EEE"/>
    <w:rsid w:val="320D8B19"/>
    <w:rsid w:val="33839EBB"/>
    <w:rsid w:val="35742E91"/>
    <w:rsid w:val="365E329D"/>
    <w:rsid w:val="36A60897"/>
    <w:rsid w:val="3765761F"/>
    <w:rsid w:val="377DC7FF"/>
    <w:rsid w:val="384BDD64"/>
    <w:rsid w:val="3A5B8664"/>
    <w:rsid w:val="3C73D764"/>
    <w:rsid w:val="3CAE10E6"/>
    <w:rsid w:val="3CCEF291"/>
    <w:rsid w:val="3D932726"/>
    <w:rsid w:val="3DBAE4A1"/>
    <w:rsid w:val="3E9A315F"/>
    <w:rsid w:val="3FC8FCDF"/>
    <w:rsid w:val="3FE060F3"/>
    <w:rsid w:val="3FF295CA"/>
    <w:rsid w:val="4019116B"/>
    <w:rsid w:val="4042DDDB"/>
    <w:rsid w:val="40E1A7C4"/>
    <w:rsid w:val="410C5865"/>
    <w:rsid w:val="4164CD40"/>
    <w:rsid w:val="425CE599"/>
    <w:rsid w:val="45975A2A"/>
    <w:rsid w:val="468C8F8A"/>
    <w:rsid w:val="47865669"/>
    <w:rsid w:val="47C72953"/>
    <w:rsid w:val="47C78ACE"/>
    <w:rsid w:val="47FDA7AF"/>
    <w:rsid w:val="483B2152"/>
    <w:rsid w:val="48BD3170"/>
    <w:rsid w:val="48E48680"/>
    <w:rsid w:val="49127ED2"/>
    <w:rsid w:val="492226CA"/>
    <w:rsid w:val="4945D2F1"/>
    <w:rsid w:val="4974C019"/>
    <w:rsid w:val="49B152FC"/>
    <w:rsid w:val="4A8D3B03"/>
    <w:rsid w:val="4AC2C720"/>
    <w:rsid w:val="4B2BAEE1"/>
    <w:rsid w:val="4B2BAEE1"/>
    <w:rsid w:val="4B5FE813"/>
    <w:rsid w:val="4BD174F8"/>
    <w:rsid w:val="4C59C78C"/>
    <w:rsid w:val="4C8C0362"/>
    <w:rsid w:val="4DB13876"/>
    <w:rsid w:val="4DF91D93"/>
    <w:rsid w:val="4E19045C"/>
    <w:rsid w:val="4E223BA1"/>
    <w:rsid w:val="4E474C57"/>
    <w:rsid w:val="4EF80698"/>
    <w:rsid w:val="4F00C76D"/>
    <w:rsid w:val="4F3225A5"/>
    <w:rsid w:val="4F3225A5"/>
    <w:rsid w:val="4F79A249"/>
    <w:rsid w:val="52BE966C"/>
    <w:rsid w:val="5478644D"/>
    <w:rsid w:val="549F02CD"/>
    <w:rsid w:val="57240495"/>
    <w:rsid w:val="59D1BCD7"/>
    <w:rsid w:val="5A268E21"/>
    <w:rsid w:val="5AC410F9"/>
    <w:rsid w:val="5B1CDB65"/>
    <w:rsid w:val="5B2C629F"/>
    <w:rsid w:val="5B47BD04"/>
    <w:rsid w:val="5BC62218"/>
    <w:rsid w:val="5CAA14B2"/>
    <w:rsid w:val="5D464B9A"/>
    <w:rsid w:val="5DA48133"/>
    <w:rsid w:val="5E45E513"/>
    <w:rsid w:val="5E547C27"/>
    <w:rsid w:val="5E8BF187"/>
    <w:rsid w:val="6031295C"/>
    <w:rsid w:val="60AF299C"/>
    <w:rsid w:val="61C7F762"/>
    <w:rsid w:val="629D3A6E"/>
    <w:rsid w:val="644ED416"/>
    <w:rsid w:val="64F65528"/>
    <w:rsid w:val="6511385A"/>
    <w:rsid w:val="65D89207"/>
    <w:rsid w:val="66922589"/>
    <w:rsid w:val="66B31E4E"/>
    <w:rsid w:val="66CD7539"/>
    <w:rsid w:val="6763C2DC"/>
    <w:rsid w:val="67A55E3A"/>
    <w:rsid w:val="689D43A2"/>
    <w:rsid w:val="68BD435E"/>
    <w:rsid w:val="68C761EF"/>
    <w:rsid w:val="68DB8C6F"/>
    <w:rsid w:val="6A2639FA"/>
    <w:rsid w:val="6A3ACDC3"/>
    <w:rsid w:val="6AF88FD1"/>
    <w:rsid w:val="6BEDE560"/>
    <w:rsid w:val="6D16C531"/>
    <w:rsid w:val="6D90E7E2"/>
    <w:rsid w:val="6E120198"/>
    <w:rsid w:val="6EE5C9C3"/>
    <w:rsid w:val="7047169E"/>
    <w:rsid w:val="7053EB01"/>
    <w:rsid w:val="70678E50"/>
    <w:rsid w:val="70957B7E"/>
    <w:rsid w:val="71939FE7"/>
    <w:rsid w:val="71EFEECA"/>
    <w:rsid w:val="72314BDF"/>
    <w:rsid w:val="72570BC1"/>
    <w:rsid w:val="726C33F4"/>
    <w:rsid w:val="72A57093"/>
    <w:rsid w:val="73CD1C40"/>
    <w:rsid w:val="73F7135E"/>
    <w:rsid w:val="75122F87"/>
    <w:rsid w:val="758CBC9A"/>
    <w:rsid w:val="7665C662"/>
    <w:rsid w:val="76B2BB3F"/>
    <w:rsid w:val="76BDA777"/>
    <w:rsid w:val="77288CFB"/>
    <w:rsid w:val="7845D489"/>
    <w:rsid w:val="78DD85B9"/>
    <w:rsid w:val="78E09B62"/>
    <w:rsid w:val="796014CC"/>
    <w:rsid w:val="7A602DBD"/>
    <w:rsid w:val="7BFBFE1E"/>
    <w:rsid w:val="7C151C6C"/>
    <w:rsid w:val="7C97B58E"/>
    <w:rsid w:val="7CB93DDB"/>
    <w:rsid w:val="7D55EC26"/>
    <w:rsid w:val="7DB0F6DC"/>
    <w:rsid w:val="7DC1DD11"/>
    <w:rsid w:val="7E395E13"/>
    <w:rsid w:val="7FEB30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B2CFFDA"/>
  <w15:docId w15:val="{C82B1835-F81C-49CF-95DE-400BDBF4FF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hAnsi="Arial" w:cs="Arial" w:eastAsiaTheme="majorEastAsia"/>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hAnsi="Arial" w:cs="Arial" w:eastAsiaTheme="majorEastAsia"/>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hAnsiTheme="majorHAnsi" w:eastAsiaTheme="majorEastAsia" w:cstheme="majorBidi"/>
      <w:i/>
      <w:iCs/>
      <w:color w:val="1F4E7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hAnsi="Arial" w:eastAsia="Calibri" w:cs="Arial"/>
      <w:sz w:val="48"/>
      <w:szCs w:val="48"/>
    </w:rPr>
  </w:style>
  <w:style w:type="character" w:styleId="TitleChar" w:customStyle="1">
    <w:name w:val="Title Char"/>
    <w:basedOn w:val="DefaultParagraphFont"/>
    <w:link w:val="Title"/>
    <w:uiPriority w:val="10"/>
    <w:rsid w:val="00FE1945"/>
    <w:rPr>
      <w:rFonts w:ascii="Arial" w:hAnsi="Arial" w:eastAsia="Calibri" w:cs="Arial"/>
      <w:sz w:val="48"/>
      <w:szCs w:val="48"/>
    </w:rPr>
  </w:style>
  <w:style w:type="character" w:styleId="SchoolName" w:customStyle="1">
    <w:name w:val="SchoolName"/>
    <w:basedOn w:val="TitleChar"/>
    <w:uiPriority w:val="1"/>
    <w:rsid w:val="00FE1945"/>
    <w:rPr>
      <w:rFonts w:ascii="Arial" w:hAnsi="Arial" w:eastAsia="Calibri"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color="auto" w:sz="4" w:space="1"/>
      </w:pBdr>
      <w:spacing w:after="240" w:line="276" w:lineRule="auto"/>
      <w:jc w:val="center"/>
    </w:pPr>
    <w:rPr>
      <w:rFonts w:ascii="Arial" w:hAnsi="Arial" w:cs="Arial" w:eastAsiaTheme="minorEastAsia"/>
      <w:color w:val="000000" w:themeColor="text1"/>
      <w:spacing w:val="15"/>
    </w:rPr>
  </w:style>
  <w:style w:type="character" w:styleId="SubtitleChar" w:customStyle="1">
    <w:name w:val="Subtitle Char"/>
    <w:basedOn w:val="DefaultParagraphFont"/>
    <w:link w:val="Subtitle"/>
    <w:uiPriority w:val="11"/>
    <w:rsid w:val="00FE1945"/>
    <w:rPr>
      <w:rFonts w:ascii="Arial" w:hAnsi="Arial" w:cs="Arial" w:eastAsiaTheme="minorEastAsia"/>
      <w:color w:val="000000" w:themeColor="text1"/>
      <w:spacing w:val="15"/>
    </w:rPr>
  </w:style>
  <w:style w:type="paragraph" w:styleId="ListParagraph">
    <w:name w:val="List Paragraph"/>
    <w:basedOn w:val="Normal"/>
    <w:uiPriority w:val="1"/>
    <w:qFormat/>
    <w:rsid w:val="00FE1945"/>
    <w:pPr>
      <w:ind w:left="720"/>
      <w:contextualSpacing/>
    </w:pPr>
  </w:style>
  <w:style w:type="character" w:styleId="Heading1Char" w:customStyle="1">
    <w:name w:val="Heading 1 Char"/>
    <w:basedOn w:val="DefaultParagraphFont"/>
    <w:link w:val="Heading1"/>
    <w:uiPriority w:val="9"/>
    <w:rsid w:val="001B2E33"/>
    <w:rPr>
      <w:rFonts w:ascii="Arial" w:hAnsi="Arial" w:cs="Arial" w:eastAsiaTheme="majorEastAsia"/>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styleId="PlainTextChar" w:customStyle="1">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styleId="DropDown" w:customStyle="1">
    <w:name w:val="DropDown"/>
    <w:next w:val="BodyText"/>
    <w:rsid w:val="00461D07"/>
    <w:pPr>
      <w:spacing w:after="0"/>
      <w:contextualSpacing/>
    </w:pPr>
    <w:rPr>
      <w:rFonts w:eastAsia="Times New Roman" w:cs="Times New Roman"/>
      <w:i/>
      <w:lang w:val="en-US"/>
    </w:rPr>
  </w:style>
  <w:style w:type="paragraph" w:styleId="DropDownLeadIn" w:customStyle="1">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styleId="BodyTextChar" w:customStyle="1">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styleId="HeaderChar" w:customStyle="1">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styleId="FooterChar" w:customStyle="1">
    <w:name w:val="Footer Char"/>
    <w:basedOn w:val="DefaultParagraphFont"/>
    <w:link w:val="Footer"/>
    <w:uiPriority w:val="99"/>
    <w:rsid w:val="00CA0BAD"/>
  </w:style>
  <w:style w:type="character" w:styleId="Heading4Char" w:customStyle="1">
    <w:name w:val="Heading 4 Char"/>
    <w:basedOn w:val="DefaultParagraphFont"/>
    <w:link w:val="Heading4"/>
    <w:uiPriority w:val="9"/>
    <w:rsid w:val="00C0648C"/>
    <w:rPr>
      <w:rFonts w:asciiTheme="majorHAnsi" w:hAnsiTheme="majorHAnsi" w:eastAsiaTheme="majorEastAsia" w:cstheme="majorBidi"/>
      <w:i/>
      <w:iCs/>
      <w:color w:val="1F4E79"/>
    </w:rPr>
  </w:style>
  <w:style w:type="character" w:styleId="Heading2Char" w:customStyle="1">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styleId="BodyTextIndent3Char" w:customStyle="1">
    <w:name w:val="Body Text Indent 3 Char"/>
    <w:basedOn w:val="DefaultParagraphFont"/>
    <w:link w:val="BodyTextIndent3"/>
    <w:uiPriority w:val="99"/>
    <w:rsid w:val="001B2E33"/>
    <w:rPr>
      <w:sz w:val="16"/>
      <w:szCs w:val="16"/>
    </w:rPr>
  </w:style>
  <w:style w:type="character" w:styleId="Heading3Char" w:customStyle="1">
    <w:name w:val="Heading 3 Char"/>
    <w:basedOn w:val="DefaultParagraphFont"/>
    <w:link w:val="Heading3"/>
    <w:uiPriority w:val="9"/>
    <w:rsid w:val="00837137"/>
    <w:rPr>
      <w:rFonts w:ascii="Arial" w:hAnsi="Arial" w:cs="Arial" w:eastAsiaTheme="majorEastAsia"/>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color="5B9BD5" w:themeColor="accent1" w:sz="2" w:space="10"/>
        <w:left w:val="single" w:color="5B9BD5" w:themeColor="accent1" w:sz="2" w:space="10"/>
        <w:bottom w:val="single" w:color="5B9BD5" w:themeColor="accent1" w:sz="2" w:space="10"/>
        <w:right w:val="single" w:color="5B9BD5" w:themeColor="accent1" w:sz="2" w:space="10"/>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styleId="CommentTextChar" w:customStyle="1">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styleId="CommentSubjectChar" w:customStyle="1">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10499">
      <w:bodyDiv w:val="1"/>
      <w:marLeft w:val="0"/>
      <w:marRight w:val="0"/>
      <w:marTop w:val="0"/>
      <w:marBottom w:val="0"/>
      <w:divBdr>
        <w:top w:val="none" w:sz="0" w:space="0" w:color="auto"/>
        <w:left w:val="none" w:sz="0" w:space="0" w:color="auto"/>
        <w:bottom w:val="none" w:sz="0" w:space="0" w:color="auto"/>
        <w:right w:val="none" w:sz="0" w:space="0" w:color="auto"/>
      </w:divBdr>
    </w:div>
    <w:div w:id="279993243">
      <w:bodyDiv w:val="1"/>
      <w:marLeft w:val="0"/>
      <w:marRight w:val="0"/>
      <w:marTop w:val="0"/>
      <w:marBottom w:val="0"/>
      <w:divBdr>
        <w:top w:val="none" w:sz="0" w:space="0" w:color="auto"/>
        <w:left w:val="none" w:sz="0" w:space="0" w:color="auto"/>
        <w:bottom w:val="none" w:sz="0" w:space="0" w:color="auto"/>
        <w:right w:val="none" w:sz="0" w:space="0" w:color="auto"/>
      </w:divBdr>
    </w:div>
    <w:div w:id="132042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3D1F1C"/>
    <w:rsid w:val="008B6DE0"/>
    <w:rsid w:val="008F4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E5ADACAA000F4CA1ECE9989ED3155B" ma:contentTypeVersion="6" ma:contentTypeDescription="Create a new document." ma:contentTypeScope="" ma:versionID="a21eb14fe33b8716b2d3e7e83e8b5f50">
  <xsd:schema xmlns:xsd="http://www.w3.org/2001/XMLSchema" xmlns:xs="http://www.w3.org/2001/XMLSchema" xmlns:p="http://schemas.microsoft.com/office/2006/metadata/properties" xmlns:ns2="5c222721-ac5b-4875-84bd-0932dee042df" xmlns:ns3="3e99ba64-cbc5-4d1f-8e8d-a5115a41c513" targetNamespace="http://schemas.microsoft.com/office/2006/metadata/properties" ma:root="true" ma:fieldsID="def6991669d24a4990ecd76d172e9111" ns2:_="" ns3:_="">
    <xsd:import namespace="5c222721-ac5b-4875-84bd-0932dee042df"/>
    <xsd:import namespace="3e99ba64-cbc5-4d1f-8e8d-a5115a41c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22721-ac5b-4875-84bd-0932dee04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99ba64-cbc5-4d1f-8e8d-a5115a41c5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E1D836-A407-4A0B-80C7-8D5C98C90BAB}">
  <ds:schemaRefs>
    <ds:schemaRef ds:uri="http://purl.org/dc/dcmitype/"/>
    <ds:schemaRef ds:uri="http://purl.org/dc/elements/1.1/"/>
    <ds:schemaRef ds:uri="http://schemas.microsoft.com/office/2006/metadata/properties"/>
    <ds:schemaRef ds:uri="b38bb1c8-5c99-4561-a624-a5e6628d94c9"/>
    <ds:schemaRef ds:uri="http://schemas.microsoft.com/office/infopath/2007/PartnerControls"/>
    <ds:schemaRef ds:uri="http://schemas.microsoft.com/office/2006/documentManagement/types"/>
    <ds:schemaRef ds:uri="http://schemas.openxmlformats.org/package/2006/metadata/core-properties"/>
    <ds:schemaRef ds:uri="01d31f61-9245-4fcb-8ab0-90be871bbbe7"/>
    <ds:schemaRef ds:uri="http://www.w3.org/XML/1998/namespace"/>
    <ds:schemaRef ds:uri="http://purl.org/dc/terms/"/>
  </ds:schemaRefs>
</ds:datastoreItem>
</file>

<file path=customXml/itemProps2.xml><?xml version="1.0" encoding="utf-8"?>
<ds:datastoreItem xmlns:ds="http://schemas.openxmlformats.org/officeDocument/2006/customXml" ds:itemID="{61943A5D-365C-42E2-9DD2-A8A4F0891254}"/>
</file>

<file path=customXml/itemProps3.xml><?xml version="1.0" encoding="utf-8"?>
<ds:datastoreItem xmlns:ds="http://schemas.openxmlformats.org/officeDocument/2006/customXml" ds:itemID="{5ADEF59A-4CC0-44E0-AC62-BBCFBEAB0E7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ACT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Tool - Impact Report v07Dec2020</dc:title>
  <dc:subject/>
  <dc:creator>ACT Education Directorate</dc:creator>
  <keywords>School improvement</keywords>
  <dc:description/>
  <lastModifiedBy>Chapman, Jacqueline</lastModifiedBy>
  <revision>64</revision>
  <lastPrinted>2018-11-20T01:48:00.0000000Z</lastPrinted>
  <dcterms:created xsi:type="dcterms:W3CDTF">2020-12-18T22:49:00.0000000Z</dcterms:created>
  <dcterms:modified xsi:type="dcterms:W3CDTF">2022-04-05T00:24:07.8779674Z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0x010100DCE5ADACAA000F4CA1ECE9989ED3155B</vt:lpwstr>
  </property>
</Properties>
</file>