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2E1B81A0" w:rsidR="00FE1945" w:rsidRPr="00563A3D" w:rsidRDefault="00F53EDF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Erindale College</w:t>
          </w:r>
        </w:p>
      </w:sdtContent>
    </w:sdt>
    <w:p w14:paraId="63330FCF" w14:textId="2DC59BE8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F53EDF">
            <w:t>Tuggeranong</w:t>
          </w:r>
        </w:sdtContent>
      </w:sdt>
    </w:p>
    <w:p w14:paraId="38F253B0" w14:textId="566864E0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53EDF">
        <w:t>202</w:t>
      </w:r>
      <w:r w:rsidR="00534A12">
        <w:t>1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4C974366" w14:textId="6B8003E5" w:rsidR="00132917" w:rsidRDefault="00B10319" w:rsidP="0058339C">
      <w:pPr>
        <w:pStyle w:val="BodyText"/>
        <w:rPr>
          <w:noProof/>
        </w:rPr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F53EDF">
        <w:t>2</w:t>
      </w:r>
      <w:r w:rsidR="00866539">
        <w:t>1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</w:t>
      </w:r>
      <w:r w:rsidR="00922A14" w:rsidRPr="00132917">
        <w:t>changes,</w:t>
      </w:r>
      <w:r w:rsidR="00DA4480" w:rsidRPr="00132917">
        <w:t xml:space="preserve"> or risks to delivery of improvement for student learning.</w:t>
      </w:r>
      <w:r w:rsidR="00AE2FBD" w:rsidRPr="00AE2FBD">
        <w:rPr>
          <w:noProof/>
        </w:rPr>
        <w:t xml:space="preserve"> </w:t>
      </w:r>
    </w:p>
    <w:p w14:paraId="2AE7CA47" w14:textId="770CB46B" w:rsidR="00664070" w:rsidRPr="00664070" w:rsidRDefault="00664070" w:rsidP="0058339C">
      <w:pPr>
        <w:pStyle w:val="BodyText"/>
        <w:rPr>
          <w:i/>
          <w:iCs/>
        </w:rPr>
      </w:pPr>
      <w:r>
        <w:rPr>
          <w:i/>
          <w:iCs/>
          <w:noProof/>
        </w:rPr>
        <w:t>Please note, due to the events of 202</w:t>
      </w:r>
      <w:r w:rsidR="00866539">
        <w:rPr>
          <w:i/>
          <w:iCs/>
          <w:noProof/>
        </w:rPr>
        <w:t>1</w:t>
      </w:r>
      <w:r>
        <w:rPr>
          <w:i/>
          <w:iCs/>
          <w:noProof/>
        </w:rPr>
        <w:t xml:space="preserve"> the data collection cycles of some measures were inte</w:t>
      </w:r>
      <w:r w:rsidR="00FB5E28">
        <w:rPr>
          <w:i/>
          <w:iCs/>
          <w:noProof/>
        </w:rPr>
        <w:t>r</w:t>
      </w:r>
      <w:r>
        <w:rPr>
          <w:i/>
          <w:iCs/>
          <w:noProof/>
        </w:rPr>
        <w:t xml:space="preserve">rupted. </w:t>
      </w:r>
      <w:r w:rsidR="00FB5E28">
        <w:rPr>
          <w:i/>
          <w:iCs/>
          <w:noProof/>
        </w:rPr>
        <w:t xml:space="preserve">Where this has occurred a N/A or 0 (zero) entry has been used.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1D7760C0" w14:textId="4675103F" w:rsidR="00300F72" w:rsidRPr="00664070" w:rsidRDefault="00FE1945" w:rsidP="00300F72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0E4AE3ED" w14:textId="12000505" w:rsidR="00846E51" w:rsidRPr="00132917" w:rsidRDefault="00300F72" w:rsidP="00132917">
      <w:pPr>
        <w:pStyle w:val="BodyText"/>
      </w:pPr>
      <w:r w:rsidRPr="00132917">
        <w:t>In 20</w:t>
      </w:r>
      <w:r w:rsidR="00664070">
        <w:t>2</w:t>
      </w:r>
      <w:r w:rsidR="00866539">
        <w:t>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664070">
        <w:t>2</w:t>
      </w:r>
      <w:r w:rsidRPr="00132917">
        <w:t xml:space="preserve"> (see reporting for detail):</w:t>
      </w:r>
    </w:p>
    <w:p w14:paraId="4237A615" w14:textId="33A894CA" w:rsidR="00300F72" w:rsidRDefault="00FB5E28" w:rsidP="00300F72">
      <w:pPr>
        <w:pStyle w:val="ListBullet"/>
      </w:pPr>
      <w:r>
        <w:t>Implementation of an explicit whole school SEL program</w:t>
      </w:r>
      <w:r w:rsidR="00C349E1">
        <w:t xml:space="preserve"> through the </w:t>
      </w:r>
      <w:r w:rsidR="00711A04">
        <w:t>Introduction</w:t>
      </w:r>
      <w:r w:rsidR="00C349E1">
        <w:t xml:space="preserve"> of the Learner Profile and structured LINK program</w:t>
      </w:r>
      <w:r w:rsidR="00711A04">
        <w:t>.</w:t>
      </w:r>
    </w:p>
    <w:p w14:paraId="78A6CEE9" w14:textId="596A0FD2" w:rsidR="008D4229" w:rsidRDefault="008D4229" w:rsidP="00300F72">
      <w:pPr>
        <w:pStyle w:val="ListBullet"/>
      </w:pPr>
      <w:r>
        <w:t xml:space="preserve">Expansion </w:t>
      </w:r>
      <w:r w:rsidR="00C349E1">
        <w:t xml:space="preserve">and integration </w:t>
      </w:r>
      <w:r>
        <w:t xml:space="preserve">of our small group </w:t>
      </w:r>
      <w:r w:rsidR="00866539">
        <w:t>Tier 3 programs</w:t>
      </w:r>
      <w:r w:rsidR="00711A04">
        <w:t xml:space="preserve"> (Compass)</w:t>
      </w:r>
    </w:p>
    <w:p w14:paraId="54EDCC18" w14:textId="6D00E68F" w:rsidR="00711A04" w:rsidRDefault="00711A04" w:rsidP="00300F72">
      <w:pPr>
        <w:pStyle w:val="ListBullet"/>
      </w:pPr>
      <w:r>
        <w:t>Wellbeing interventions</w:t>
      </w:r>
      <w:r w:rsidR="00E669EF">
        <w:t xml:space="preserve"> meeting student need.</w:t>
      </w:r>
    </w:p>
    <w:p w14:paraId="61A2E82A" w14:textId="639CEB30" w:rsidR="00711A04" w:rsidRDefault="00711A04" w:rsidP="00300F72">
      <w:pPr>
        <w:pStyle w:val="ListBullet"/>
      </w:pPr>
      <w:r>
        <w:t>Establishment student leadership opportunities including College Ambassador Program (Student leadership group) and Certificate II in Indigenous Leadership.</w:t>
      </w:r>
    </w:p>
    <w:p w14:paraId="4AEECDF4" w14:textId="77777777" w:rsidR="00FB5E28" w:rsidRPr="00300F72" w:rsidRDefault="00FB5E28" w:rsidP="00FB5E28">
      <w:pPr>
        <w:pStyle w:val="ListBullet"/>
        <w:numPr>
          <w:ilvl w:val="0"/>
          <w:numId w:val="0"/>
        </w:numPr>
        <w:ind w:left="360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5A54A98A" w14:textId="3A372635" w:rsidR="00300F72" w:rsidRPr="00664070" w:rsidRDefault="00B10319" w:rsidP="00300F72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14162F1A" w14:textId="4D029178" w:rsidR="00300F72" w:rsidRPr="00132917" w:rsidRDefault="00300F72" w:rsidP="00132917">
      <w:pPr>
        <w:pStyle w:val="BodyText"/>
      </w:pPr>
      <w:r w:rsidRPr="00132917">
        <w:t>In 20</w:t>
      </w:r>
      <w:r w:rsidR="00FB5E28">
        <w:t>2</w:t>
      </w:r>
      <w:r w:rsidR="00866539">
        <w:t>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664070">
        <w:t>1</w:t>
      </w:r>
      <w:r w:rsidRPr="00132917">
        <w:t xml:space="preserve"> (see reporting for detail):</w:t>
      </w:r>
    </w:p>
    <w:p w14:paraId="3219AB53" w14:textId="1D269D4D" w:rsidR="00300F72" w:rsidRDefault="00FB5E28" w:rsidP="00300F72">
      <w:pPr>
        <w:pStyle w:val="ListBullet"/>
      </w:pPr>
      <w:r>
        <w:t>Consistent whole school pedagogy focusing on Visible Learning</w:t>
      </w:r>
    </w:p>
    <w:p w14:paraId="6D6D5BA7" w14:textId="3307F31C" w:rsidR="008D4229" w:rsidRDefault="008D4229" w:rsidP="00300F72">
      <w:pPr>
        <w:pStyle w:val="ListBullet"/>
      </w:pPr>
      <w:r>
        <w:t>De</w:t>
      </w:r>
      <w:r w:rsidR="00E669EF">
        <w:t>velopment of whole school data plan</w:t>
      </w:r>
    </w:p>
    <w:p w14:paraId="6D84CB13" w14:textId="50066B45" w:rsidR="004B2914" w:rsidRDefault="00866539" w:rsidP="00E669EF">
      <w:pPr>
        <w:pStyle w:val="ListBullet"/>
      </w:pPr>
      <w:r>
        <w:t xml:space="preserve">Creation of PLCs online, named as </w:t>
      </w:r>
      <w:r w:rsidRPr="00866539">
        <w:rPr>
          <w:i/>
          <w:iCs/>
        </w:rPr>
        <w:t>Wangiralli</w:t>
      </w:r>
      <w:r>
        <w:t xml:space="preserve"> (Ngunnawal for ‘Listen’).</w:t>
      </w:r>
    </w:p>
    <w:p w14:paraId="283823B0" w14:textId="77777777" w:rsidR="00461D07" w:rsidRPr="0066643F" w:rsidRDefault="00461D07" w:rsidP="001B2E33">
      <w:pPr>
        <w:pStyle w:val="BodyText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0CB48B2" w14:textId="1664BFF0" w:rsidR="00300F72" w:rsidRPr="004B2914" w:rsidRDefault="00B10319" w:rsidP="00300F72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6B398A53" w14:textId="79574268" w:rsidR="00300F72" w:rsidRPr="00132917" w:rsidRDefault="00300F72" w:rsidP="00132917">
      <w:pPr>
        <w:pStyle w:val="BodyText"/>
      </w:pPr>
      <w:r w:rsidRPr="00132917">
        <w:t>In 20</w:t>
      </w:r>
      <w:r w:rsidR="00664070">
        <w:t>2</w:t>
      </w:r>
      <w:r w:rsidR="00866539">
        <w:t>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664070">
        <w:t>1</w:t>
      </w:r>
      <w:r w:rsidRPr="00132917">
        <w:t xml:space="preserve"> (see reporting for detail):</w:t>
      </w:r>
    </w:p>
    <w:p w14:paraId="0DED2D85" w14:textId="4D11F20A" w:rsidR="004B2914" w:rsidRPr="00300F72" w:rsidRDefault="004B2914" w:rsidP="004B2914">
      <w:pPr>
        <w:pStyle w:val="ListBullet"/>
      </w:pPr>
      <w:r>
        <w:t xml:space="preserve">Creation of a whole school professional learning plan aligned with the school’s improvement agenda </w:t>
      </w:r>
    </w:p>
    <w:p w14:paraId="200F6B8B" w14:textId="39BAB113" w:rsidR="0093040B" w:rsidRPr="005D5A16" w:rsidRDefault="005D5A16" w:rsidP="001B26EA">
      <w:pPr>
        <w:pStyle w:val="ListBullet"/>
      </w:pPr>
      <w:r w:rsidRPr="005D5A16">
        <w:rPr>
          <w:color w:val="000000" w:themeColor="text1"/>
        </w:rPr>
        <w:t>Engaging students as key stakeholders in their learning so that student voice is captured and evident across the college</w:t>
      </w:r>
    </w:p>
    <w:p w14:paraId="59777CE8" w14:textId="130E20DD" w:rsidR="00300F72" w:rsidRPr="001B26EA" w:rsidRDefault="00300F72" w:rsidP="001B26EA">
      <w:pPr>
        <w:pStyle w:val="ListBullet"/>
      </w:pPr>
      <w:r w:rsidRPr="001B26EA">
        <w:br w:type="page"/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5A7DC0CC" w14:textId="29803650" w:rsidR="00837137" w:rsidRPr="000F0410" w:rsidRDefault="00837137" w:rsidP="00837137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664070">
        <w:rPr>
          <w:color w:val="auto"/>
        </w:rPr>
        <w:t>Enable all students to achieve a minimum of one year’s growth for one year’s learning</w:t>
      </w:r>
    </w:p>
    <w:p w14:paraId="255A28BA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0ED94083" w14:textId="226E029B" w:rsidR="000031B5" w:rsidRDefault="00481BD2" w:rsidP="0058339C">
      <w:pPr>
        <w:pStyle w:val="BodyText"/>
      </w:pPr>
      <w:r>
        <w:t xml:space="preserve">By the end of </w:t>
      </w:r>
      <w:r w:rsidR="00453559">
        <w:t>202</w:t>
      </w:r>
      <w:r w:rsidR="00866539">
        <w:t>1</w:t>
      </w:r>
      <w:r w:rsidR="000031B5">
        <w:t xml:space="preserve"> we will achieve:</w:t>
      </w:r>
    </w:p>
    <w:p w14:paraId="29160658" w14:textId="06CD50E0" w:rsidR="00AF4FDC" w:rsidRDefault="005D773C" w:rsidP="00B85786">
      <w:pPr>
        <w:pStyle w:val="ListBullet"/>
      </w:pPr>
      <w:r>
        <w:t>Growth in the proportion of grades awarded at C grade and higher</w:t>
      </w:r>
      <w:r w:rsidR="009E6907">
        <w:t xml:space="preserve"> across semesters</w:t>
      </w:r>
    </w:p>
    <w:p w14:paraId="0DA4681C" w14:textId="773ABFA1" w:rsidR="00B85786" w:rsidRDefault="00B85786" w:rsidP="00B85786">
      <w:pPr>
        <w:pStyle w:val="ListBullet"/>
      </w:pPr>
      <w:r w:rsidRPr="000608E1">
        <w:t>Effect size ≥ 0.4</w:t>
      </w:r>
      <w:r>
        <w:t xml:space="preserve"> on Reading, Maths and Science online PAT tests</w:t>
      </w:r>
    </w:p>
    <w:p w14:paraId="509FD95B" w14:textId="1F624ED4" w:rsidR="00B85786" w:rsidRPr="00B85786" w:rsidRDefault="00B85786" w:rsidP="00AB6E8E">
      <w:pPr>
        <w:pStyle w:val="ListBullet"/>
        <w:rPr>
          <w:iCs/>
        </w:rPr>
      </w:pPr>
      <w:r w:rsidRPr="00B85786">
        <w:rPr>
          <w:iCs/>
          <w:color w:val="000000"/>
        </w:rPr>
        <w:t>Increase proportion of all students attaining at Secondary School Certificate above 88%</w:t>
      </w:r>
    </w:p>
    <w:p w14:paraId="4C4BB8ED" w14:textId="77777777" w:rsidR="00AF4FDC" w:rsidRDefault="00AF4FDC" w:rsidP="00AF4FDC">
      <w:pPr>
        <w:pStyle w:val="ListBullet"/>
        <w:numPr>
          <w:ilvl w:val="0"/>
          <w:numId w:val="0"/>
        </w:numPr>
        <w:ind w:left="360"/>
      </w:pPr>
    </w:p>
    <w:p w14:paraId="1319DBFF" w14:textId="0CCC1E56" w:rsidR="004D5E45" w:rsidRPr="00373DC0" w:rsidRDefault="004D5E45" w:rsidP="00B85786">
      <w:pPr>
        <w:pStyle w:val="ListBullet"/>
        <w:numPr>
          <w:ilvl w:val="0"/>
          <w:numId w:val="0"/>
        </w:numPr>
      </w:pPr>
      <w:r w:rsidRPr="00373DC0">
        <w:t>In 20</w:t>
      </w:r>
      <w:r w:rsidR="00453559">
        <w:t>2</w:t>
      </w:r>
      <w:r w:rsidR="00866539">
        <w:t>1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27C3F19F" w14:textId="39AE0BA3" w:rsidR="00B85786" w:rsidRDefault="00B85786" w:rsidP="00FE719D">
      <w:pPr>
        <w:pStyle w:val="ListBullet"/>
      </w:pPr>
      <w:r>
        <w:t>Creation of a data plan incorporating the full range of college data</w:t>
      </w:r>
    </w:p>
    <w:p w14:paraId="650133BB" w14:textId="2BCE60AF" w:rsidR="00C67C83" w:rsidRDefault="00C67C83" w:rsidP="00FE719D">
      <w:pPr>
        <w:pStyle w:val="ListBullet"/>
      </w:pPr>
      <w:r>
        <w:t>Incorporating Visible Learning (specifically Learning Intentions and Success Criteria) into every classroom.</w:t>
      </w:r>
    </w:p>
    <w:p w14:paraId="3841386A" w14:textId="68EAA9AB" w:rsidR="00C67C83" w:rsidRDefault="00163B9D" w:rsidP="00FE719D">
      <w:pPr>
        <w:pStyle w:val="ListBullet"/>
      </w:pPr>
      <w:r>
        <w:t>Providing academic support for students through study skills classes and other strategies.</w:t>
      </w:r>
    </w:p>
    <w:p w14:paraId="431EE276" w14:textId="77777777" w:rsidR="009C11FD" w:rsidRDefault="009C11FD" w:rsidP="00997CD0">
      <w:pPr>
        <w:pStyle w:val="PlainText"/>
        <w:rPr>
          <w:i/>
        </w:rPr>
      </w:pPr>
    </w:p>
    <w:p w14:paraId="7DFF073D" w14:textId="53501ABF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11CF2626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2744B2CC" w14:textId="77777777" w:rsidR="006D2F6B" w:rsidRPr="00D03B0C" w:rsidRDefault="006D2F6B" w:rsidP="00D03B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18BFB5A" w14:textId="7E1F3544" w:rsidR="006D2F6B" w:rsidRPr="00D03B0C" w:rsidRDefault="005A5DCB" w:rsidP="00D56F59">
            <w:pPr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42366ADC" w14:textId="081A4ECE" w:rsidR="006D2F6B" w:rsidRPr="00D03B0C" w:rsidRDefault="00903E04" w:rsidP="00D56F5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3CAE587B" w14:textId="75C53EAD" w:rsidR="006D2F6B" w:rsidRPr="00D03B0C" w:rsidRDefault="005A5DCB" w:rsidP="00D56F5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0" w:type="dxa"/>
            <w:shd w:val="clear" w:color="auto" w:fill="auto"/>
          </w:tcPr>
          <w:p w14:paraId="0785495E" w14:textId="7651D8C6" w:rsidR="006D2F6B" w:rsidRPr="00D03B0C" w:rsidRDefault="005A5DCB" w:rsidP="00D56F5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90" w:type="dxa"/>
            <w:shd w:val="clear" w:color="auto" w:fill="auto"/>
          </w:tcPr>
          <w:p w14:paraId="1F5C5718" w14:textId="2C5A8F19" w:rsidR="006D2F6B" w:rsidRPr="00D03B0C" w:rsidRDefault="005A5DCB" w:rsidP="00D56F5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91" w:type="dxa"/>
            <w:shd w:val="clear" w:color="auto" w:fill="auto"/>
          </w:tcPr>
          <w:p w14:paraId="3485F32F" w14:textId="0F2474EA" w:rsidR="006D2F6B" w:rsidRPr="00D03B0C" w:rsidRDefault="005A5DCB" w:rsidP="00D56F59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6D2F6B" w14:paraId="3B6F6B79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2F72BA3" w14:textId="61F4124E" w:rsidR="006D2F6B" w:rsidRPr="00D03B0C" w:rsidRDefault="00B85786" w:rsidP="00D03B0C">
            <w:pPr>
              <w:pStyle w:val="PlainText"/>
            </w:pPr>
            <w:r>
              <w:t>Growth in proportion of C Grades and above Year 11</w:t>
            </w:r>
          </w:p>
        </w:tc>
        <w:tc>
          <w:tcPr>
            <w:tcW w:w="790" w:type="dxa"/>
            <w:shd w:val="clear" w:color="auto" w:fill="auto"/>
          </w:tcPr>
          <w:p w14:paraId="6F51F004" w14:textId="6EFF960E" w:rsidR="006D2F6B" w:rsidRPr="00D03B0C" w:rsidRDefault="00C9657C" w:rsidP="00D03B0C">
            <w:r>
              <w:t>65%</w:t>
            </w:r>
          </w:p>
        </w:tc>
        <w:tc>
          <w:tcPr>
            <w:tcW w:w="790" w:type="dxa"/>
            <w:shd w:val="clear" w:color="auto" w:fill="auto"/>
          </w:tcPr>
          <w:p w14:paraId="3571C78F" w14:textId="58889F7F" w:rsidR="006D2F6B" w:rsidRPr="00D03B0C" w:rsidRDefault="00C9657C" w:rsidP="00D03B0C">
            <w:r>
              <w:t>54%</w:t>
            </w:r>
          </w:p>
        </w:tc>
        <w:tc>
          <w:tcPr>
            <w:tcW w:w="790" w:type="dxa"/>
            <w:shd w:val="clear" w:color="auto" w:fill="auto"/>
          </w:tcPr>
          <w:p w14:paraId="69018766" w14:textId="1F5EEA83" w:rsidR="006D2F6B" w:rsidRPr="00D03B0C" w:rsidRDefault="00201E69" w:rsidP="00D03B0C">
            <w:r>
              <w:t>54%</w:t>
            </w:r>
          </w:p>
        </w:tc>
        <w:tc>
          <w:tcPr>
            <w:tcW w:w="790" w:type="dxa"/>
            <w:shd w:val="clear" w:color="auto" w:fill="auto"/>
          </w:tcPr>
          <w:p w14:paraId="7AB434B5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6E571018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1D114ACD" w14:textId="77777777" w:rsidR="006D2F6B" w:rsidRPr="00D03B0C" w:rsidRDefault="006D2F6B" w:rsidP="00D03B0C"/>
        </w:tc>
      </w:tr>
      <w:tr w:rsidR="006D2F6B" w14:paraId="3E447EB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3C7AC1FF" w14:textId="3D441A9C" w:rsidR="006D2F6B" w:rsidRPr="00D03B0C" w:rsidRDefault="00B85786" w:rsidP="006D2F6B">
            <w:r>
              <w:t>Growth in proportion of C Grades and above Year 12</w:t>
            </w:r>
          </w:p>
        </w:tc>
        <w:tc>
          <w:tcPr>
            <w:tcW w:w="790" w:type="dxa"/>
            <w:shd w:val="clear" w:color="auto" w:fill="auto"/>
          </w:tcPr>
          <w:p w14:paraId="4C712096" w14:textId="32722707" w:rsidR="006D2F6B" w:rsidRPr="00D03B0C" w:rsidRDefault="00C9657C" w:rsidP="00D03B0C">
            <w:r>
              <w:t>65%</w:t>
            </w:r>
          </w:p>
        </w:tc>
        <w:tc>
          <w:tcPr>
            <w:tcW w:w="790" w:type="dxa"/>
            <w:shd w:val="clear" w:color="auto" w:fill="auto"/>
          </w:tcPr>
          <w:p w14:paraId="2AFC093D" w14:textId="73AAA973" w:rsidR="006D2F6B" w:rsidRPr="00D03B0C" w:rsidRDefault="00C9657C" w:rsidP="00D03B0C">
            <w:r>
              <w:t>63%</w:t>
            </w:r>
          </w:p>
        </w:tc>
        <w:tc>
          <w:tcPr>
            <w:tcW w:w="790" w:type="dxa"/>
            <w:shd w:val="clear" w:color="auto" w:fill="auto"/>
          </w:tcPr>
          <w:p w14:paraId="21FB2E79" w14:textId="4A188FD4" w:rsidR="006D2F6B" w:rsidRPr="00D03B0C" w:rsidRDefault="00201E69" w:rsidP="00D03B0C">
            <w:r>
              <w:t>60.1%</w:t>
            </w:r>
          </w:p>
        </w:tc>
        <w:tc>
          <w:tcPr>
            <w:tcW w:w="790" w:type="dxa"/>
            <w:shd w:val="clear" w:color="auto" w:fill="auto"/>
          </w:tcPr>
          <w:p w14:paraId="3C328C1C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7A35D1D4" w14:textId="77777777" w:rsidR="006D2F6B" w:rsidRPr="00D03B0C" w:rsidRDefault="006D2F6B" w:rsidP="00D03B0C"/>
        </w:tc>
        <w:tc>
          <w:tcPr>
            <w:tcW w:w="791" w:type="dxa"/>
            <w:shd w:val="clear" w:color="auto" w:fill="auto"/>
          </w:tcPr>
          <w:p w14:paraId="7DBFB30A" w14:textId="77777777" w:rsidR="006D2F6B" w:rsidRPr="00D03B0C" w:rsidRDefault="006D2F6B" w:rsidP="00D03B0C"/>
        </w:tc>
      </w:tr>
    </w:tbl>
    <w:p w14:paraId="64BF1F74" w14:textId="77777777" w:rsidR="008A01DA" w:rsidRPr="008A01DA" w:rsidRDefault="008A01DA" w:rsidP="00C0648C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4EF7DD9F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13269C94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4B51A1C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15B7F1C3" w14:textId="48447751" w:rsidR="006D2F6B" w:rsidRPr="006D2F6B" w:rsidRDefault="005A5DCB" w:rsidP="00D56F5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4CC28E98" w14:textId="41C186C3" w:rsidR="006D2F6B" w:rsidRPr="006D2F6B" w:rsidRDefault="005A5DCB" w:rsidP="00D56F5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0" w:type="dxa"/>
            <w:shd w:val="clear" w:color="auto" w:fill="auto"/>
          </w:tcPr>
          <w:p w14:paraId="5EE5455E" w14:textId="7667B2F1" w:rsidR="006D2F6B" w:rsidRPr="006D2F6B" w:rsidRDefault="005A5DCB" w:rsidP="00D56F5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90" w:type="dxa"/>
            <w:shd w:val="clear" w:color="auto" w:fill="auto"/>
          </w:tcPr>
          <w:p w14:paraId="1CA3136C" w14:textId="43DE4320" w:rsidR="006D2F6B" w:rsidRPr="006D2F6B" w:rsidRDefault="005A5DCB" w:rsidP="00D56F5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91" w:type="dxa"/>
            <w:shd w:val="clear" w:color="auto" w:fill="auto"/>
          </w:tcPr>
          <w:p w14:paraId="372CDBC5" w14:textId="317F9A9E" w:rsidR="006D2F6B" w:rsidRPr="006D2F6B" w:rsidRDefault="005A5DCB" w:rsidP="00D56F59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6D2F6B" w14:paraId="71FE611D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5052F355" w14:textId="77777777" w:rsidR="00903E04" w:rsidRPr="00903E04" w:rsidRDefault="00903E04" w:rsidP="00903E0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i/>
                <w:color w:val="000000"/>
                <w:lang w:eastAsia="en-AU" w:bidi="en-AU"/>
              </w:rPr>
            </w:pPr>
            <w:r w:rsidRPr="00903E04">
              <w:rPr>
                <w:rFonts w:ascii="Calibri" w:eastAsia="Calibri" w:hAnsi="Calibri" w:cs="Calibri"/>
                <w:i/>
                <w:color w:val="000000"/>
                <w:lang w:eastAsia="en-AU" w:bidi="en-AU"/>
              </w:rPr>
              <w:t>Attain and consistently maintain scores above system average in the following three perception items:</w:t>
            </w:r>
          </w:p>
          <w:p w14:paraId="194DD7A7" w14:textId="77777777" w:rsidR="00903E04" w:rsidRPr="00903E04" w:rsidRDefault="00903E04" w:rsidP="00903E0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Calibri" w:eastAsia="Calibri" w:hAnsi="Calibri" w:cs="Calibri"/>
                <w:b/>
                <w:lang w:eastAsia="en-AU" w:bidi="en-AU"/>
              </w:rPr>
            </w:pPr>
            <w:r w:rsidRPr="00903E04">
              <w:rPr>
                <w:rFonts w:ascii="Calibri" w:eastAsia="Calibri" w:hAnsi="Calibri" w:cs="Calibri"/>
                <w:i/>
                <w:color w:val="000000"/>
              </w:rPr>
              <w:t>My teachers expect me to do my best</w:t>
            </w:r>
          </w:p>
          <w:p w14:paraId="5A56D7FD" w14:textId="77777777" w:rsidR="00903E04" w:rsidRPr="00903E04" w:rsidRDefault="00903E04" w:rsidP="00903E0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Calibri" w:eastAsia="Calibri" w:hAnsi="Calibri" w:cs="Calibri"/>
                <w:b/>
                <w:lang w:eastAsia="en-AU" w:bidi="en-AU"/>
              </w:rPr>
            </w:pPr>
            <w:r w:rsidRPr="00903E04">
              <w:rPr>
                <w:rFonts w:ascii="Calibri" w:eastAsia="Calibri" w:hAnsi="Calibri" w:cs="Calibri"/>
                <w:i/>
                <w:color w:val="000000"/>
              </w:rPr>
              <w:t>I’m satisfied I’m getting a good education at this school</w:t>
            </w:r>
          </w:p>
          <w:p w14:paraId="50A8F933" w14:textId="77777777" w:rsidR="00903E04" w:rsidRPr="00903E04" w:rsidRDefault="00903E04" w:rsidP="00903E0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Calibri" w:eastAsia="Calibri" w:hAnsi="Calibri" w:cs="Calibri"/>
                <w:b/>
                <w:lang w:eastAsia="en-AU" w:bidi="en-AU"/>
              </w:rPr>
            </w:pPr>
            <w:r w:rsidRPr="00903E04">
              <w:rPr>
                <w:rFonts w:ascii="Calibri" w:eastAsia="Calibri" w:hAnsi="Calibri" w:cs="Calibri"/>
                <w:i/>
                <w:color w:val="000000"/>
              </w:rPr>
              <w:t>I am satisfied that this school has high expectations in all that it does</w:t>
            </w:r>
          </w:p>
          <w:p w14:paraId="15FDFA6D" w14:textId="1A6C85BA" w:rsidR="006D2F6B" w:rsidRPr="006D2F6B" w:rsidRDefault="006D2F6B" w:rsidP="00D03B0C">
            <w:pPr>
              <w:pStyle w:val="PlainText"/>
            </w:pPr>
          </w:p>
        </w:tc>
        <w:tc>
          <w:tcPr>
            <w:tcW w:w="790" w:type="dxa"/>
            <w:shd w:val="clear" w:color="auto" w:fill="auto"/>
          </w:tcPr>
          <w:p w14:paraId="0CA8C7BD" w14:textId="77777777" w:rsidR="006D2F6B" w:rsidRDefault="006D2F6B" w:rsidP="00D03B0C"/>
          <w:p w14:paraId="121916BD" w14:textId="77777777" w:rsidR="006A26F8" w:rsidRDefault="006A26F8" w:rsidP="00D03B0C"/>
          <w:p w14:paraId="350CC18B" w14:textId="77777777" w:rsidR="006A26F8" w:rsidRDefault="006A26F8" w:rsidP="00D03B0C"/>
          <w:p w14:paraId="0F622DAA" w14:textId="77777777" w:rsidR="006A26F8" w:rsidRDefault="006A26F8" w:rsidP="00D03B0C">
            <w:r>
              <w:t>1.5%</w:t>
            </w:r>
          </w:p>
          <w:p w14:paraId="44E21E1E" w14:textId="77777777" w:rsidR="006A26F8" w:rsidRDefault="006A26F8" w:rsidP="00D03B0C"/>
          <w:p w14:paraId="37EB532C" w14:textId="3A425FEF" w:rsidR="006A26F8" w:rsidRDefault="006A26F8" w:rsidP="00D03B0C">
            <w:r>
              <w:t>-</w:t>
            </w:r>
            <w:r w:rsidR="00F25171">
              <w:t>1.8</w:t>
            </w:r>
            <w:r>
              <w:t>%</w:t>
            </w:r>
          </w:p>
          <w:p w14:paraId="6192906A" w14:textId="77777777" w:rsidR="006A26F8" w:rsidRDefault="006A26F8" w:rsidP="00D03B0C"/>
          <w:p w14:paraId="4B7CDD05" w14:textId="3EDB9F41" w:rsidR="006A26F8" w:rsidRPr="006D2F6B" w:rsidRDefault="00F25171" w:rsidP="00D03B0C">
            <w:r>
              <w:t>-6.6%</w:t>
            </w:r>
          </w:p>
        </w:tc>
        <w:tc>
          <w:tcPr>
            <w:tcW w:w="790" w:type="dxa"/>
            <w:shd w:val="clear" w:color="auto" w:fill="auto"/>
          </w:tcPr>
          <w:p w14:paraId="6B621364" w14:textId="77777777" w:rsidR="006D2F6B" w:rsidRDefault="006D2F6B" w:rsidP="00D03B0C"/>
          <w:p w14:paraId="7C85BA92" w14:textId="77777777" w:rsidR="00F25171" w:rsidRDefault="00F25171" w:rsidP="00D03B0C"/>
          <w:p w14:paraId="6B08715E" w14:textId="77777777" w:rsidR="00F25171" w:rsidRDefault="00F25171" w:rsidP="00D03B0C"/>
          <w:p w14:paraId="09ED4BEE" w14:textId="34470F2C" w:rsidR="00F25171" w:rsidRDefault="008B5FDE" w:rsidP="00D03B0C">
            <w:r>
              <w:t>1</w:t>
            </w:r>
            <w:r w:rsidR="00EC51C6">
              <w:t>%</w:t>
            </w:r>
          </w:p>
          <w:p w14:paraId="1BB803EC" w14:textId="77777777" w:rsidR="00F25171" w:rsidRDefault="00F25171" w:rsidP="00D03B0C"/>
          <w:p w14:paraId="22FC0C37" w14:textId="6D5839E5" w:rsidR="00F25171" w:rsidRDefault="008B5FDE" w:rsidP="008B5FDE">
            <w:r>
              <w:t>-5%</w:t>
            </w:r>
          </w:p>
          <w:p w14:paraId="2038114E" w14:textId="77777777" w:rsidR="00691620" w:rsidRDefault="00691620" w:rsidP="00691620">
            <w:pPr>
              <w:jc w:val="center"/>
            </w:pPr>
          </w:p>
          <w:p w14:paraId="1037F637" w14:textId="105B2DC9" w:rsidR="00F25171" w:rsidRPr="006D2F6B" w:rsidRDefault="00F25171" w:rsidP="00D03B0C">
            <w:r>
              <w:t>-5.4%</w:t>
            </w:r>
          </w:p>
        </w:tc>
        <w:tc>
          <w:tcPr>
            <w:tcW w:w="790" w:type="dxa"/>
            <w:shd w:val="clear" w:color="auto" w:fill="auto"/>
          </w:tcPr>
          <w:p w14:paraId="37E4D8E5" w14:textId="77777777" w:rsidR="006D2F6B" w:rsidRDefault="006D2F6B" w:rsidP="00D03B0C"/>
          <w:p w14:paraId="79D4FA48" w14:textId="77777777" w:rsidR="00A96D95" w:rsidRDefault="00A96D95" w:rsidP="00D03B0C"/>
          <w:p w14:paraId="6506CCDB" w14:textId="77777777" w:rsidR="00A96D95" w:rsidRDefault="00A96D95" w:rsidP="00D03B0C"/>
          <w:p w14:paraId="75C710CE" w14:textId="77777777" w:rsidR="00A96D95" w:rsidRDefault="00A96D95" w:rsidP="00D03B0C">
            <w:r>
              <w:t>11</w:t>
            </w:r>
            <w:r w:rsidR="008B5FDE">
              <w:t>%</w:t>
            </w:r>
          </w:p>
          <w:p w14:paraId="5D05E673" w14:textId="77777777" w:rsidR="008B5FDE" w:rsidRDefault="008B5FDE" w:rsidP="00D03B0C"/>
          <w:p w14:paraId="7FF74C26" w14:textId="77777777" w:rsidR="008B5FDE" w:rsidRDefault="008B5FDE" w:rsidP="00D03B0C">
            <w:r>
              <w:t>-5%</w:t>
            </w:r>
          </w:p>
          <w:p w14:paraId="77091A5D" w14:textId="77777777" w:rsidR="004B0BBE" w:rsidRDefault="004B0BBE" w:rsidP="00D03B0C"/>
          <w:p w14:paraId="4DED56F3" w14:textId="499050DF" w:rsidR="004B0BBE" w:rsidRPr="006D2F6B" w:rsidRDefault="004B0BBE" w:rsidP="00D03B0C">
            <w:r>
              <w:t>-3%</w:t>
            </w:r>
          </w:p>
        </w:tc>
        <w:tc>
          <w:tcPr>
            <w:tcW w:w="790" w:type="dxa"/>
            <w:shd w:val="clear" w:color="auto" w:fill="auto"/>
          </w:tcPr>
          <w:p w14:paraId="252D803F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5D9DADCD" w14:textId="77777777" w:rsidR="006D2F6B" w:rsidRPr="006D2F6B" w:rsidRDefault="006D2F6B" w:rsidP="00D03B0C"/>
        </w:tc>
        <w:tc>
          <w:tcPr>
            <w:tcW w:w="791" w:type="dxa"/>
            <w:shd w:val="clear" w:color="auto" w:fill="auto"/>
          </w:tcPr>
          <w:p w14:paraId="0521852A" w14:textId="77777777" w:rsidR="006D2F6B" w:rsidRPr="006D2F6B" w:rsidRDefault="006D2F6B" w:rsidP="00D03B0C"/>
        </w:tc>
      </w:tr>
    </w:tbl>
    <w:p w14:paraId="02078B9E" w14:textId="77777777" w:rsidR="008A01DA" w:rsidRPr="008A01DA" w:rsidRDefault="008A01DA" w:rsidP="00C0648C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6D2F6B" w14:paraId="5A7D1DBC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7683E7F7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3D66D815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D7C7705" w14:textId="33E17AC4" w:rsidR="006D2F6B" w:rsidRPr="006D2F6B" w:rsidRDefault="005A5DCB" w:rsidP="00D56F5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1AEEC90B" w14:textId="30965857" w:rsidR="006D2F6B" w:rsidRPr="006D2F6B" w:rsidRDefault="005A5DCB" w:rsidP="00D56F5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0" w:type="dxa"/>
            <w:shd w:val="clear" w:color="auto" w:fill="auto"/>
          </w:tcPr>
          <w:p w14:paraId="55A376BF" w14:textId="070EB0EB" w:rsidR="006D2F6B" w:rsidRPr="006D2F6B" w:rsidRDefault="005A5DCB" w:rsidP="00D56F5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90" w:type="dxa"/>
            <w:shd w:val="clear" w:color="auto" w:fill="auto"/>
          </w:tcPr>
          <w:p w14:paraId="7B0F6FB9" w14:textId="1715F75A" w:rsidR="006D2F6B" w:rsidRPr="006D2F6B" w:rsidRDefault="005A5DCB" w:rsidP="00D56F5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91" w:type="dxa"/>
            <w:shd w:val="clear" w:color="auto" w:fill="auto"/>
          </w:tcPr>
          <w:p w14:paraId="1A3E1375" w14:textId="4B02DE3E" w:rsidR="006D2F6B" w:rsidRPr="006D2F6B" w:rsidRDefault="005A5DCB" w:rsidP="00D56F59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6D2F6B" w14:paraId="511DB66E" w14:textId="77777777" w:rsidTr="00D03B0C">
        <w:trPr>
          <w:jc w:val="center"/>
        </w:trPr>
        <w:tc>
          <w:tcPr>
            <w:tcW w:w="4297" w:type="dxa"/>
            <w:shd w:val="clear" w:color="auto" w:fill="auto"/>
          </w:tcPr>
          <w:p w14:paraId="0CEA91E9" w14:textId="0B102ED3" w:rsidR="006D2F6B" w:rsidRPr="006D2F6B" w:rsidRDefault="00903E04" w:rsidP="00D03B0C">
            <w:pPr>
              <w:pStyle w:val="PlainText"/>
            </w:pPr>
            <w:r>
              <w:t xml:space="preserve">Increase proportion of students attaining SSC </w:t>
            </w:r>
          </w:p>
        </w:tc>
        <w:tc>
          <w:tcPr>
            <w:tcW w:w="790" w:type="dxa"/>
            <w:shd w:val="clear" w:color="auto" w:fill="auto"/>
          </w:tcPr>
          <w:p w14:paraId="1DEC5E9B" w14:textId="61637FB3" w:rsidR="006D2F6B" w:rsidRPr="006D2F6B" w:rsidRDefault="006B345B" w:rsidP="006B345B">
            <w:pPr>
              <w:jc w:val="center"/>
            </w:pPr>
            <w:r>
              <w:t>83%</w:t>
            </w:r>
          </w:p>
        </w:tc>
        <w:tc>
          <w:tcPr>
            <w:tcW w:w="790" w:type="dxa"/>
            <w:shd w:val="clear" w:color="auto" w:fill="auto"/>
          </w:tcPr>
          <w:p w14:paraId="0FF61450" w14:textId="73EF2DB0" w:rsidR="006D2F6B" w:rsidRPr="006D2F6B" w:rsidRDefault="006B345B" w:rsidP="006B345B">
            <w:pPr>
              <w:jc w:val="center"/>
            </w:pPr>
            <w:r>
              <w:t>79%</w:t>
            </w:r>
          </w:p>
        </w:tc>
        <w:tc>
          <w:tcPr>
            <w:tcW w:w="790" w:type="dxa"/>
            <w:shd w:val="clear" w:color="auto" w:fill="auto"/>
          </w:tcPr>
          <w:p w14:paraId="6E75F6C9" w14:textId="072A8B74" w:rsidR="006D2F6B" w:rsidRPr="006D2F6B" w:rsidRDefault="00866539" w:rsidP="00D03B0C">
            <w:r>
              <w:t>87%</w:t>
            </w:r>
          </w:p>
        </w:tc>
        <w:tc>
          <w:tcPr>
            <w:tcW w:w="790" w:type="dxa"/>
            <w:shd w:val="clear" w:color="auto" w:fill="auto"/>
          </w:tcPr>
          <w:p w14:paraId="3E895FED" w14:textId="77777777" w:rsidR="006D2F6B" w:rsidRPr="006D2F6B" w:rsidRDefault="006D2F6B" w:rsidP="00D03B0C"/>
        </w:tc>
        <w:tc>
          <w:tcPr>
            <w:tcW w:w="790" w:type="dxa"/>
            <w:shd w:val="clear" w:color="auto" w:fill="auto"/>
          </w:tcPr>
          <w:p w14:paraId="3731D7F2" w14:textId="77777777" w:rsidR="006D2F6B" w:rsidRPr="006D2F6B" w:rsidRDefault="006D2F6B" w:rsidP="00D03B0C"/>
        </w:tc>
        <w:tc>
          <w:tcPr>
            <w:tcW w:w="791" w:type="dxa"/>
            <w:shd w:val="clear" w:color="auto" w:fill="auto"/>
          </w:tcPr>
          <w:p w14:paraId="0E363862" w14:textId="77777777" w:rsidR="006D2F6B" w:rsidRPr="006D2F6B" w:rsidRDefault="006D2F6B" w:rsidP="00D03B0C"/>
        </w:tc>
      </w:tr>
    </w:tbl>
    <w:p w14:paraId="6D092A05" w14:textId="77777777" w:rsidR="008A01DA" w:rsidRDefault="008A01DA" w:rsidP="00E061B8">
      <w:pPr>
        <w:pStyle w:val="BodyText"/>
      </w:pPr>
    </w:p>
    <w:p w14:paraId="139DE5A0" w14:textId="77777777" w:rsidR="003C69DC" w:rsidRPr="00E061B8" w:rsidRDefault="00997CD0" w:rsidP="005C7432">
      <w:pPr>
        <w:pStyle w:val="Heading3"/>
      </w:pPr>
      <w:r w:rsidRPr="00E061B8">
        <w:lastRenderedPageBreak/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1C059DAA" w14:textId="010453C7" w:rsidR="00DC4550" w:rsidRDefault="00B05873" w:rsidP="00B05873">
            <w:pPr>
              <w:pStyle w:val="PlainText"/>
              <w:ind w:left="426"/>
            </w:pPr>
            <w:r>
              <w:t>202</w:t>
            </w:r>
            <w:r w:rsidR="00866539">
              <w:t>1</w:t>
            </w:r>
            <w:r>
              <w:t xml:space="preserve"> was an atypical year in education, and the impacts of COVID-19 with a remote learning period h</w:t>
            </w:r>
            <w:r w:rsidR="00C233C9">
              <w:t>aving</w:t>
            </w:r>
            <w:r>
              <w:t xml:space="preserve"> a significant impact on student </w:t>
            </w:r>
            <w:r w:rsidR="00CD6C0A">
              <w:t xml:space="preserve">learning, </w:t>
            </w:r>
            <w:r w:rsidR="00922A14">
              <w:t>engagement,</w:t>
            </w:r>
            <w:r w:rsidR="00CD6C0A">
              <w:t xml:space="preserve"> </w:t>
            </w:r>
            <w:r>
              <w:t xml:space="preserve">and wellbeing. </w:t>
            </w:r>
          </w:p>
          <w:p w14:paraId="6F575AE6" w14:textId="00490FC6" w:rsidR="00DC4550" w:rsidRDefault="00DC4550" w:rsidP="00B05873">
            <w:pPr>
              <w:pStyle w:val="PlainText"/>
              <w:ind w:left="426"/>
            </w:pPr>
            <w:r>
              <w:t>In relation to the measurement of award of C grades and above,</w:t>
            </w:r>
            <w:r w:rsidR="00CD6C0A">
              <w:t xml:space="preserve"> it is noted that these results are similar to 2020. </w:t>
            </w:r>
            <w:r w:rsidR="0070540D">
              <w:t>This will be more closely monitored in 202</w:t>
            </w:r>
            <w:r w:rsidR="00866539">
              <w:t>2</w:t>
            </w:r>
            <w:r w:rsidR="0070540D">
              <w:t>.</w:t>
            </w:r>
          </w:p>
          <w:p w14:paraId="0DEECF69" w14:textId="1D97B6A1" w:rsidR="00CD6C0A" w:rsidRDefault="00CD6C0A" w:rsidP="00B05873">
            <w:pPr>
              <w:pStyle w:val="PlainText"/>
              <w:ind w:left="426"/>
            </w:pPr>
          </w:p>
          <w:p w14:paraId="60460B45" w14:textId="6AD2FFDB" w:rsidR="00CD6C0A" w:rsidRDefault="00CD6C0A" w:rsidP="00B05873">
            <w:pPr>
              <w:pStyle w:val="PlainText"/>
              <w:ind w:left="426"/>
            </w:pPr>
            <w:r>
              <w:t xml:space="preserve">PAT testing has commenced and </w:t>
            </w:r>
            <w:r w:rsidR="00F56F4A">
              <w:t>due to 2021 challenges</w:t>
            </w:r>
            <w:r w:rsidR="00173771">
              <w:t>,</w:t>
            </w:r>
            <w:r w:rsidR="00F56F4A">
              <w:t xml:space="preserve"> insufficient valid data was available. This will be a greater focus for 2022.</w:t>
            </w:r>
          </w:p>
          <w:p w14:paraId="6E672BD9" w14:textId="070A0BB0" w:rsidR="00C233C9" w:rsidRDefault="00C233C9" w:rsidP="00B05873">
            <w:pPr>
              <w:pStyle w:val="PlainText"/>
              <w:ind w:left="426"/>
            </w:pPr>
          </w:p>
          <w:p w14:paraId="276F0920" w14:textId="70BD4469" w:rsidR="00C233C9" w:rsidRDefault="00C233C9" w:rsidP="00B05873">
            <w:pPr>
              <w:pStyle w:val="PlainText"/>
              <w:ind w:left="426"/>
            </w:pPr>
            <w:r>
              <w:t xml:space="preserve">The proportion of students attaining a Senior Secondary Certificate in 2021 increased to 87%. This can be attributed to increased support for students at their point of need, including wellbeing and academic support. A focus on Learning Intentions and Success Criteria allowed students to positively engage in their learning. Other supports </w:t>
            </w:r>
            <w:r w:rsidR="00CD6C0A">
              <w:t>such as Study Skills and Academic support in the library through the Learning Hub also contributed to this increase.</w:t>
            </w:r>
          </w:p>
          <w:p w14:paraId="2DFB70DA" w14:textId="7E9E9ED6" w:rsidR="00B05873" w:rsidRDefault="00B05873" w:rsidP="00A624E3">
            <w:pPr>
              <w:pStyle w:val="PlainText"/>
            </w:pPr>
          </w:p>
        </w:tc>
      </w:tr>
    </w:tbl>
    <w:p w14:paraId="2C475ECA" w14:textId="43278ECF" w:rsidR="005611F4" w:rsidRPr="005611F4" w:rsidRDefault="00937D6F" w:rsidP="00CC2286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0F1D07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5B30B7E5" w14:textId="141AB51B" w:rsidR="008151AA" w:rsidRDefault="008151AA" w:rsidP="00CC2286">
            <w:pPr>
              <w:pStyle w:val="ListBullet"/>
            </w:pPr>
            <w:r>
              <w:t>An 8% increase in students attaining a Senior Secondary Certificate from the previous year.</w:t>
            </w:r>
          </w:p>
          <w:p w14:paraId="5FA289CC" w14:textId="02E8167C" w:rsidR="008151AA" w:rsidRDefault="008151AA" w:rsidP="00CC2286">
            <w:pPr>
              <w:pStyle w:val="ListBullet"/>
            </w:pPr>
            <w:r>
              <w:t>Student perception data is trending upwards with an increase of 10% in students perceiving that their teachers want them to do their best.</w:t>
            </w:r>
          </w:p>
          <w:p w14:paraId="097FF120" w14:textId="34487802" w:rsidR="00CC2286" w:rsidRDefault="00CC2286" w:rsidP="00CC2286">
            <w:pPr>
              <w:pStyle w:val="ListBullet"/>
            </w:pPr>
            <w:r>
              <w:t>Consistent whole school pedagogy focusing on Visible Learning</w:t>
            </w:r>
            <w:r w:rsidR="00866539">
              <w:t xml:space="preserve"> – implementing LISC &amp; Feedback</w:t>
            </w:r>
            <w:r w:rsidR="00B05F4B">
              <w:t>.</w:t>
            </w:r>
          </w:p>
          <w:p w14:paraId="51CF24B6" w14:textId="7B16E05C" w:rsidR="00B05F4B" w:rsidRDefault="00F56F4A" w:rsidP="00CC2286">
            <w:pPr>
              <w:pStyle w:val="ListBullet"/>
            </w:pPr>
            <w:r>
              <w:t>Developing</w:t>
            </w:r>
            <w:r w:rsidR="00B05F4B">
              <w:t xml:space="preserve"> and resourcing of the EC Honour Program</w:t>
            </w:r>
            <w:r>
              <w:t xml:space="preserve"> for a 2022 commencement to replace the Cambridge International Program.</w:t>
            </w:r>
          </w:p>
          <w:p w14:paraId="0C51FDA5" w14:textId="0DB98CFE" w:rsidR="00CC2286" w:rsidRDefault="00F56F4A" w:rsidP="00CC2286">
            <w:pPr>
              <w:pStyle w:val="ListBullet"/>
            </w:pPr>
            <w:r>
              <w:t>Commencement</w:t>
            </w:r>
            <w:r w:rsidR="00CC2286">
              <w:t xml:space="preserve"> of</w:t>
            </w:r>
            <w:r w:rsidR="00866539">
              <w:t xml:space="preserve"> an Impact Coaching Team incorporating SLCs and Aspiring Leaders</w:t>
            </w:r>
          </w:p>
          <w:p w14:paraId="407C4C14" w14:textId="213AC12D" w:rsidR="00CC2286" w:rsidRDefault="00866539" w:rsidP="00CC2286">
            <w:pPr>
              <w:pStyle w:val="ListBullet"/>
            </w:pPr>
            <w:r>
              <w:t xml:space="preserve">Creation of a PLC </w:t>
            </w:r>
            <w:r w:rsidRPr="00B05F4B">
              <w:rPr>
                <w:i/>
                <w:iCs/>
              </w:rPr>
              <w:t>Wangiralli</w:t>
            </w:r>
            <w:r>
              <w:t xml:space="preserve"> (Ngunnawal for ‘Listen”)</w:t>
            </w:r>
            <w:r w:rsidR="00B05F4B">
              <w:t>.</w:t>
            </w:r>
          </w:p>
          <w:p w14:paraId="48C5D032" w14:textId="6B7BE929" w:rsidR="00CA26FB" w:rsidRPr="00CA26FB" w:rsidRDefault="00CC2286" w:rsidP="00CC2286">
            <w:pPr>
              <w:pStyle w:val="ListBullet"/>
            </w:pPr>
            <w:r>
              <w:t>Creation of a whole school data plan taking into account the full range of college data</w:t>
            </w:r>
          </w:p>
        </w:tc>
      </w:tr>
    </w:tbl>
    <w:p w14:paraId="53530C31" w14:textId="77777777" w:rsidR="00937D6F" w:rsidRDefault="00937D6F" w:rsidP="00937D6F">
      <w:pPr>
        <w:pStyle w:val="BodyText"/>
      </w:pPr>
    </w:p>
    <w:p w14:paraId="73AF730F" w14:textId="70863328" w:rsidR="005611F4" w:rsidRPr="005611F4" w:rsidRDefault="00937D6F" w:rsidP="0070540D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0F1D07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71951A46" w14:textId="0A49F55E" w:rsidR="0090138C" w:rsidRDefault="0090138C" w:rsidP="00F56F4A">
            <w:pPr>
              <w:pStyle w:val="ListBullet"/>
            </w:pPr>
            <w:r>
              <w:t>Documented programs of learning for every course implementing SOLO Taxonomy.</w:t>
            </w:r>
          </w:p>
          <w:p w14:paraId="63C93DDF" w14:textId="1C39D460" w:rsidR="008151AA" w:rsidRDefault="008151AA" w:rsidP="00F56F4A">
            <w:pPr>
              <w:pStyle w:val="ListBullet"/>
            </w:pPr>
            <w:r>
              <w:t>Increasing C grades and above across accredited and tertiary courses for Years 10,11 and 12.</w:t>
            </w:r>
          </w:p>
          <w:p w14:paraId="2B271F97" w14:textId="25630BD2" w:rsidR="00F56F4A" w:rsidRDefault="0070540D" w:rsidP="00F56F4A">
            <w:pPr>
              <w:pStyle w:val="ListBullet"/>
            </w:pPr>
            <w:r w:rsidRPr="0070540D">
              <w:t>Implement Visible Learning approach to enable teachers to become evaluators of their own practice and impact</w:t>
            </w:r>
            <w:r w:rsidR="008151AA">
              <w:t>.</w:t>
            </w:r>
          </w:p>
          <w:p w14:paraId="74750B21" w14:textId="2E34C674" w:rsidR="008949FA" w:rsidRPr="008949FA" w:rsidRDefault="00B05F4B" w:rsidP="00F56F4A">
            <w:pPr>
              <w:pStyle w:val="ListBullet"/>
            </w:pPr>
            <w:r w:rsidRPr="00F56F4A">
              <w:rPr>
                <w:color w:val="000000" w:themeColor="text1"/>
              </w:rPr>
              <w:t>Further align the</w:t>
            </w:r>
            <w:r w:rsidR="008949FA" w:rsidRPr="00F56F4A">
              <w:rPr>
                <w:color w:val="000000" w:themeColor="text1"/>
              </w:rPr>
              <w:t xml:space="preserve"> whole school professional learning plan </w:t>
            </w:r>
            <w:r w:rsidRPr="00F56F4A">
              <w:rPr>
                <w:color w:val="000000" w:themeColor="text1"/>
              </w:rPr>
              <w:t>with evidence of impact through consistent implementation of LISC, SOLO Taxonomy &amp; Feedback.</w:t>
            </w:r>
          </w:p>
          <w:p w14:paraId="21501890" w14:textId="00F766F0" w:rsidR="00937D6F" w:rsidRDefault="00C67C83" w:rsidP="008151AA">
            <w:pPr>
              <w:pStyle w:val="ListBullet"/>
            </w:pPr>
            <w:r>
              <w:t>Acknowledging and celebrating academic achievement, such as the Honours Program, to enhance student perception data on the quality of their educational program.</w:t>
            </w:r>
          </w:p>
        </w:tc>
      </w:tr>
    </w:tbl>
    <w:p w14:paraId="4044E8BA" w14:textId="77777777" w:rsidR="00937D6F" w:rsidRDefault="00937D6F" w:rsidP="00937D6F">
      <w:pPr>
        <w:pStyle w:val="BodyText"/>
      </w:pPr>
    </w:p>
    <w:p w14:paraId="2EA0F1D3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6F6A05B7" w14:textId="2B9064F8" w:rsidR="00EB70CE" w:rsidRPr="000F0410" w:rsidRDefault="00EB70CE" w:rsidP="00EB70CE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lastRenderedPageBreak/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C75F74" w:rsidRPr="00C75F74">
        <w:rPr>
          <w:rFonts w:eastAsiaTheme="majorEastAsia" w:cstheme="minorHAnsi"/>
          <w:bCs/>
          <w:color w:val="000000" w:themeColor="text1"/>
          <w:szCs w:val="24"/>
        </w:rPr>
        <w:t>Students graduate with a strong sense of personal wellbeing and learning dispositions that prepare them for successful transition beyond college</w:t>
      </w:r>
    </w:p>
    <w:p w14:paraId="516A240E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6FF6208C" w14:textId="7EC49CDB" w:rsidR="00EB70CE" w:rsidRDefault="00EB70CE" w:rsidP="00EB70CE">
      <w:pPr>
        <w:pStyle w:val="BodyText"/>
      </w:pPr>
      <w:r>
        <w:t>By the end of 20</w:t>
      </w:r>
      <w:r w:rsidR="00C75F74">
        <w:t>2</w:t>
      </w:r>
      <w:r w:rsidR="00D31A14">
        <w:t>1</w:t>
      </w:r>
      <w:r>
        <w:t xml:space="preserve"> we will achieve:</w:t>
      </w:r>
    </w:p>
    <w:p w14:paraId="504B978A" w14:textId="046D0680" w:rsidR="00EB70CE" w:rsidRPr="00C75F74" w:rsidRDefault="00C75F74" w:rsidP="00EB70CE">
      <w:pPr>
        <w:pStyle w:val="ListBullet"/>
        <w:rPr>
          <w:iCs/>
        </w:rPr>
      </w:pPr>
      <w:r w:rsidRPr="00C75F74">
        <w:rPr>
          <w:iCs/>
          <w:color w:val="000000"/>
        </w:rPr>
        <w:t>Reduction in V grades from previous semester to current semester each year</w:t>
      </w:r>
    </w:p>
    <w:p w14:paraId="659F1718" w14:textId="7321E779" w:rsidR="00C75F74" w:rsidRPr="00C75F74" w:rsidRDefault="00C75F74" w:rsidP="00EB70CE">
      <w:pPr>
        <w:pStyle w:val="ListBullet"/>
        <w:rPr>
          <w:iCs/>
        </w:rPr>
      </w:pPr>
      <w:r w:rsidRPr="00C75F74">
        <w:rPr>
          <w:iCs/>
        </w:rPr>
        <w:t>Increase me</w:t>
      </w:r>
      <w:r w:rsidR="00A624E3">
        <w:rPr>
          <w:iCs/>
        </w:rPr>
        <w:t>an</w:t>
      </w:r>
      <w:r w:rsidRPr="00C75F74">
        <w:rPr>
          <w:iCs/>
        </w:rPr>
        <w:t xml:space="preserve"> AST scores across all five AST components</w:t>
      </w:r>
    </w:p>
    <w:p w14:paraId="27BEAE8E" w14:textId="2D6E3FAF" w:rsidR="00C75F74" w:rsidRPr="00C75F74" w:rsidRDefault="00C75F74" w:rsidP="00EB70CE">
      <w:pPr>
        <w:pStyle w:val="ListBullet"/>
        <w:rPr>
          <w:iCs/>
        </w:rPr>
      </w:pPr>
      <w:r w:rsidRPr="00C75F74">
        <w:rPr>
          <w:iCs/>
        </w:rPr>
        <w:t>Students report a high level of wellbeing</w:t>
      </w:r>
      <w:r w:rsidRPr="00C75F74">
        <w:rPr>
          <w:b/>
          <w:iCs/>
        </w:rPr>
        <w:t xml:space="preserve"> </w:t>
      </w:r>
      <w:r w:rsidRPr="00C75F74">
        <w:rPr>
          <w:iCs/>
        </w:rPr>
        <w:t>and connectedness to college</w:t>
      </w:r>
    </w:p>
    <w:p w14:paraId="798DD511" w14:textId="40B7C4E4" w:rsidR="00C75F74" w:rsidRPr="00C75F74" w:rsidRDefault="00C75F74" w:rsidP="00EB70CE">
      <w:pPr>
        <w:pStyle w:val="ListBullet"/>
        <w:rPr>
          <w:iCs/>
        </w:rPr>
      </w:pPr>
      <w:r w:rsidRPr="00C75F74">
        <w:rPr>
          <w:iCs/>
        </w:rPr>
        <w:t>Reduce proportion of special considerations for estimates and status</w:t>
      </w:r>
    </w:p>
    <w:p w14:paraId="6BF90988" w14:textId="5D4AFD8C" w:rsidR="00EB70CE" w:rsidRPr="00373DC0" w:rsidRDefault="00EB70CE" w:rsidP="00EB70CE">
      <w:pPr>
        <w:pStyle w:val="BodyText"/>
      </w:pPr>
      <w:r w:rsidRPr="00373DC0">
        <w:t>In 20</w:t>
      </w:r>
      <w:r w:rsidR="00C75F74">
        <w:t>2</w:t>
      </w:r>
      <w:r w:rsidR="00D31A14">
        <w:t>1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4BEF8C3C" w14:textId="0EFF15BE" w:rsidR="00EB70CE" w:rsidRDefault="00C75F74" w:rsidP="00EB70CE">
      <w:pPr>
        <w:pStyle w:val="ListBullet"/>
      </w:pPr>
      <w:r>
        <w:t xml:space="preserve">Implementation of a whole school </w:t>
      </w:r>
      <w:r w:rsidR="00D31A14">
        <w:t>Learner Profile</w:t>
      </w:r>
    </w:p>
    <w:p w14:paraId="20B3B269" w14:textId="0024AA98" w:rsidR="0030553A" w:rsidRDefault="0030553A" w:rsidP="0030553A">
      <w:pPr>
        <w:pStyle w:val="ListBullet"/>
      </w:pPr>
      <w:r>
        <w:t>Targeted wellbeing interventions to meet student need</w:t>
      </w:r>
    </w:p>
    <w:p w14:paraId="13F17F2B" w14:textId="33E25364" w:rsidR="00EB70CE" w:rsidRDefault="0030553A" w:rsidP="00EB70CE">
      <w:pPr>
        <w:pStyle w:val="ListBullet"/>
      </w:pPr>
      <w:r>
        <w:t>Increase student leadership opportunities and student voice</w:t>
      </w:r>
    </w:p>
    <w:p w14:paraId="32A84660" w14:textId="73424E97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7CA09BBA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52A1D276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8831A05" w14:textId="77777777" w:rsidR="00EB70CE" w:rsidRPr="00D03B0C" w:rsidRDefault="00EB70CE" w:rsidP="0065435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889F794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7FEBA05C" w14:textId="6D25BA6B" w:rsidR="00EB70CE" w:rsidRPr="00D03B0C" w:rsidRDefault="0030553A" w:rsidP="0065435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003E2E">
              <w:rPr>
                <w:b/>
              </w:rPr>
              <w:t xml:space="preserve"> S1</w:t>
            </w:r>
          </w:p>
        </w:tc>
        <w:tc>
          <w:tcPr>
            <w:tcW w:w="790" w:type="dxa"/>
            <w:shd w:val="clear" w:color="auto" w:fill="auto"/>
          </w:tcPr>
          <w:p w14:paraId="0D73E116" w14:textId="3D64E1FB" w:rsidR="00EB70CE" w:rsidRPr="00D03B0C" w:rsidRDefault="0030553A" w:rsidP="0065435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03E2E">
              <w:rPr>
                <w:b/>
              </w:rPr>
              <w:t>0 S2</w:t>
            </w:r>
          </w:p>
        </w:tc>
        <w:tc>
          <w:tcPr>
            <w:tcW w:w="790" w:type="dxa"/>
            <w:shd w:val="clear" w:color="auto" w:fill="auto"/>
          </w:tcPr>
          <w:p w14:paraId="6B703D55" w14:textId="77777777" w:rsidR="00EB70CE" w:rsidRDefault="0030553A" w:rsidP="0065435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07FB4">
              <w:rPr>
                <w:b/>
              </w:rPr>
              <w:t>1</w:t>
            </w:r>
          </w:p>
          <w:p w14:paraId="318EBF9E" w14:textId="2DF74B18" w:rsidR="00D31A14" w:rsidRPr="00D03B0C" w:rsidRDefault="00D31A14" w:rsidP="00654356">
            <w:pPr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790" w:type="dxa"/>
            <w:shd w:val="clear" w:color="auto" w:fill="auto"/>
          </w:tcPr>
          <w:p w14:paraId="7B9CBA24" w14:textId="77777777" w:rsidR="00EB70CE" w:rsidRDefault="0030553A" w:rsidP="0065435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07FB4">
              <w:rPr>
                <w:b/>
              </w:rPr>
              <w:t>1</w:t>
            </w:r>
          </w:p>
          <w:p w14:paraId="4C59D3D5" w14:textId="33FF3B06" w:rsidR="00D31A14" w:rsidRPr="00D03B0C" w:rsidRDefault="00D31A14" w:rsidP="00654356">
            <w:pPr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791" w:type="dxa"/>
            <w:shd w:val="clear" w:color="auto" w:fill="auto"/>
          </w:tcPr>
          <w:p w14:paraId="2D207E80" w14:textId="780B3F7C" w:rsidR="00EB70CE" w:rsidRPr="00D03B0C" w:rsidRDefault="00EB70CE" w:rsidP="00654356">
            <w:pPr>
              <w:jc w:val="center"/>
              <w:rPr>
                <w:b/>
              </w:rPr>
            </w:pPr>
          </w:p>
        </w:tc>
      </w:tr>
      <w:tr w:rsidR="00EB70CE" w14:paraId="619F7E44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53313F21" w14:textId="77777777" w:rsidR="002E5B9B" w:rsidRPr="00C75F74" w:rsidRDefault="002E5B9B" w:rsidP="002E5B9B">
            <w:pPr>
              <w:pStyle w:val="ListBullet"/>
              <w:numPr>
                <w:ilvl w:val="0"/>
                <w:numId w:val="0"/>
              </w:numPr>
              <w:rPr>
                <w:iCs/>
              </w:rPr>
            </w:pPr>
            <w:r w:rsidRPr="00C75F74">
              <w:rPr>
                <w:iCs/>
                <w:color w:val="000000"/>
              </w:rPr>
              <w:t>Reduction in V grades from previous semester to current semester each year</w:t>
            </w:r>
          </w:p>
          <w:p w14:paraId="2513CA2B" w14:textId="4A37A13B" w:rsidR="00EB70CE" w:rsidRPr="00D03B0C" w:rsidRDefault="00EB70CE" w:rsidP="00654356">
            <w:pPr>
              <w:pStyle w:val="PlainText"/>
            </w:pPr>
          </w:p>
        </w:tc>
        <w:tc>
          <w:tcPr>
            <w:tcW w:w="790" w:type="dxa"/>
            <w:shd w:val="clear" w:color="auto" w:fill="auto"/>
          </w:tcPr>
          <w:p w14:paraId="033F8A2C" w14:textId="08035F1D" w:rsidR="00EB70CE" w:rsidRPr="00D03B0C" w:rsidRDefault="00C9657C" w:rsidP="00654356">
            <w:r>
              <w:t>22%</w:t>
            </w:r>
          </w:p>
        </w:tc>
        <w:tc>
          <w:tcPr>
            <w:tcW w:w="790" w:type="dxa"/>
            <w:shd w:val="clear" w:color="auto" w:fill="auto"/>
          </w:tcPr>
          <w:p w14:paraId="37A47674" w14:textId="2321DFD8" w:rsidR="00EB70CE" w:rsidRPr="00D03B0C" w:rsidRDefault="00C9657C" w:rsidP="00654356">
            <w:r>
              <w:t>23%</w:t>
            </w:r>
          </w:p>
        </w:tc>
        <w:tc>
          <w:tcPr>
            <w:tcW w:w="790" w:type="dxa"/>
            <w:shd w:val="clear" w:color="auto" w:fill="auto"/>
          </w:tcPr>
          <w:p w14:paraId="3B610A06" w14:textId="02E6A8E3" w:rsidR="00EB70CE" w:rsidRPr="00D03B0C" w:rsidRDefault="00C9657C" w:rsidP="00654356">
            <w:r>
              <w:t>16%</w:t>
            </w:r>
          </w:p>
        </w:tc>
        <w:tc>
          <w:tcPr>
            <w:tcW w:w="790" w:type="dxa"/>
            <w:shd w:val="clear" w:color="auto" w:fill="auto"/>
          </w:tcPr>
          <w:p w14:paraId="14CA5668" w14:textId="3ED457C2" w:rsidR="00EB70CE" w:rsidRPr="00D03B0C" w:rsidRDefault="00D31A14" w:rsidP="00654356">
            <w:r>
              <w:t>10.4%</w:t>
            </w:r>
          </w:p>
        </w:tc>
        <w:tc>
          <w:tcPr>
            <w:tcW w:w="790" w:type="dxa"/>
            <w:shd w:val="clear" w:color="auto" w:fill="auto"/>
          </w:tcPr>
          <w:p w14:paraId="31619F89" w14:textId="41DB1772" w:rsidR="00EB70CE" w:rsidRPr="00D03B0C" w:rsidRDefault="00D31A14" w:rsidP="00654356">
            <w:r>
              <w:t>9.8%</w:t>
            </w:r>
          </w:p>
        </w:tc>
        <w:tc>
          <w:tcPr>
            <w:tcW w:w="791" w:type="dxa"/>
            <w:shd w:val="clear" w:color="auto" w:fill="auto"/>
          </w:tcPr>
          <w:p w14:paraId="093216C0" w14:textId="77777777" w:rsidR="00EB70CE" w:rsidRPr="00D03B0C" w:rsidRDefault="00EB70CE" w:rsidP="00654356"/>
        </w:tc>
      </w:tr>
      <w:tr w:rsidR="00003E2E" w14:paraId="1B25C01B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5E616220" w14:textId="77777777" w:rsidR="00003E2E" w:rsidRPr="00C75F74" w:rsidRDefault="00003E2E" w:rsidP="002E5B9B">
            <w:pPr>
              <w:pStyle w:val="ListBullet"/>
              <w:numPr>
                <w:ilvl w:val="0"/>
                <w:numId w:val="0"/>
              </w:numPr>
              <w:rPr>
                <w:iCs/>
              </w:rPr>
            </w:pPr>
          </w:p>
        </w:tc>
        <w:tc>
          <w:tcPr>
            <w:tcW w:w="790" w:type="dxa"/>
            <w:shd w:val="clear" w:color="auto" w:fill="auto"/>
          </w:tcPr>
          <w:p w14:paraId="58FE49BA" w14:textId="73ECC0DA" w:rsidR="00003E2E" w:rsidRPr="00003E2E" w:rsidRDefault="00003E2E" w:rsidP="00003E2E">
            <w:pPr>
              <w:jc w:val="center"/>
              <w:rPr>
                <w:b/>
                <w:bCs/>
              </w:rPr>
            </w:pPr>
            <w:r w:rsidRPr="00003E2E">
              <w:rPr>
                <w:b/>
                <w:bCs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E5F5830" w14:textId="723709CA" w:rsidR="00003E2E" w:rsidRPr="00003E2E" w:rsidRDefault="00003E2E" w:rsidP="00003E2E">
            <w:pPr>
              <w:jc w:val="center"/>
              <w:rPr>
                <w:b/>
                <w:bCs/>
              </w:rPr>
            </w:pPr>
            <w:r w:rsidRPr="00003E2E">
              <w:rPr>
                <w:b/>
                <w:bCs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1AC6E755" w14:textId="4F176E79" w:rsidR="00003E2E" w:rsidRPr="00207FB4" w:rsidRDefault="00207FB4" w:rsidP="00207FB4">
            <w:pPr>
              <w:jc w:val="center"/>
              <w:rPr>
                <w:b/>
                <w:bCs/>
              </w:rPr>
            </w:pPr>
            <w:r w:rsidRPr="00207FB4">
              <w:rPr>
                <w:b/>
                <w:bCs/>
              </w:rPr>
              <w:t>2021</w:t>
            </w:r>
          </w:p>
        </w:tc>
        <w:tc>
          <w:tcPr>
            <w:tcW w:w="790" w:type="dxa"/>
            <w:shd w:val="clear" w:color="auto" w:fill="auto"/>
          </w:tcPr>
          <w:p w14:paraId="5BA55CB4" w14:textId="7C602554" w:rsidR="00003E2E" w:rsidRPr="00207FB4" w:rsidRDefault="00207FB4" w:rsidP="00207FB4">
            <w:pPr>
              <w:jc w:val="center"/>
              <w:rPr>
                <w:b/>
                <w:bCs/>
              </w:rPr>
            </w:pPr>
            <w:r w:rsidRPr="00207FB4">
              <w:rPr>
                <w:b/>
                <w:bCs/>
              </w:rPr>
              <w:t>2022</w:t>
            </w:r>
          </w:p>
        </w:tc>
        <w:tc>
          <w:tcPr>
            <w:tcW w:w="790" w:type="dxa"/>
            <w:shd w:val="clear" w:color="auto" w:fill="auto"/>
          </w:tcPr>
          <w:p w14:paraId="71E24166" w14:textId="3569ACDF" w:rsidR="00003E2E" w:rsidRPr="00207FB4" w:rsidRDefault="00207FB4" w:rsidP="00207FB4">
            <w:pPr>
              <w:jc w:val="center"/>
              <w:rPr>
                <w:b/>
                <w:bCs/>
              </w:rPr>
            </w:pPr>
            <w:r w:rsidRPr="00207FB4">
              <w:rPr>
                <w:b/>
                <w:bCs/>
              </w:rPr>
              <w:t>2023</w:t>
            </w:r>
          </w:p>
        </w:tc>
        <w:tc>
          <w:tcPr>
            <w:tcW w:w="791" w:type="dxa"/>
            <w:shd w:val="clear" w:color="auto" w:fill="auto"/>
          </w:tcPr>
          <w:p w14:paraId="0FF3E85C" w14:textId="27225985" w:rsidR="00003E2E" w:rsidRPr="00207FB4" w:rsidRDefault="00207FB4" w:rsidP="00207FB4">
            <w:pPr>
              <w:jc w:val="center"/>
              <w:rPr>
                <w:b/>
                <w:bCs/>
              </w:rPr>
            </w:pPr>
            <w:r w:rsidRPr="00207FB4">
              <w:rPr>
                <w:b/>
                <w:bCs/>
              </w:rPr>
              <w:t>2024</w:t>
            </w:r>
          </w:p>
        </w:tc>
      </w:tr>
      <w:tr w:rsidR="00EB70CE" w14:paraId="4B3410E5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40E5097" w14:textId="77777777" w:rsidR="002E5B9B" w:rsidRPr="00C75F74" w:rsidRDefault="002E5B9B" w:rsidP="002E5B9B">
            <w:pPr>
              <w:pStyle w:val="ListBullet"/>
              <w:numPr>
                <w:ilvl w:val="0"/>
                <w:numId w:val="0"/>
              </w:numPr>
              <w:rPr>
                <w:iCs/>
              </w:rPr>
            </w:pPr>
            <w:r w:rsidRPr="00C75F74">
              <w:rPr>
                <w:iCs/>
              </w:rPr>
              <w:t>Increase mean AST scores across all five AST components</w:t>
            </w:r>
          </w:p>
          <w:p w14:paraId="3EBBF196" w14:textId="46B8A13C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4B2FDD23" w14:textId="1337F90A" w:rsidR="00EB70CE" w:rsidRPr="00D03B0C" w:rsidRDefault="009C43B0" w:rsidP="00654356">
            <w:r>
              <w:t>139.25</w:t>
            </w:r>
          </w:p>
        </w:tc>
        <w:tc>
          <w:tcPr>
            <w:tcW w:w="790" w:type="dxa"/>
            <w:shd w:val="clear" w:color="auto" w:fill="auto"/>
          </w:tcPr>
          <w:p w14:paraId="064352CC" w14:textId="51AC1785" w:rsidR="00EB70CE" w:rsidRPr="00D03B0C" w:rsidRDefault="009C43B0" w:rsidP="00654356">
            <w:r>
              <w:t>136.56</w:t>
            </w:r>
          </w:p>
        </w:tc>
        <w:tc>
          <w:tcPr>
            <w:tcW w:w="790" w:type="dxa"/>
            <w:shd w:val="clear" w:color="auto" w:fill="auto"/>
          </w:tcPr>
          <w:p w14:paraId="5FCC0FBC" w14:textId="71BF7672" w:rsidR="00EB70CE" w:rsidRPr="00D03B0C" w:rsidRDefault="0000396D" w:rsidP="00654356">
            <w:r>
              <w:t>135.65</w:t>
            </w:r>
          </w:p>
        </w:tc>
        <w:tc>
          <w:tcPr>
            <w:tcW w:w="790" w:type="dxa"/>
            <w:shd w:val="clear" w:color="auto" w:fill="auto"/>
          </w:tcPr>
          <w:p w14:paraId="32847EE8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20055B6E" w14:textId="77777777" w:rsidR="00EB70CE" w:rsidRPr="00D03B0C" w:rsidRDefault="00EB70CE" w:rsidP="00654356"/>
        </w:tc>
        <w:tc>
          <w:tcPr>
            <w:tcW w:w="791" w:type="dxa"/>
            <w:shd w:val="clear" w:color="auto" w:fill="auto"/>
          </w:tcPr>
          <w:p w14:paraId="089159F0" w14:textId="77777777" w:rsidR="00EB70CE" w:rsidRPr="00D03B0C" w:rsidRDefault="00EB70CE" w:rsidP="00654356"/>
        </w:tc>
      </w:tr>
    </w:tbl>
    <w:p w14:paraId="277910B0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1396D008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6A81EE33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59C188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2066ED5C" w14:textId="1D8BDDCB" w:rsidR="00EB70CE" w:rsidRPr="006D2F6B" w:rsidRDefault="002E5B9B" w:rsidP="0065435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27AC99DF" w14:textId="3EA90E95" w:rsidR="00EB70CE" w:rsidRPr="006D2F6B" w:rsidRDefault="0030553A" w:rsidP="0065435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0" w:type="dxa"/>
            <w:shd w:val="clear" w:color="auto" w:fill="auto"/>
          </w:tcPr>
          <w:p w14:paraId="2397C360" w14:textId="4F9AC04B" w:rsidR="00EB70CE" w:rsidRPr="006D2F6B" w:rsidRDefault="0030553A" w:rsidP="0065435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90" w:type="dxa"/>
            <w:shd w:val="clear" w:color="auto" w:fill="auto"/>
          </w:tcPr>
          <w:p w14:paraId="102EF8AB" w14:textId="73CB913F" w:rsidR="00EB70CE" w:rsidRPr="006D2F6B" w:rsidRDefault="0030553A" w:rsidP="0065435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91" w:type="dxa"/>
            <w:shd w:val="clear" w:color="auto" w:fill="auto"/>
          </w:tcPr>
          <w:p w14:paraId="750673D6" w14:textId="50B74121" w:rsidR="00EB70CE" w:rsidRPr="006D2F6B" w:rsidRDefault="0030553A" w:rsidP="0065435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EB70CE" w14:paraId="715AAF1C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3D3E9675" w14:textId="4B6FC027" w:rsidR="002E5B9B" w:rsidRPr="00C75F74" w:rsidRDefault="002E5B9B" w:rsidP="002E5B9B">
            <w:pPr>
              <w:pStyle w:val="ListBullet"/>
              <w:numPr>
                <w:ilvl w:val="0"/>
                <w:numId w:val="0"/>
              </w:numPr>
              <w:rPr>
                <w:iCs/>
              </w:rPr>
            </w:pPr>
            <w:r w:rsidRPr="00C75F74">
              <w:rPr>
                <w:iCs/>
              </w:rPr>
              <w:t xml:space="preserve">Students report a </w:t>
            </w:r>
            <w:r w:rsidR="005C0D84">
              <w:rPr>
                <w:iCs/>
              </w:rPr>
              <w:t xml:space="preserve">sense </w:t>
            </w:r>
            <w:r w:rsidR="00E9616A">
              <w:rPr>
                <w:iCs/>
              </w:rPr>
              <w:t>of belonging and connection with the school</w:t>
            </w:r>
          </w:p>
          <w:p w14:paraId="1BB77CFA" w14:textId="51CDF45C" w:rsidR="00EB70CE" w:rsidRPr="006D2F6B" w:rsidRDefault="00EB70CE" w:rsidP="00654356">
            <w:pPr>
              <w:pStyle w:val="PlainText"/>
            </w:pPr>
          </w:p>
        </w:tc>
        <w:tc>
          <w:tcPr>
            <w:tcW w:w="790" w:type="dxa"/>
            <w:shd w:val="clear" w:color="auto" w:fill="auto"/>
          </w:tcPr>
          <w:p w14:paraId="694253E4" w14:textId="2A7ED049" w:rsidR="00EB70CE" w:rsidRPr="006D2F6B" w:rsidRDefault="00E9616A" w:rsidP="002E5B9B">
            <w:pPr>
              <w:jc w:val="center"/>
            </w:pPr>
            <w:r>
              <w:t>65.7%</w:t>
            </w:r>
          </w:p>
        </w:tc>
        <w:tc>
          <w:tcPr>
            <w:tcW w:w="790" w:type="dxa"/>
            <w:shd w:val="clear" w:color="auto" w:fill="auto"/>
          </w:tcPr>
          <w:p w14:paraId="30994033" w14:textId="7389225F" w:rsidR="00EB70CE" w:rsidRPr="006D2F6B" w:rsidRDefault="00E9616A" w:rsidP="002E5B9B">
            <w:pPr>
              <w:jc w:val="center"/>
            </w:pPr>
            <w:r>
              <w:t>69.7%</w:t>
            </w:r>
          </w:p>
        </w:tc>
        <w:tc>
          <w:tcPr>
            <w:tcW w:w="790" w:type="dxa"/>
            <w:shd w:val="clear" w:color="auto" w:fill="auto"/>
          </w:tcPr>
          <w:p w14:paraId="0240AD5D" w14:textId="6C5ADDE5" w:rsidR="00EB70CE" w:rsidRPr="006D2F6B" w:rsidRDefault="00E9616A" w:rsidP="00654356">
            <w:r>
              <w:t>72.5%</w:t>
            </w:r>
          </w:p>
        </w:tc>
        <w:tc>
          <w:tcPr>
            <w:tcW w:w="790" w:type="dxa"/>
            <w:shd w:val="clear" w:color="auto" w:fill="auto"/>
          </w:tcPr>
          <w:p w14:paraId="06476B2E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7CE7857F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58F95C67" w14:textId="77777777" w:rsidR="00EB70CE" w:rsidRPr="006D2F6B" w:rsidRDefault="00EB70CE" w:rsidP="00654356"/>
        </w:tc>
      </w:tr>
    </w:tbl>
    <w:p w14:paraId="4A173E60" w14:textId="77777777" w:rsidR="00EB70CE" w:rsidRPr="008A01DA" w:rsidRDefault="00EB70CE" w:rsidP="00EB70CE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EB70CE" w14:paraId="18FB16D9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78C0C329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60BF761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641E04E6" w14:textId="075C3B80" w:rsidR="00EB70CE" w:rsidRPr="006D2F6B" w:rsidRDefault="0030553A" w:rsidP="0065435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6EAEE263" w14:textId="110BF509" w:rsidR="00EB70CE" w:rsidRPr="006D2F6B" w:rsidRDefault="0030553A" w:rsidP="0065435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0" w:type="dxa"/>
            <w:shd w:val="clear" w:color="auto" w:fill="auto"/>
          </w:tcPr>
          <w:p w14:paraId="462FF350" w14:textId="2F598617" w:rsidR="00EB70CE" w:rsidRPr="006D2F6B" w:rsidRDefault="0030553A" w:rsidP="0065435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90" w:type="dxa"/>
            <w:shd w:val="clear" w:color="auto" w:fill="auto"/>
          </w:tcPr>
          <w:p w14:paraId="38962DF0" w14:textId="74980C40" w:rsidR="00EB70CE" w:rsidRPr="006D2F6B" w:rsidRDefault="0030553A" w:rsidP="0065435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91" w:type="dxa"/>
            <w:shd w:val="clear" w:color="auto" w:fill="auto"/>
          </w:tcPr>
          <w:p w14:paraId="746D1CE9" w14:textId="2F56BB58" w:rsidR="00EB70CE" w:rsidRPr="006D2F6B" w:rsidRDefault="0030553A" w:rsidP="0065435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EB70CE" w14:paraId="1A210E0B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73A85493" w14:textId="4C38CB3F" w:rsidR="00EB70CE" w:rsidRPr="006D2F6B" w:rsidRDefault="0030553A" w:rsidP="00654356">
            <w:pPr>
              <w:pStyle w:val="PlainText"/>
            </w:pPr>
            <w:r w:rsidRPr="0030553A">
              <w:t xml:space="preserve">Reduce proportion of </w:t>
            </w:r>
            <w:r w:rsidR="00D337B3">
              <w:t xml:space="preserve">students receiving </w:t>
            </w:r>
            <w:r w:rsidRPr="0030553A">
              <w:t>special considerations</w:t>
            </w:r>
          </w:p>
        </w:tc>
        <w:tc>
          <w:tcPr>
            <w:tcW w:w="790" w:type="dxa"/>
            <w:shd w:val="clear" w:color="auto" w:fill="auto"/>
          </w:tcPr>
          <w:p w14:paraId="1BC19220" w14:textId="123E280D" w:rsidR="00EB70CE" w:rsidRPr="006D2F6B" w:rsidRDefault="00C9657C" w:rsidP="00654356">
            <w:r>
              <w:t>16%</w:t>
            </w:r>
          </w:p>
        </w:tc>
        <w:tc>
          <w:tcPr>
            <w:tcW w:w="790" w:type="dxa"/>
            <w:shd w:val="clear" w:color="auto" w:fill="auto"/>
          </w:tcPr>
          <w:p w14:paraId="6C0F9FE0" w14:textId="53AA090D" w:rsidR="00EB70CE" w:rsidRPr="006D2F6B" w:rsidRDefault="00D337B3" w:rsidP="00295398">
            <w:pPr>
              <w:jc w:val="center"/>
            </w:pPr>
            <w:r>
              <w:t>18%</w:t>
            </w:r>
          </w:p>
        </w:tc>
        <w:tc>
          <w:tcPr>
            <w:tcW w:w="790" w:type="dxa"/>
            <w:shd w:val="clear" w:color="auto" w:fill="auto"/>
          </w:tcPr>
          <w:p w14:paraId="2E7554CE" w14:textId="6618201F" w:rsidR="00EB70CE" w:rsidRPr="006D2F6B" w:rsidRDefault="00D337B3" w:rsidP="00D31A14">
            <w:pPr>
              <w:jc w:val="center"/>
            </w:pPr>
            <w:r>
              <w:t>14%</w:t>
            </w:r>
          </w:p>
        </w:tc>
        <w:tc>
          <w:tcPr>
            <w:tcW w:w="790" w:type="dxa"/>
            <w:shd w:val="clear" w:color="auto" w:fill="auto"/>
          </w:tcPr>
          <w:p w14:paraId="66432333" w14:textId="77777777" w:rsidR="00EB70CE" w:rsidRPr="006D2F6B" w:rsidRDefault="00EB70CE" w:rsidP="00654356"/>
        </w:tc>
        <w:tc>
          <w:tcPr>
            <w:tcW w:w="790" w:type="dxa"/>
            <w:shd w:val="clear" w:color="auto" w:fill="auto"/>
          </w:tcPr>
          <w:p w14:paraId="38AA367E" w14:textId="77777777" w:rsidR="00EB70CE" w:rsidRPr="006D2F6B" w:rsidRDefault="00EB70CE" w:rsidP="00654356"/>
        </w:tc>
        <w:tc>
          <w:tcPr>
            <w:tcW w:w="791" w:type="dxa"/>
            <w:shd w:val="clear" w:color="auto" w:fill="auto"/>
          </w:tcPr>
          <w:p w14:paraId="74F946E1" w14:textId="77777777" w:rsidR="00EB70CE" w:rsidRPr="006D2F6B" w:rsidRDefault="00EB70CE" w:rsidP="00654356"/>
        </w:tc>
      </w:tr>
    </w:tbl>
    <w:p w14:paraId="04F6AA33" w14:textId="77777777" w:rsidR="00EB70CE" w:rsidRDefault="00EB70CE" w:rsidP="00EB70CE">
      <w:pPr>
        <w:pStyle w:val="BodyText"/>
      </w:pPr>
    </w:p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4C261CC9" w14:textId="66FC1AAF" w:rsidR="00691620" w:rsidRDefault="00E47765" w:rsidP="00691620">
            <w:pPr>
              <w:pStyle w:val="PlainText"/>
              <w:ind w:left="426"/>
            </w:pPr>
            <w:r>
              <w:t xml:space="preserve">This year, the school placed a high priority on meeting the learning and wellbeing needs of students in a holistic way. There was a focus on supporting those students who had experienced negative impacts to their </w:t>
            </w:r>
            <w:r w:rsidR="00691620">
              <w:t>learning and</w:t>
            </w:r>
            <w:r>
              <w:t xml:space="preserve"> putting supports in place to ensure that </w:t>
            </w:r>
            <w:r>
              <w:lastRenderedPageBreak/>
              <w:t>where possible, students would graduate with their cohort</w:t>
            </w:r>
            <w:r w:rsidR="00991C42">
              <w:t xml:space="preserve">. This has resulted in fewer V grades </w:t>
            </w:r>
            <w:r w:rsidR="00D337B3">
              <w:t>and</w:t>
            </w:r>
            <w:r w:rsidR="00991C42">
              <w:t xml:space="preserve"> Special Consideration.</w:t>
            </w:r>
            <w:r w:rsidR="00691620">
              <w:t xml:space="preserve"> This work will continue to be progressed over the 202</w:t>
            </w:r>
            <w:r w:rsidR="00D31A14">
              <w:t>2</w:t>
            </w:r>
            <w:r w:rsidR="00691620">
              <w:t xml:space="preserve"> school year.</w:t>
            </w:r>
          </w:p>
          <w:p w14:paraId="70379B3A" w14:textId="204AE2AE" w:rsidR="00D4411A" w:rsidRDefault="00D4411A" w:rsidP="00691620">
            <w:pPr>
              <w:pStyle w:val="PlainText"/>
              <w:ind w:left="426"/>
            </w:pPr>
          </w:p>
          <w:p w14:paraId="73E6E22F" w14:textId="2767D7FD" w:rsidR="00D4411A" w:rsidRDefault="00D4411A" w:rsidP="00691620">
            <w:pPr>
              <w:pStyle w:val="PlainText"/>
              <w:ind w:left="426"/>
            </w:pPr>
            <w:r>
              <w:t xml:space="preserve">The increase of students reporting a sense of belonging and connection with the college, despite the disruptions caused by COVID 19 and remote learning, </w:t>
            </w:r>
            <w:r w:rsidR="00CB21CA">
              <w:t>indicates successful and effective</w:t>
            </w:r>
            <w:r>
              <w:t xml:space="preserve"> student wellbeing supports and teacher commitment </w:t>
            </w:r>
            <w:r w:rsidR="00CB21CA">
              <w:t>targeted to</w:t>
            </w:r>
            <w:r>
              <w:t xml:space="preserve"> meeting student needs.</w:t>
            </w:r>
            <w:r w:rsidR="00CF5F76">
              <w:t xml:space="preserve"> The student leadership program has given students opportunity for increased voice in college life, for example student led assemblies and events.</w:t>
            </w:r>
          </w:p>
          <w:p w14:paraId="2BB057E8" w14:textId="77777777" w:rsidR="00691620" w:rsidRDefault="00691620" w:rsidP="00691620">
            <w:pPr>
              <w:pStyle w:val="PlainText"/>
              <w:ind w:left="426"/>
            </w:pPr>
          </w:p>
          <w:p w14:paraId="17DDC188" w14:textId="3BAE6EB1" w:rsidR="00EB70CE" w:rsidRDefault="0000396D" w:rsidP="00691620">
            <w:pPr>
              <w:pStyle w:val="PlainText"/>
              <w:ind w:left="426"/>
            </w:pPr>
            <w:r>
              <w:t>The mean AST scores indicate little variation and improving these continue</w:t>
            </w:r>
            <w:r w:rsidR="00173771">
              <w:t>s</w:t>
            </w:r>
            <w:r>
              <w:t xml:space="preserve"> to be a focus for future improvement.</w:t>
            </w:r>
          </w:p>
        </w:tc>
      </w:tr>
    </w:tbl>
    <w:p w14:paraId="7A877F34" w14:textId="2EF198E1" w:rsidR="005611F4" w:rsidRPr="005611F4" w:rsidRDefault="00937D6F" w:rsidP="0070540D">
      <w:pPr>
        <w:pStyle w:val="Heading3"/>
      </w:pPr>
      <w:r>
        <w:lastRenderedPageBreak/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0F1D07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3415DAF0" w14:textId="77777777" w:rsidR="00CB21CA" w:rsidRDefault="00CB21CA" w:rsidP="00CB21CA">
            <w:pPr>
              <w:pStyle w:val="ListBullet"/>
            </w:pPr>
            <w:r>
              <w:t>Reduction of V Grades of over 6% from the previous year.</w:t>
            </w:r>
          </w:p>
          <w:p w14:paraId="7B5EAA46" w14:textId="3EFD0ED3" w:rsidR="00CB21CA" w:rsidRDefault="00CB21CA" w:rsidP="009A5AE8">
            <w:pPr>
              <w:pStyle w:val="ListBullet"/>
            </w:pPr>
            <w:r>
              <w:t>A 2.8% increase of s</w:t>
            </w:r>
            <w:r w:rsidRPr="00CB21CA">
              <w:rPr>
                <w:iCs/>
              </w:rPr>
              <w:t>tudents reporting a sense of belonging and connection with the school</w:t>
            </w:r>
            <w:r w:rsidR="00CF5F76">
              <w:rPr>
                <w:iCs/>
              </w:rPr>
              <w:t>.</w:t>
            </w:r>
          </w:p>
          <w:p w14:paraId="1D9577AA" w14:textId="39319A66" w:rsidR="00CC2286" w:rsidRDefault="00CC2286" w:rsidP="00CC2286">
            <w:pPr>
              <w:pStyle w:val="ListBullet"/>
            </w:pPr>
            <w:r>
              <w:t xml:space="preserve">Implementation of an explicit whole school </w:t>
            </w:r>
            <w:r w:rsidR="00D31A14">
              <w:t>Learner Profile</w:t>
            </w:r>
            <w:r w:rsidR="00CF5F76">
              <w:t>.</w:t>
            </w:r>
          </w:p>
          <w:p w14:paraId="0138FC0E" w14:textId="3C4C04CA" w:rsidR="00CC2286" w:rsidRDefault="009A5AE8" w:rsidP="009A5AE8">
            <w:pPr>
              <w:pStyle w:val="ListBullet"/>
            </w:pPr>
            <w:r>
              <w:t>Introduction of connected learning and study skills</w:t>
            </w:r>
            <w:r w:rsidR="00D31A14">
              <w:t xml:space="preserve"> </w:t>
            </w:r>
            <w:r w:rsidR="00CC2286">
              <w:t>programs</w:t>
            </w:r>
            <w:r w:rsidR="00CF5F76">
              <w:t>.</w:t>
            </w:r>
          </w:p>
          <w:p w14:paraId="4B607C4B" w14:textId="0E0E2A03" w:rsidR="00CF5F76" w:rsidRDefault="00CF5F76" w:rsidP="009A5AE8">
            <w:pPr>
              <w:pStyle w:val="ListBullet"/>
            </w:pPr>
            <w:r>
              <w:t>College Ambassador Program established as a platform for student leadership and student voice.</w:t>
            </w:r>
          </w:p>
          <w:p w14:paraId="26164DCC" w14:textId="55D5D083" w:rsidR="00937D6F" w:rsidRDefault="00CC2286" w:rsidP="00CC2286">
            <w:pPr>
              <w:pStyle w:val="ListBullet"/>
            </w:pPr>
            <w:r>
              <w:t>Story Ground partnership with the University of Canberra</w:t>
            </w:r>
            <w:r w:rsidR="00CF5F76">
              <w:t>.</w:t>
            </w:r>
          </w:p>
          <w:p w14:paraId="4F19C6D9" w14:textId="06AD15FF" w:rsidR="009A5AE8" w:rsidRPr="00CA26FB" w:rsidRDefault="009A5AE8" w:rsidP="00CC2286">
            <w:pPr>
              <w:pStyle w:val="ListBullet"/>
            </w:pPr>
            <w:r>
              <w:t>Certificate II in Indigenous Leadership opportunity</w:t>
            </w:r>
            <w:r w:rsidR="00CF5F76">
              <w:t>.</w:t>
            </w:r>
          </w:p>
        </w:tc>
      </w:tr>
    </w:tbl>
    <w:p w14:paraId="16392F0B" w14:textId="77777777" w:rsidR="00937D6F" w:rsidRDefault="00937D6F" w:rsidP="00937D6F">
      <w:pPr>
        <w:pStyle w:val="BodyText"/>
      </w:pPr>
    </w:p>
    <w:p w14:paraId="50DBDD88" w14:textId="2675EE8D" w:rsidR="005611F4" w:rsidRPr="005611F4" w:rsidRDefault="00937D6F" w:rsidP="008949FA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0F1D07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275D9B18" w14:textId="679FF434" w:rsidR="000563A0" w:rsidRDefault="000563A0" w:rsidP="00932E67">
            <w:pPr>
              <w:pStyle w:val="ListBullet"/>
            </w:pPr>
            <w:r>
              <w:t>Successfully prepare students for the AST through a structured AST preparation program and embedded AST style tasks in Tertiary programs.</w:t>
            </w:r>
          </w:p>
          <w:p w14:paraId="7E684B93" w14:textId="20ADFE59" w:rsidR="00FA4A5C" w:rsidRPr="000563A0" w:rsidRDefault="00FA4A5C" w:rsidP="00932E67">
            <w:pPr>
              <w:pStyle w:val="ListBullet"/>
            </w:pPr>
            <w:r>
              <w:t>Implement Visible Learning strategies through Programs of Learning to enhance student engagement and success resulting in an increase in the proportion of C Grades and above.</w:t>
            </w:r>
          </w:p>
          <w:p w14:paraId="3BA8910A" w14:textId="3A88A639" w:rsidR="00932E67" w:rsidRPr="00950814" w:rsidRDefault="00950814" w:rsidP="00932E67">
            <w:pPr>
              <w:pStyle w:val="ListBullet"/>
            </w:pPr>
            <w:r w:rsidRPr="00950814">
              <w:rPr>
                <w:color w:val="000000" w:themeColor="text1"/>
              </w:rPr>
              <w:t>Implementation of explicit whole school</w:t>
            </w:r>
            <w:r w:rsidR="00D31A14">
              <w:rPr>
                <w:color w:val="000000" w:themeColor="text1"/>
              </w:rPr>
              <w:t xml:space="preserve"> Learner Profile</w:t>
            </w:r>
          </w:p>
          <w:p w14:paraId="048C5F45" w14:textId="464D6D6A" w:rsidR="00FA4A5C" w:rsidRDefault="00FA4A5C" w:rsidP="00950814">
            <w:pPr>
              <w:pStyle w:val="ListBullet2"/>
              <w:numPr>
                <w:ilvl w:val="0"/>
                <w:numId w:val="19"/>
              </w:numPr>
            </w:pPr>
            <w:r>
              <w:t>Explicit incorporation of Learner Profiles into Programs of Learning</w:t>
            </w:r>
          </w:p>
          <w:p w14:paraId="357295F1" w14:textId="00C7DFFC" w:rsidR="0090138C" w:rsidRDefault="00CF5F76" w:rsidP="00FA4A5C">
            <w:pPr>
              <w:pStyle w:val="ListBullet2"/>
              <w:numPr>
                <w:ilvl w:val="0"/>
                <w:numId w:val="19"/>
              </w:numPr>
            </w:pPr>
            <w:r>
              <w:t>Monitoring impact and student growth through learning disposition surveys</w:t>
            </w:r>
          </w:p>
          <w:p w14:paraId="522A2443" w14:textId="2F3E6696" w:rsidR="00950814" w:rsidRDefault="00CF5F76" w:rsidP="00CF5F76">
            <w:pPr>
              <w:pStyle w:val="ListBullet2"/>
              <w:numPr>
                <w:ilvl w:val="0"/>
                <w:numId w:val="19"/>
              </w:numPr>
            </w:pPr>
            <w:r>
              <w:t>Evaluate and improve</w:t>
            </w:r>
            <w:r w:rsidR="00950814">
              <w:t xml:space="preserve"> structured LINK program</w:t>
            </w:r>
          </w:p>
          <w:p w14:paraId="478953BA" w14:textId="77777777" w:rsidR="00950814" w:rsidRPr="00950814" w:rsidRDefault="00950814" w:rsidP="00950814">
            <w:pPr>
              <w:pStyle w:val="ListBullet2"/>
              <w:numPr>
                <w:ilvl w:val="0"/>
                <w:numId w:val="20"/>
              </w:numPr>
              <w:ind w:left="357" w:hanging="357"/>
            </w:pPr>
            <w:r w:rsidRPr="00950814">
              <w:rPr>
                <w:color w:val="000000" w:themeColor="text1"/>
              </w:rPr>
              <w:t>Engage students as key stakeholders in their learning so that student voice is captured and evident across the college</w:t>
            </w:r>
          </w:p>
          <w:p w14:paraId="4D0D0527" w14:textId="7AC913B8" w:rsidR="00950814" w:rsidRPr="00950814" w:rsidRDefault="00950814" w:rsidP="00950814">
            <w:pPr>
              <w:pStyle w:val="ListBullet2"/>
              <w:numPr>
                <w:ilvl w:val="0"/>
                <w:numId w:val="19"/>
              </w:numPr>
            </w:pPr>
            <w:r w:rsidRPr="00950814">
              <w:t>Increase student leadership opportunities and student voice</w:t>
            </w:r>
          </w:p>
        </w:tc>
      </w:tr>
    </w:tbl>
    <w:p w14:paraId="0FD44264" w14:textId="77777777" w:rsidR="00937D6F" w:rsidRDefault="00937D6F" w:rsidP="00937D6F">
      <w:pPr>
        <w:pStyle w:val="BodyText"/>
      </w:pPr>
    </w:p>
    <w:p w14:paraId="0C848164" w14:textId="62773D2D" w:rsidR="00271528" w:rsidRPr="004B2914" w:rsidRDefault="00610A38" w:rsidP="004B2914">
      <w:pPr>
        <w:rPr>
          <w:b/>
        </w:rPr>
      </w:pPr>
      <w:r w:rsidRPr="0024781C">
        <w:rPr>
          <w:i/>
        </w:rPr>
        <w:t>*A copy of the QIP is available for viewing at the school.</w:t>
      </w:r>
    </w:p>
    <w:sectPr w:rsidR="00271528" w:rsidRPr="004B2914" w:rsidSect="00C77B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12F7" w14:textId="77777777" w:rsidR="002D3DAA" w:rsidRDefault="002D3DAA" w:rsidP="00CA0BAD">
      <w:pPr>
        <w:spacing w:after="0" w:line="240" w:lineRule="auto"/>
      </w:pPr>
      <w:r>
        <w:separator/>
      </w:r>
    </w:p>
  </w:endnote>
  <w:endnote w:type="continuationSeparator" w:id="0">
    <w:p w14:paraId="6858F868" w14:textId="77777777" w:rsidR="002D3DAA" w:rsidRDefault="002D3DAA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EAAD" w14:textId="77777777" w:rsidR="000E7230" w:rsidRDefault="000E7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19D182C4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B6D6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Monday, 21 March 2022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0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0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2A7A" w14:textId="77777777" w:rsidR="000E7230" w:rsidRDefault="000E7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8BDA" w14:textId="77777777" w:rsidR="002D3DAA" w:rsidRDefault="002D3DAA" w:rsidP="00CA0BAD">
      <w:pPr>
        <w:spacing w:after="0" w:line="240" w:lineRule="auto"/>
      </w:pPr>
      <w:r>
        <w:separator/>
      </w:r>
    </w:p>
  </w:footnote>
  <w:footnote w:type="continuationSeparator" w:id="0">
    <w:p w14:paraId="17AAE366" w14:textId="77777777" w:rsidR="002D3DAA" w:rsidRDefault="002D3DAA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9F85" w14:textId="77777777" w:rsidR="000E7230" w:rsidRDefault="000E7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128F" w14:textId="77777777" w:rsidR="00377F0F" w:rsidRDefault="00377F0F" w:rsidP="00377F0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E25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1160307"/>
    <w:multiLevelType w:val="hybridMultilevel"/>
    <w:tmpl w:val="F3583B92"/>
    <w:lvl w:ilvl="0" w:tplc="0D4C8BEA">
      <w:start w:val="2020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1E609EA"/>
    <w:multiLevelType w:val="hybridMultilevel"/>
    <w:tmpl w:val="F956D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312E3"/>
    <w:multiLevelType w:val="hybridMultilevel"/>
    <w:tmpl w:val="8B525F9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BDE671C"/>
    <w:multiLevelType w:val="hybridMultilevel"/>
    <w:tmpl w:val="B156D804"/>
    <w:lvl w:ilvl="0" w:tplc="0C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 w:numId="18">
    <w:abstractNumId w:val="18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0396D"/>
    <w:rsid w:val="00003E2E"/>
    <w:rsid w:val="000563A0"/>
    <w:rsid w:val="00057DAD"/>
    <w:rsid w:val="00064DE5"/>
    <w:rsid w:val="000E7230"/>
    <w:rsid w:val="000F7E7C"/>
    <w:rsid w:val="00107AE2"/>
    <w:rsid w:val="00115AA9"/>
    <w:rsid w:val="00127C5E"/>
    <w:rsid w:val="00132917"/>
    <w:rsid w:val="00161E50"/>
    <w:rsid w:val="00163579"/>
    <w:rsid w:val="00163B9D"/>
    <w:rsid w:val="00173771"/>
    <w:rsid w:val="00183DE5"/>
    <w:rsid w:val="001B26EA"/>
    <w:rsid w:val="001B2E33"/>
    <w:rsid w:val="00201E69"/>
    <w:rsid w:val="00207FB4"/>
    <w:rsid w:val="002145F7"/>
    <w:rsid w:val="0024781C"/>
    <w:rsid w:val="00266E77"/>
    <w:rsid w:val="00271528"/>
    <w:rsid w:val="00282D2C"/>
    <w:rsid w:val="00295398"/>
    <w:rsid w:val="002B684B"/>
    <w:rsid w:val="002D3DAA"/>
    <w:rsid w:val="002E5B9B"/>
    <w:rsid w:val="002F2C6F"/>
    <w:rsid w:val="002F4184"/>
    <w:rsid w:val="00300F72"/>
    <w:rsid w:val="0030553A"/>
    <w:rsid w:val="003062AC"/>
    <w:rsid w:val="00334BBF"/>
    <w:rsid w:val="00342B3F"/>
    <w:rsid w:val="00365890"/>
    <w:rsid w:val="00365A1C"/>
    <w:rsid w:val="00373DC0"/>
    <w:rsid w:val="0037402F"/>
    <w:rsid w:val="00377F0F"/>
    <w:rsid w:val="003B5E3D"/>
    <w:rsid w:val="003B6D6D"/>
    <w:rsid w:val="003C2864"/>
    <w:rsid w:val="003C69DC"/>
    <w:rsid w:val="003E1EFB"/>
    <w:rsid w:val="003F3EE5"/>
    <w:rsid w:val="00435AB7"/>
    <w:rsid w:val="00435C6B"/>
    <w:rsid w:val="00436626"/>
    <w:rsid w:val="00453559"/>
    <w:rsid w:val="00461D07"/>
    <w:rsid w:val="00481BD2"/>
    <w:rsid w:val="00492440"/>
    <w:rsid w:val="004B0BBE"/>
    <w:rsid w:val="004B2914"/>
    <w:rsid w:val="004C32E2"/>
    <w:rsid w:val="004D00F4"/>
    <w:rsid w:val="004D5E45"/>
    <w:rsid w:val="00520A86"/>
    <w:rsid w:val="00534A12"/>
    <w:rsid w:val="00557F65"/>
    <w:rsid w:val="005611F4"/>
    <w:rsid w:val="0057672E"/>
    <w:rsid w:val="0058339C"/>
    <w:rsid w:val="0059350F"/>
    <w:rsid w:val="005A4749"/>
    <w:rsid w:val="005A5DCB"/>
    <w:rsid w:val="005C0D84"/>
    <w:rsid w:val="005C7432"/>
    <w:rsid w:val="005D5A16"/>
    <w:rsid w:val="005D773C"/>
    <w:rsid w:val="005E76E4"/>
    <w:rsid w:val="005F3B55"/>
    <w:rsid w:val="00610A38"/>
    <w:rsid w:val="00631663"/>
    <w:rsid w:val="00664070"/>
    <w:rsid w:val="0066643F"/>
    <w:rsid w:val="00674E1D"/>
    <w:rsid w:val="006830C3"/>
    <w:rsid w:val="0069059D"/>
    <w:rsid w:val="00691620"/>
    <w:rsid w:val="006A26F8"/>
    <w:rsid w:val="006A31D6"/>
    <w:rsid w:val="006A5062"/>
    <w:rsid w:val="006B345B"/>
    <w:rsid w:val="006D2F6B"/>
    <w:rsid w:val="0070540D"/>
    <w:rsid w:val="00711A04"/>
    <w:rsid w:val="00733263"/>
    <w:rsid w:val="007347A7"/>
    <w:rsid w:val="007375B4"/>
    <w:rsid w:val="00752390"/>
    <w:rsid w:val="0075559C"/>
    <w:rsid w:val="007B0189"/>
    <w:rsid w:val="007D407C"/>
    <w:rsid w:val="008151AA"/>
    <w:rsid w:val="008300DD"/>
    <w:rsid w:val="00837137"/>
    <w:rsid w:val="00846E51"/>
    <w:rsid w:val="00866539"/>
    <w:rsid w:val="008679D5"/>
    <w:rsid w:val="008949FA"/>
    <w:rsid w:val="00896B58"/>
    <w:rsid w:val="008A01DA"/>
    <w:rsid w:val="008B5FDE"/>
    <w:rsid w:val="008D4229"/>
    <w:rsid w:val="0090138C"/>
    <w:rsid w:val="00903E04"/>
    <w:rsid w:val="00915ADE"/>
    <w:rsid w:val="00922A14"/>
    <w:rsid w:val="0093040B"/>
    <w:rsid w:val="00932E67"/>
    <w:rsid w:val="00937D6F"/>
    <w:rsid w:val="00950814"/>
    <w:rsid w:val="00991C42"/>
    <w:rsid w:val="00997CD0"/>
    <w:rsid w:val="009A5AE8"/>
    <w:rsid w:val="009B454E"/>
    <w:rsid w:val="009B7107"/>
    <w:rsid w:val="009C11FD"/>
    <w:rsid w:val="009C43B0"/>
    <w:rsid w:val="009E2D26"/>
    <w:rsid w:val="009E6907"/>
    <w:rsid w:val="00A112C4"/>
    <w:rsid w:val="00A1525D"/>
    <w:rsid w:val="00A47924"/>
    <w:rsid w:val="00A624E3"/>
    <w:rsid w:val="00A967A3"/>
    <w:rsid w:val="00A96D95"/>
    <w:rsid w:val="00AB3505"/>
    <w:rsid w:val="00AD7D38"/>
    <w:rsid w:val="00AE1CAD"/>
    <w:rsid w:val="00AE2FBD"/>
    <w:rsid w:val="00AE3C70"/>
    <w:rsid w:val="00AF0BBA"/>
    <w:rsid w:val="00AF4FDC"/>
    <w:rsid w:val="00B05873"/>
    <w:rsid w:val="00B05F4B"/>
    <w:rsid w:val="00B06296"/>
    <w:rsid w:val="00B10319"/>
    <w:rsid w:val="00B36AF4"/>
    <w:rsid w:val="00B41802"/>
    <w:rsid w:val="00B53B59"/>
    <w:rsid w:val="00B57603"/>
    <w:rsid w:val="00B734D8"/>
    <w:rsid w:val="00B85786"/>
    <w:rsid w:val="00BD4A43"/>
    <w:rsid w:val="00C0648C"/>
    <w:rsid w:val="00C06492"/>
    <w:rsid w:val="00C233C9"/>
    <w:rsid w:val="00C349E1"/>
    <w:rsid w:val="00C36B48"/>
    <w:rsid w:val="00C63CC4"/>
    <w:rsid w:val="00C67C83"/>
    <w:rsid w:val="00C75F74"/>
    <w:rsid w:val="00C77B0A"/>
    <w:rsid w:val="00C91C8E"/>
    <w:rsid w:val="00C9657C"/>
    <w:rsid w:val="00CA0BAD"/>
    <w:rsid w:val="00CA26FB"/>
    <w:rsid w:val="00CB21CA"/>
    <w:rsid w:val="00CC2286"/>
    <w:rsid w:val="00CC72AB"/>
    <w:rsid w:val="00CD6C0A"/>
    <w:rsid w:val="00CF3F40"/>
    <w:rsid w:val="00CF5F76"/>
    <w:rsid w:val="00D03B0C"/>
    <w:rsid w:val="00D21886"/>
    <w:rsid w:val="00D31A14"/>
    <w:rsid w:val="00D337B3"/>
    <w:rsid w:val="00D3455E"/>
    <w:rsid w:val="00D4411A"/>
    <w:rsid w:val="00D56F59"/>
    <w:rsid w:val="00D66148"/>
    <w:rsid w:val="00D731BD"/>
    <w:rsid w:val="00DA09ED"/>
    <w:rsid w:val="00DA4480"/>
    <w:rsid w:val="00DB037A"/>
    <w:rsid w:val="00DB25C8"/>
    <w:rsid w:val="00DC4550"/>
    <w:rsid w:val="00DE43E6"/>
    <w:rsid w:val="00DE75EB"/>
    <w:rsid w:val="00DF0245"/>
    <w:rsid w:val="00DF695B"/>
    <w:rsid w:val="00E061B8"/>
    <w:rsid w:val="00E14A54"/>
    <w:rsid w:val="00E434FA"/>
    <w:rsid w:val="00E47765"/>
    <w:rsid w:val="00E669EF"/>
    <w:rsid w:val="00E9616A"/>
    <w:rsid w:val="00EA1B8A"/>
    <w:rsid w:val="00EB70CE"/>
    <w:rsid w:val="00EC51C6"/>
    <w:rsid w:val="00EF2574"/>
    <w:rsid w:val="00F05C79"/>
    <w:rsid w:val="00F25171"/>
    <w:rsid w:val="00F43658"/>
    <w:rsid w:val="00F536D7"/>
    <w:rsid w:val="00F53EDF"/>
    <w:rsid w:val="00F56F4A"/>
    <w:rsid w:val="00F87A19"/>
    <w:rsid w:val="00FA4A5C"/>
    <w:rsid w:val="00FA6811"/>
    <w:rsid w:val="00FA6A61"/>
    <w:rsid w:val="00FB31F0"/>
    <w:rsid w:val="00FB5E28"/>
    <w:rsid w:val="00FE1945"/>
    <w:rsid w:val="00FE365C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3E5540"/>
    <w:rsid w:val="00453DF4"/>
    <w:rsid w:val="008B6DE0"/>
    <w:rsid w:val="008F4B21"/>
    <w:rsid w:val="00AF2EFC"/>
    <w:rsid w:val="00CA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b38bb1c8-5c99-4561-a624-a5e6628d94c9">
      <Value>Running a school</Value>
    </Section>
    <Publisheddate xmlns="b38bb1c8-5c99-4561-a624-a5e6628d94c9" xsi:nil="true"/>
    <Relates_x0020_to xmlns="01d31f61-9245-4fcb-8ab0-90be871bbbe7">
      <Value>ESO staff</Value>
      <Value>Business Services Officer</Value>
      <Value>Business managers</Value>
      <Value>Teachers</Value>
      <Value>School leaders</Value>
      <Value>School Support</Value>
    </Relates_x0020_to>
    <Topic xmlns="b38bb1c8-5c99-4561-a624-a5e6628d94c9" xsi:nil="true"/>
    <School_x0020_level xmlns="01d31f61-9245-4fcb-8ab0-90be871bbbe7">
      <Value>Early Childhood</Value>
      <Value>Preschool</Value>
      <Value>Primary school</Value>
      <Value>High school</Value>
      <Value>College</Value>
      <Value>Specialist</Value>
      <Value>Flexible Education</Value>
    </School_x0020_level>
    <Top_x0020_Level_x0020_Headings xmlns="01d31f61-9245-4fcb-8ab0-90be871bbbe7">Running a school</Top_x0020_Level_x0020_Headings>
    <DocumentType xmlns="b38bb1c8-5c99-4561-a624-a5e6628d94c9" xsi:nil="true"/>
    <Targeted_x0020_audience xmlns="01d31f61-9245-4fcb-8ab0-90be871bbbe7">
      <Value>School leaders</Value>
      <Value>Teachers</Value>
      <Value>Business managers</Value>
      <Value>Business services officers</Value>
      <Value>School support</Value>
      <Value>ESO staff</Value>
    </Targeted_x0020_audience>
    <Purpose xmlns="b38bb1c8-5c99-4561-a624-a5e6628d94c9" xsi:nil="true"/>
    <Year xmlns="b38bb1c8-5c99-4561-a624-a5e6628d94c9" xsi:nil="true"/>
    <Function xmlns="b38bb1c8-5c99-4561-a624-a5e6628d94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F9B66178AFD4EB95FC8028CFC6541" ma:contentTypeVersion="26" ma:contentTypeDescription="Create a new document." ma:contentTypeScope="" ma:versionID="6b03bf3d7cd56194f573caa9a54ff69a">
  <xsd:schema xmlns:xsd="http://www.w3.org/2001/XMLSchema" xmlns:xs="http://www.w3.org/2001/XMLSchema" xmlns:p="http://schemas.microsoft.com/office/2006/metadata/properties" xmlns:ns2="b38bb1c8-5c99-4561-a624-a5e6628d94c9" xmlns:ns3="01d31f61-9245-4fcb-8ab0-90be871bbbe7" targetNamespace="http://schemas.microsoft.com/office/2006/metadata/properties" ma:root="true" ma:fieldsID="ad2e891714ea9f1bc3c5fae9eb423acc" ns2:_="" ns3:_="">
    <xsd:import namespace="b38bb1c8-5c99-4561-a624-a5e6628d94c9"/>
    <xsd:import namespace="01d31f61-9245-4fcb-8ab0-90be871bb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urpose" minOccurs="0"/>
                <xsd:element ref="ns2:Section" minOccurs="0"/>
                <xsd:element ref="ns3:Top_x0020_Level_x0020_Headings" minOccurs="0"/>
                <xsd:element ref="ns3:Relates_x0020_to" minOccurs="0"/>
                <xsd:element ref="ns2:DocumentType" minOccurs="0"/>
                <xsd:element ref="ns3:School_x0020_level" minOccurs="0"/>
                <xsd:element ref="ns3:Targeted_x0020_audience" minOccurs="0"/>
                <xsd:element ref="ns2:Topic" minOccurs="0"/>
                <xsd:element ref="ns2:Published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Yea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1c8-5c99-4561-a624-a5e6628d9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Purpose" ma:index="12" nillable="true" ma:displayName="Purpose" ma:description="Short description about the document purpose." ma:format="Dropdown" ma:internalName="Purpose">
      <xsd:simpleType>
        <xsd:restriction base="dms:Note">
          <xsd:maxLength value="255"/>
        </xsd:restriction>
      </xsd:simpleType>
    </xsd:element>
    <xsd:element name="Section" ma:index="13" nillable="true" ma:displayName="Section" ma:format="Dropdown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"/>
                    <xsd:enumeration value="Emergency &amp; safety"/>
                    <xsd:enumeration value="Staff &amp; student wellbeing"/>
                    <xsd:enumeration value="People resources"/>
                    <xsd:enumeration value="Business resources"/>
                    <xsd:enumeration value="Educator resources"/>
                    <xsd:enumeration value="Running a schoo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6" nillable="true" ma:displayName="Document Type" ma:format="Dropdown" ma:internalName="DocumentType">
      <xsd:simpleType>
        <xsd:restriction base="dms:Choice">
          <xsd:enumeration value="Procedure"/>
          <xsd:enumeration value="Policy"/>
          <xsd:enumeration value="Resource"/>
          <xsd:enumeration value="User guide"/>
          <xsd:enumeration value="Factsheet"/>
          <xsd:enumeration value="Toolkit"/>
          <xsd:enumeration value="Strategic Plan"/>
          <xsd:enumeration value="Handbook"/>
          <xsd:enumeration value="Manual"/>
          <xsd:enumeration value="Guideline"/>
          <xsd:enumeration value="Form"/>
          <xsd:enumeration value="Alert"/>
          <xsd:enumeration value="Bulletin"/>
          <xsd:enumeration value="Message"/>
          <xsd:enumeration value="Employment"/>
          <xsd:enumeration value="Financial instruction"/>
          <xsd:enumeration value="Template"/>
          <xsd:enumeration value="Standard Operating Procedure"/>
          <xsd:enumeration value="Act"/>
          <xsd:enumeration value="DG Message"/>
          <xsd:enumeration value="DG Weekly Wrap Up"/>
          <xsd:enumeration value="HR Advice"/>
        </xsd:restriction>
      </xsd:simpleType>
    </xsd:element>
    <xsd:element name="Topic" ma:index="20" nillable="true" ma:displayName="Topic" ma:format="Dropdown" ma:indexed="true" ma:internalName="Topic">
      <xsd:simpleType>
        <xsd:restriction base="dms:Choice">
          <xsd:enumeration value="DG Financial Instructions - Accounting procedures"/>
          <xsd:enumeration value="DG Financial Instructions - 1. Governance and Accountability Framework"/>
          <xsd:enumeration value="DG Financial Instructions - 2. Spending public monies"/>
          <xsd:enumeration value="DG Financial Instructions - 3. Cash management"/>
          <xsd:enumeration value="DG Financial Instructions - 4. Invoicing and debt management"/>
          <xsd:enumeration value="DG Financial Instructions - 5. Accountable forms"/>
          <xsd:enumeration value="DG Financial Instructions - 6. Asset management"/>
          <xsd:enumeration value="DG Financial Instructions - 7. Taxation"/>
          <xsd:enumeration value="School Finance - Motor Vehicle Allowance"/>
          <xsd:enumeration value="School Finance - Banking forms"/>
          <xsd:enumeration value="School Finance - Help sheets"/>
          <xsd:enumeration value="School Finance - Manuals and instructions"/>
          <xsd:enumeration value="School Finance - Forms"/>
          <xsd:enumeration value="Workplace Safety - BSO SOP Standard outdoor work"/>
          <xsd:enumeration value="Workplace Safety - BSO SOP General safety"/>
          <xsd:enumeration value="Workplace Safety - BSO SOP Tools and equipment"/>
          <xsd:enumeration value="Workplace Safety - BSO SOP Mechanics"/>
          <xsd:enumeration value="Workplace Safety - BSO SOP Metal work technology"/>
          <xsd:enumeration value="Workplace Safety - BSO SOP Wood work technology"/>
          <xsd:enumeration value="Introductory English Centres and EALD"/>
          <xsd:enumeration value="BMAG Minutes - 2019"/>
          <xsd:enumeration value="First aid resources - First aid forms"/>
          <xsd:enumeration value="First aid resources - First aid procedures"/>
          <xsd:enumeration value="BMAG Minutes - 2020"/>
          <xsd:enumeration value="BMAG Minutes - 2018"/>
          <xsd:enumeration value="Bushfire strategy - Bushfire preparation package"/>
          <xsd:enumeration value="Support mathematics teaching &amp; learning"/>
          <xsd:enumeration value="School Finance - SSEMS – School Staff Expenditure Monitoring System"/>
          <xsd:enumeration value="HR Advice"/>
        </xsd:restriction>
      </xsd:simpleType>
    </xsd:element>
    <xsd:element name="Publisheddate" ma:index="21" nillable="true" ma:displayName="Published date" ma:format="DateOnly" ma:internalName="Publisheddate">
      <xsd:simpleType>
        <xsd:restriction base="dms:DateTim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Year" ma:index="29" nillable="true" ma:displayName="Year" ma:format="Dropdown" ma:internalName="Year">
      <xsd:simpleType>
        <xsd:restriction base="dms:Choice">
          <xsd:enumeration value="2020"/>
          <xsd:enumeration value="2019"/>
        </xsd:restriction>
      </xsd:simpleType>
    </xsd:element>
    <xsd:element name="Function" ma:index="30" nillable="true" ma:displayName="Function" ma:format="Dropdown" ma:internalName="Function">
      <xsd:simpleType>
        <xsd:restriction base="dms:Choice">
          <xsd:enumeration value="Conditions of Service (Employee Entitlements)"/>
          <xsd:enumeration value="Health, Safety and Wellbeing"/>
          <xsd:enumeration value="Professional Learning"/>
          <xsd:enumeration value="Staff Induction"/>
          <xsd:enumeration value="Staffing and Recruitment"/>
          <xsd:enumeration value="Workplace Values &amp; Behaviou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1f61-9245-4fcb-8ab0-90be871bbbe7" elementFormDefault="qualified">
    <xsd:import namespace="http://schemas.microsoft.com/office/2006/documentManagement/types"/>
    <xsd:import namespace="http://schemas.microsoft.com/office/infopath/2007/PartnerControls"/>
    <xsd:element name="Top_x0020_Level_x0020_Headings" ma:index="14" nillable="true" ma:displayName="Top Level Headings" ma:format="Dropdown" ma:indexed="true" ma:internalName="Top_x0020_Level_x0020_Headings">
      <xsd:simpleType>
        <xsd:restriction base="dms:Choice">
          <xsd:enumeration value="Homepage"/>
          <xsd:enumeration value="Who we are"/>
          <xsd:enumeration value="Emergency &amp; safety"/>
          <xsd:enumeration value="Staff &amp; student wellbeing"/>
          <xsd:enumeration value="People resources"/>
          <xsd:enumeration value="Business resources"/>
          <xsd:enumeration value="Educator resources"/>
          <xsd:enumeration value="Running a school"/>
          <xsd:enumeration value="School Bulletin"/>
          <xsd:enumeration value="All Staff Alerts"/>
          <xsd:enumeration value="ClassACT"/>
          <xsd:enumeration value="E-mployment"/>
          <xsd:enumeration value="DG messages"/>
          <xsd:enumeration value="DG Weekly Wrap Up"/>
          <xsd:enumeration value="Executive Group Manager messages"/>
          <xsd:enumeration value="Professional learning"/>
          <xsd:enumeration value="What's New"/>
          <xsd:enumeration value="Schools Bulletin 2019"/>
        </xsd:restriction>
      </xsd:simpleType>
    </xsd:element>
    <xsd:element name="Relates_x0020_to" ma:index="15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chool_x0020_level" ma:index="18" nillable="true" ma:displayName="School level" ma:internalName="School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Preschool"/>
                    <xsd:enumeration value="Primary school"/>
                    <xsd:enumeration value="High school"/>
                    <xsd:enumeration value="College"/>
                    <xsd:enumeration value="Specialist"/>
                    <xsd:enumeration value="Flexible Education"/>
                  </xsd:restriction>
                </xsd:simpleType>
              </xsd:element>
            </xsd:sequence>
          </xsd:extension>
        </xsd:complexContent>
      </xsd:complexType>
    </xsd:element>
    <xsd:element name="Targeted_x0020_audience" ma:index="19" nillable="true" ma:displayName="Targeted audience" ma:internalName="Targeted_x0020_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s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B7ACD1-F65A-44FA-9447-D8C9216A371C}">
  <ds:schemaRefs>
    <ds:schemaRef ds:uri="http://schemas.microsoft.com/office/2006/metadata/properties"/>
    <ds:schemaRef ds:uri="http://schemas.microsoft.com/office/infopath/2007/PartnerControls"/>
    <ds:schemaRef ds:uri="b38bb1c8-5c99-4561-a624-a5e6628d94c9"/>
    <ds:schemaRef ds:uri="01d31f61-9245-4fcb-8ab0-90be871bbbe7"/>
  </ds:schemaRefs>
</ds:datastoreItem>
</file>

<file path=customXml/itemProps2.xml><?xml version="1.0" encoding="utf-8"?>
<ds:datastoreItem xmlns:ds="http://schemas.openxmlformats.org/officeDocument/2006/customXml" ds:itemID="{8207F1F2-3FB8-47A3-B7E3-A79E96D4F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1c8-5c99-4561-a624-a5e6628d94c9"/>
    <ds:schemaRef ds:uri="01d31f61-9245-4fcb-8ab0-90be871bb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891BF-2D2E-4CC9-95CA-D6A8600ED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Impact Report v05Dec2019</vt:lpstr>
    </vt:vector>
  </TitlesOfParts>
  <Company>ACT Government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Impact Report v05Dec2019</dc:title>
  <dc:subject/>
  <dc:creator>ACT Education Directorate</dc:creator>
  <cp:keywords/>
  <dc:description/>
  <cp:lastModifiedBy>Bourke, Nigel</cp:lastModifiedBy>
  <cp:revision>2</cp:revision>
  <cp:lastPrinted>2018-11-20T01:48:00Z</cp:lastPrinted>
  <dcterms:created xsi:type="dcterms:W3CDTF">2022-08-30T06:51:00Z</dcterms:created>
  <dcterms:modified xsi:type="dcterms:W3CDTF">2022-08-30T06:51:00Z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0x01010091EF9B66178AFD4EB95FC8028CFC6541</vt:lpwstr>
  </property>
</Properties>
</file>