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Content>
        <w:p w14:paraId="5E9708A2" w14:textId="304AA71D" w:rsidR="00FE1945" w:rsidRPr="00563A3D" w:rsidRDefault="004C6CE0" w:rsidP="00FE1945">
          <w:pPr>
            <w:rPr>
              <w:rStyle w:val="SchoolName"/>
              <w:color w:val="1F4E79"/>
            </w:rPr>
          </w:pPr>
          <w:r>
            <w:rPr>
              <w:rStyle w:val="SchoolName"/>
              <w:color w:val="1F4E79"/>
            </w:rPr>
            <w:t>Lyneham High School</w:t>
          </w:r>
        </w:p>
      </w:sdtContent>
    </w:sdt>
    <w:p w14:paraId="63330FCF" w14:textId="14832EE5"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Content>
          <w:r w:rsidR="00CE48E7">
            <w:t>North Canberra/ Gungahlin</w:t>
          </w:r>
        </w:sdtContent>
      </w:sdt>
    </w:p>
    <w:p w14:paraId="38F253B0" w14:textId="7F7894E3" w:rsidR="00FE1945" w:rsidRDefault="00846E51" w:rsidP="00FE1945">
      <w:pPr>
        <w:pStyle w:val="Title"/>
        <w:jc w:val="left"/>
      </w:pPr>
      <w:r>
        <w:t>Impact</w:t>
      </w:r>
      <w:r w:rsidR="00FE1945" w:rsidRPr="005F3926">
        <w:t xml:space="preserve"> </w:t>
      </w:r>
      <w:r w:rsidR="00B10319">
        <w:t xml:space="preserve">Report </w:t>
      </w:r>
      <w:r w:rsidR="00FE1945">
        <w:t>20</w:t>
      </w:r>
      <w:r w:rsidR="004C6CE0">
        <w:t>19</w:t>
      </w:r>
    </w:p>
    <w:p w14:paraId="43815876" w14:textId="77777777" w:rsidR="00E434FA" w:rsidRPr="001B2E33" w:rsidRDefault="00E434FA" w:rsidP="001B2E33">
      <w:pPr>
        <w:pStyle w:val="Heading1"/>
      </w:pPr>
      <w:r w:rsidRPr="001B2E33">
        <w:t>The purpose of this document</w:t>
      </w:r>
    </w:p>
    <w:p w14:paraId="542B7252" w14:textId="08A8EF14"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6905F9D9"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9511EE" w:rsidRDefault="00FE1945" w:rsidP="001B2E33">
      <w:pPr>
        <w:pStyle w:val="BodyText"/>
        <w:rPr>
          <w:b/>
          <w:bCs/>
          <w:i/>
        </w:rPr>
      </w:pPr>
      <w:r w:rsidRPr="009511EE">
        <w:rPr>
          <w:b/>
          <w:bCs/>
          <w:i/>
        </w:rPr>
        <w:t>To promote greater equity in learning outcomes in and across ACT public schools</w:t>
      </w:r>
    </w:p>
    <w:p w14:paraId="61C43067" w14:textId="77777777" w:rsidR="009511EE" w:rsidRPr="009511EE" w:rsidRDefault="009511EE" w:rsidP="009511EE">
      <w:pPr>
        <w:pStyle w:val="BodyText"/>
        <w:spacing w:after="0"/>
        <w:rPr>
          <w:sz w:val="16"/>
          <w:szCs w:val="16"/>
        </w:rPr>
      </w:pPr>
    </w:p>
    <w:p w14:paraId="0E4AE3ED" w14:textId="7D362176" w:rsidR="00846E51" w:rsidRPr="00132917" w:rsidRDefault="00300F72" w:rsidP="00132917">
      <w:pPr>
        <w:pStyle w:val="BodyText"/>
      </w:pPr>
      <w:r w:rsidRPr="00132917">
        <w:t>In 20</w:t>
      </w:r>
      <w:r w:rsidR="00132917">
        <w:t>19</w:t>
      </w:r>
      <w:r w:rsidR="008446B7">
        <w:t>,</w:t>
      </w:r>
      <w:r w:rsidRPr="00132917">
        <w:t xml:space="preserve"> </w:t>
      </w:r>
      <w:r w:rsidR="008446B7">
        <w:t xml:space="preserve">LHS </w:t>
      </w:r>
      <w:r w:rsidRPr="00132917">
        <w:t xml:space="preserve">supported this </w:t>
      </w:r>
      <w:r w:rsidR="00E14A54">
        <w:t>S</w:t>
      </w:r>
      <w:r w:rsidRPr="00132917">
        <w:t xml:space="preserve">trategic </w:t>
      </w:r>
      <w:r w:rsidR="00E14A54">
        <w:t>I</w:t>
      </w:r>
      <w:r w:rsidRPr="00132917">
        <w:t xml:space="preserve">ndicator through – Priority </w:t>
      </w:r>
      <w:r w:rsidR="00C430CD">
        <w:t>1</w:t>
      </w:r>
      <w:r w:rsidR="008446B7">
        <w:t>&amp;2</w:t>
      </w:r>
      <w:r w:rsidRPr="00132917">
        <w:t xml:space="preserve"> (see reporting for detail):</w:t>
      </w:r>
    </w:p>
    <w:p w14:paraId="05831A13" w14:textId="743E81B8" w:rsidR="00300F72" w:rsidRDefault="00C80CD8" w:rsidP="00300F72">
      <w:pPr>
        <w:pStyle w:val="ListBullet"/>
      </w:pPr>
      <w:r w:rsidRPr="00C80CD8">
        <w:t>Complete Trauma Informed Education PL to support student learning</w:t>
      </w:r>
    </w:p>
    <w:p w14:paraId="023888F4" w14:textId="77777777" w:rsidR="009511EE" w:rsidRDefault="009511EE" w:rsidP="009511EE">
      <w:pPr>
        <w:pStyle w:val="ListBullet"/>
      </w:pPr>
      <w:r w:rsidRPr="00C80CD8">
        <w:t>Implement SAS Academic Reporting in Semester 2 2019</w:t>
      </w:r>
    </w:p>
    <w:p w14:paraId="1A4795AB" w14:textId="63BB802D" w:rsidR="00C80CD8" w:rsidRPr="00300F72" w:rsidRDefault="009511EE" w:rsidP="009511EE">
      <w:pPr>
        <w:pStyle w:val="ListBullet"/>
      </w:pPr>
      <w:r w:rsidRPr="00045EB0">
        <w:t>Implement strategies to build Cultural Integrity within the school community</w:t>
      </w:r>
    </w:p>
    <w:p w14:paraId="4237A615" w14:textId="77777777" w:rsidR="00300F72" w:rsidRPr="00300F72" w:rsidRDefault="00300F72" w:rsidP="009511EE">
      <w:pPr>
        <w:pStyle w:val="BodyText"/>
        <w:spacing w:after="0"/>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Pr="009511EE" w:rsidRDefault="00B10319" w:rsidP="001B2E33">
      <w:pPr>
        <w:pStyle w:val="BodyText"/>
        <w:rPr>
          <w:b/>
          <w:bCs/>
          <w:i/>
        </w:rPr>
      </w:pPr>
      <w:r w:rsidRPr="009511EE">
        <w:rPr>
          <w:b/>
          <w:bCs/>
          <w:i/>
        </w:rPr>
        <w:t>To facilitate high quality teaching in ACT public schools and strengthen educational outcomes.</w:t>
      </w:r>
    </w:p>
    <w:p w14:paraId="4F3FE86B" w14:textId="77777777" w:rsidR="009511EE" w:rsidRPr="009511EE" w:rsidRDefault="009511EE" w:rsidP="009511EE">
      <w:pPr>
        <w:pStyle w:val="BodyText"/>
        <w:spacing w:after="0"/>
        <w:rPr>
          <w:sz w:val="16"/>
          <w:szCs w:val="16"/>
        </w:rPr>
      </w:pPr>
    </w:p>
    <w:p w14:paraId="14162F1A" w14:textId="13577DD8" w:rsidR="00300F72" w:rsidRPr="00132917" w:rsidRDefault="00300F72" w:rsidP="00132917">
      <w:pPr>
        <w:pStyle w:val="BodyText"/>
      </w:pPr>
      <w:r w:rsidRPr="00132917">
        <w:t>In 20</w:t>
      </w:r>
      <w:r w:rsidR="00132917">
        <w:t>19</w:t>
      </w:r>
      <w:r w:rsidR="008446B7">
        <w:t>, LHS</w:t>
      </w:r>
      <w:r w:rsidRPr="00132917">
        <w:t xml:space="preserve"> supported this </w:t>
      </w:r>
      <w:r w:rsidR="00E14A54">
        <w:t>S</w:t>
      </w:r>
      <w:r w:rsidRPr="00132917">
        <w:t xml:space="preserve">trategic </w:t>
      </w:r>
      <w:r w:rsidR="00E14A54">
        <w:t>I</w:t>
      </w:r>
      <w:r w:rsidRPr="00132917">
        <w:t xml:space="preserve">ndicator through – Priority </w:t>
      </w:r>
      <w:r w:rsidR="00C430CD">
        <w:t>1</w:t>
      </w:r>
      <w:r w:rsidR="00045EB0">
        <w:t>&amp;2</w:t>
      </w:r>
      <w:r w:rsidRPr="00132917">
        <w:t xml:space="preserve"> (see reporting for detail):</w:t>
      </w:r>
    </w:p>
    <w:p w14:paraId="3219AB53" w14:textId="1D0354D9" w:rsidR="00300F72" w:rsidRDefault="00C80CD8" w:rsidP="00300F72">
      <w:pPr>
        <w:pStyle w:val="ListBullet"/>
      </w:pPr>
      <w:r>
        <w:t>Collaborative and meaningful Professional Learning Teams that differentiate teaching and learning with a focus on student engagement, success and progress</w:t>
      </w:r>
    </w:p>
    <w:p w14:paraId="693FC55F" w14:textId="23DADCFB" w:rsidR="009511EE" w:rsidRDefault="008446B7" w:rsidP="00300F72">
      <w:pPr>
        <w:pStyle w:val="ListBullet"/>
      </w:pPr>
      <w:r>
        <w:t xml:space="preserve">Support </w:t>
      </w:r>
      <w:r w:rsidR="009511EE" w:rsidRPr="009511EE">
        <w:t xml:space="preserve">staff to </w:t>
      </w:r>
      <w:r>
        <w:t xml:space="preserve">develop an inquiry </w:t>
      </w:r>
      <w:r w:rsidR="006E1C68">
        <w:t xml:space="preserve">approach </w:t>
      </w:r>
      <w:r w:rsidR="007A1952">
        <w:t xml:space="preserve">that collects and uses </w:t>
      </w:r>
      <w:r w:rsidR="00223832">
        <w:t xml:space="preserve">evidence of </w:t>
      </w:r>
      <w:r w:rsidR="007A1952">
        <w:t xml:space="preserve">student </w:t>
      </w:r>
      <w:r w:rsidR="00223832">
        <w:t>learning</w:t>
      </w:r>
    </w:p>
    <w:p w14:paraId="431A014B" w14:textId="1E5C3BFD" w:rsidR="00223832" w:rsidRDefault="00223832" w:rsidP="00300F72">
      <w:pPr>
        <w:pStyle w:val="ListBullet"/>
      </w:pPr>
      <w:r w:rsidRPr="00223832">
        <w:t>Innovation Fund round conducted to support new learning initiatives for students</w:t>
      </w:r>
    </w:p>
    <w:p w14:paraId="5D661FC2" w14:textId="5376123B" w:rsidR="009511EE" w:rsidRDefault="009511EE" w:rsidP="007A1952">
      <w:pPr>
        <w:pStyle w:val="ListBullet"/>
      </w:pPr>
      <w:r w:rsidRPr="009511EE">
        <w:t xml:space="preserve">Pilot the Year 8 Seek Program </w:t>
      </w:r>
      <w:r w:rsidR="00CC151E" w:rsidRPr="00CC151E">
        <w:t>as part of the Cluster Contemporary Literacies Project</w:t>
      </w:r>
    </w:p>
    <w:p w14:paraId="67E82DCF" w14:textId="77777777" w:rsidR="007A1952" w:rsidRPr="00300F72" w:rsidRDefault="007A1952" w:rsidP="007A1952">
      <w:pPr>
        <w:pStyle w:val="BodyText"/>
        <w:spacing w:after="0"/>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511EE" w:rsidRDefault="00B10319" w:rsidP="001B2E33">
      <w:pPr>
        <w:pStyle w:val="BodyText"/>
        <w:rPr>
          <w:b/>
          <w:bCs/>
          <w:i/>
        </w:rPr>
      </w:pPr>
      <w:r w:rsidRPr="009511EE">
        <w:rPr>
          <w:b/>
          <w:bCs/>
          <w:i/>
        </w:rPr>
        <w:t>To centre teaching and learning around students as individuals</w:t>
      </w:r>
    </w:p>
    <w:p w14:paraId="00CB48B2" w14:textId="102FC10F" w:rsidR="00300F72" w:rsidRPr="009511EE" w:rsidRDefault="00300F72" w:rsidP="009511EE">
      <w:pPr>
        <w:pStyle w:val="BodyText"/>
        <w:spacing w:after="0"/>
        <w:rPr>
          <w:sz w:val="16"/>
          <w:szCs w:val="16"/>
        </w:rPr>
      </w:pPr>
    </w:p>
    <w:p w14:paraId="6B398A53" w14:textId="70EB13C8" w:rsidR="00300F72" w:rsidRPr="00132917" w:rsidRDefault="00300F72" w:rsidP="00132917">
      <w:pPr>
        <w:pStyle w:val="BodyText"/>
      </w:pPr>
      <w:r w:rsidRPr="00132917">
        <w:t>In 20</w:t>
      </w:r>
      <w:r w:rsidR="00132917">
        <w:t>19</w:t>
      </w:r>
      <w:r w:rsidR="00CC151E">
        <w:t xml:space="preserve">, LHS </w:t>
      </w:r>
      <w:r w:rsidRPr="00132917">
        <w:t xml:space="preserve">supported this </w:t>
      </w:r>
      <w:r w:rsidR="00E14A54">
        <w:t>S</w:t>
      </w:r>
      <w:r w:rsidRPr="00132917">
        <w:t xml:space="preserve">trategic </w:t>
      </w:r>
      <w:r w:rsidR="00E14A54">
        <w:t>I</w:t>
      </w:r>
      <w:r w:rsidRPr="00132917">
        <w:t xml:space="preserve">ndicator through – Priority </w:t>
      </w:r>
      <w:r w:rsidR="007268AD">
        <w:t>1</w:t>
      </w:r>
      <w:r w:rsidR="00CC151E">
        <w:t>&amp;2</w:t>
      </w:r>
      <w:r w:rsidRPr="00132917">
        <w:t xml:space="preserve"> (see reporting for detail):</w:t>
      </w:r>
    </w:p>
    <w:p w14:paraId="71490844" w14:textId="73A6398C" w:rsidR="00C80CD8" w:rsidRDefault="00C80CD8" w:rsidP="00C80CD8">
      <w:pPr>
        <w:pStyle w:val="ListBullet"/>
      </w:pPr>
      <w:r>
        <w:t>Develop and implement a targeted Literacy Program</w:t>
      </w:r>
    </w:p>
    <w:p w14:paraId="200F6B8B" w14:textId="4AFAA113" w:rsidR="0093040B" w:rsidRDefault="00C80CD8" w:rsidP="00C80CD8">
      <w:pPr>
        <w:pStyle w:val="ListBullet"/>
      </w:pPr>
      <w:r>
        <w:t>Develop and implement a targeted Numeracy Program</w:t>
      </w:r>
    </w:p>
    <w:p w14:paraId="3D21A478" w14:textId="0C02416E" w:rsidR="009511EE" w:rsidRDefault="009511EE" w:rsidP="00C80CD8">
      <w:pPr>
        <w:pStyle w:val="ListBullet"/>
      </w:pPr>
      <w:r w:rsidRPr="009511EE">
        <w:t>Student Forum will plan and deliver student-led projects and events</w:t>
      </w:r>
    </w:p>
    <w:p w14:paraId="3AC4151D" w14:textId="4D94BF2D" w:rsidR="00CC151E" w:rsidRDefault="00045EB0" w:rsidP="006E5B4B">
      <w:pPr>
        <w:pStyle w:val="ListBullet"/>
      </w:pPr>
      <w:r w:rsidRPr="00045EB0">
        <w:t>Record and track student engagement in extra-curricular activities</w:t>
      </w:r>
    </w:p>
    <w:p w14:paraId="59777CE8" w14:textId="1282B0C4" w:rsidR="00300F72" w:rsidRPr="001B26EA" w:rsidRDefault="00300F72" w:rsidP="00223832">
      <w:pPr>
        <w:pStyle w:val="ListBullet"/>
        <w:numPr>
          <w:ilvl w:val="0"/>
          <w:numId w:val="0"/>
        </w:numPr>
        <w:ind w:left="360"/>
      </w:pPr>
      <w:r w:rsidRPr="001B26EA">
        <w:br w:type="page"/>
      </w:r>
    </w:p>
    <w:p w14:paraId="2B93A716" w14:textId="3AE58742" w:rsidR="00B10319" w:rsidRDefault="004D5E45" w:rsidP="001B2E33">
      <w:pPr>
        <w:pStyle w:val="Heading1"/>
      </w:pPr>
      <w:r>
        <w:lastRenderedPageBreak/>
        <w:t>Reporting against our priorities</w:t>
      </w:r>
    </w:p>
    <w:p w14:paraId="5A7DC0CC" w14:textId="05D55D24"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CE48E7" w:rsidRPr="00CE48E7">
        <w:rPr>
          <w:color w:val="auto"/>
        </w:rPr>
        <w:t>All students are engaged and successful learners</w:t>
      </w:r>
    </w:p>
    <w:p w14:paraId="255A28BA" w14:textId="3CB55642" w:rsidR="004D5E45" w:rsidRPr="00837137" w:rsidRDefault="006D2F6B" w:rsidP="00837137">
      <w:pPr>
        <w:pStyle w:val="Heading3"/>
      </w:pPr>
      <w:r w:rsidRPr="00837137">
        <w:t>Targets or measures</w:t>
      </w:r>
    </w:p>
    <w:p w14:paraId="0ED94083" w14:textId="58E6AF08" w:rsidR="000031B5" w:rsidRDefault="00481BD2" w:rsidP="0058339C">
      <w:pPr>
        <w:pStyle w:val="BodyText"/>
      </w:pPr>
      <w:r>
        <w:t>By the end of 20</w:t>
      </w:r>
      <w:r w:rsidR="00CE48E7">
        <w:t>2</w:t>
      </w:r>
      <w:r w:rsidR="00C36B48">
        <w:t>1</w:t>
      </w:r>
      <w:r w:rsidR="000031B5">
        <w:t xml:space="preserve"> we will achieve:</w:t>
      </w:r>
    </w:p>
    <w:p w14:paraId="59A4E312" w14:textId="1443D960" w:rsidR="00CE48E7" w:rsidRDefault="00CE48E7" w:rsidP="00CE48E7">
      <w:pPr>
        <w:pStyle w:val="ListBullet"/>
      </w:pPr>
      <w:r>
        <w:t xml:space="preserve">The percentage of students who report excellent emotional engagement in the school on the Australian School Climate and School Identification Measurement Tool (ASCSIMT) will increase from 39 percent in 2016 to 45 percent by 2021. </w:t>
      </w:r>
    </w:p>
    <w:p w14:paraId="25A815E3" w14:textId="7FB353C7" w:rsidR="00CE48E7" w:rsidRDefault="00CE48E7" w:rsidP="00CE48E7">
      <w:pPr>
        <w:pStyle w:val="ListBullet"/>
      </w:pPr>
      <w:r>
        <w:t>The percentage of students who report excellent behavioural engagement in the school on the ASCSIMT will increase from 60 percent in 2016 to 65 percent by 2021. The total percentage of students who report excellent or adequate behavioural engagement will remain at 98 percent or higher.</w:t>
      </w:r>
    </w:p>
    <w:p w14:paraId="3C5C71F8" w14:textId="635B3CA2" w:rsidR="00CE48E7" w:rsidRDefault="00CE48E7" w:rsidP="00CE48E7">
      <w:pPr>
        <w:pStyle w:val="ListBullet"/>
      </w:pPr>
      <w:r>
        <w:t xml:space="preserve">Attendance in years 9 and 10 will be above 90 percent in each term by 2021. </w:t>
      </w:r>
    </w:p>
    <w:p w14:paraId="418CFC07" w14:textId="77777777" w:rsidR="00CE48E7" w:rsidRDefault="00CE48E7" w:rsidP="00CE48E7">
      <w:pPr>
        <w:pStyle w:val="ListBullet"/>
      </w:pPr>
      <w:r>
        <w:t>Using a school tool developed in 2017, 100 percent of students will indicate that they have been involved in at least one extra-curricular activity over the course of each year 2018 – 2021.</w:t>
      </w:r>
    </w:p>
    <w:p w14:paraId="58AD7694" w14:textId="77777777" w:rsidR="00CE48E7" w:rsidRDefault="00CE48E7" w:rsidP="00CE48E7">
      <w:pPr>
        <w:pStyle w:val="ListBullet"/>
      </w:pPr>
      <w:r>
        <w:t>Selected elements of the Quality Teaching model related to cognitive engagement will be coded at an average of 2.5 or higher each year, 2017-2021.</w:t>
      </w:r>
    </w:p>
    <w:p w14:paraId="11AAE409" w14:textId="77777777" w:rsidR="00CE48E7" w:rsidRDefault="00CE48E7" w:rsidP="00CE48E7">
      <w:pPr>
        <w:pStyle w:val="ListBullet"/>
      </w:pPr>
      <w:r>
        <w:t>By 2020 the proportion of below standard (D and E) grades awarded to year 9 students at the end of year 9 will be reduced from 10.6 percent in 2016 to no more than 8 percent in 2020.</w:t>
      </w:r>
    </w:p>
    <w:p w14:paraId="63FADFB2" w14:textId="77777777" w:rsidR="00CE48E7" w:rsidRDefault="00CE48E7" w:rsidP="00CE48E7">
      <w:pPr>
        <w:pStyle w:val="ListBullet"/>
      </w:pPr>
      <w:r>
        <w:t>By 2021 the proportion of within school matched year 9 students achieving in the bottom two bands in NAPLAN writing will be reduced to 18 percent from the current level of 21.1 percent in 2016.</w:t>
      </w:r>
    </w:p>
    <w:p w14:paraId="2A6492DF" w14:textId="77777777" w:rsidR="00CE48E7" w:rsidRDefault="00CE48E7" w:rsidP="00CE48E7">
      <w:pPr>
        <w:pStyle w:val="ListBullet"/>
      </w:pPr>
      <w:r>
        <w:t>By the end of 2020 the proportion of above standard (A and B) grades awarded to year 9 students at the end of year 9 will be increased from 57.6 percent in 2016 to 65 percent in 2020.</w:t>
      </w:r>
    </w:p>
    <w:p w14:paraId="6F633B5E" w14:textId="77777777" w:rsidR="00CE48E7" w:rsidRDefault="00CE48E7" w:rsidP="00CE48E7">
      <w:pPr>
        <w:pStyle w:val="ListBullet"/>
      </w:pPr>
      <w:r>
        <w:t>By 2021 the proportion of within school matched year 9 students achieving at the Proficient Standard in NAPLAN writing (top two bands) will be increased to 23 percent from the current level of 17.6 percent in 2016.</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18C508C5" w14:textId="77777777" w:rsidR="00CE48E7" w:rsidRDefault="00CE48E7" w:rsidP="00CE48E7">
      <w:pPr>
        <w:pStyle w:val="ListBullet"/>
      </w:pPr>
      <w:r w:rsidRPr="00F2370E">
        <w:t>Work to engage all students (emotionally, behaviourally and cognitively) in learning</w:t>
      </w:r>
    </w:p>
    <w:p w14:paraId="59EE2D2E" w14:textId="77777777" w:rsidR="00CE48E7" w:rsidRDefault="00CE48E7" w:rsidP="00CE48E7">
      <w:pPr>
        <w:pStyle w:val="ListBullet"/>
      </w:pPr>
      <w:r w:rsidRPr="00F2370E">
        <w:t>Improve effective use of data in the school</w:t>
      </w:r>
    </w:p>
    <w:p w14:paraId="21481FB8" w14:textId="77777777" w:rsidR="00CE48E7" w:rsidRDefault="00CE48E7" w:rsidP="00CE48E7">
      <w:pPr>
        <w:pStyle w:val="ListBullet"/>
      </w:pPr>
      <w:r w:rsidRPr="00F2370E">
        <w:t>Differentiate learning to cater for individual differences</w:t>
      </w:r>
    </w:p>
    <w:p w14:paraId="2BB960F6" w14:textId="77777777" w:rsidR="00D95EC3" w:rsidRDefault="00D95EC3" w:rsidP="00997CD0">
      <w:pPr>
        <w:pStyle w:val="PlainText"/>
        <w:rPr>
          <w:i/>
        </w:rPr>
      </w:pPr>
    </w:p>
    <w:p w14:paraId="7DFF073D" w14:textId="4773420A"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CE48E7" w14:paraId="11CF2626" w14:textId="77777777" w:rsidTr="00044FD5">
        <w:trPr>
          <w:jc w:val="center"/>
        </w:trPr>
        <w:tc>
          <w:tcPr>
            <w:tcW w:w="4297" w:type="dxa"/>
            <w:shd w:val="clear" w:color="auto" w:fill="auto"/>
          </w:tcPr>
          <w:p w14:paraId="2744B2CC" w14:textId="77777777" w:rsidR="00CE48E7" w:rsidRPr="00D03B0C" w:rsidRDefault="00CE48E7" w:rsidP="00CE48E7">
            <w:pPr>
              <w:rPr>
                <w:b/>
              </w:rPr>
            </w:pPr>
            <w:r w:rsidRPr="00D03B0C">
              <w:rPr>
                <w:b/>
              </w:rPr>
              <w:t>Targets or Measures</w:t>
            </w:r>
          </w:p>
        </w:tc>
        <w:tc>
          <w:tcPr>
            <w:tcW w:w="790" w:type="dxa"/>
            <w:shd w:val="clear" w:color="auto" w:fill="auto"/>
            <w:vAlign w:val="center"/>
          </w:tcPr>
          <w:p w14:paraId="7E2F2B0E" w14:textId="77777777" w:rsidR="00CE48E7" w:rsidRDefault="00CE48E7" w:rsidP="00044FD5">
            <w:pPr>
              <w:jc w:val="center"/>
              <w:rPr>
                <w:b/>
              </w:rPr>
            </w:pPr>
            <w:r w:rsidRPr="00D03B0C">
              <w:rPr>
                <w:b/>
              </w:rPr>
              <w:t>Base</w:t>
            </w:r>
          </w:p>
          <w:p w14:paraId="118BFB5A" w14:textId="7293A5A1" w:rsidR="00CE48E7" w:rsidRPr="00D03B0C" w:rsidRDefault="00CE48E7" w:rsidP="00044FD5">
            <w:pPr>
              <w:jc w:val="center"/>
              <w:rPr>
                <w:b/>
              </w:rPr>
            </w:pPr>
            <w:r w:rsidRPr="00BC5F55">
              <w:rPr>
                <w:sz w:val="20"/>
                <w:szCs w:val="20"/>
              </w:rPr>
              <w:t>(2016)</w:t>
            </w:r>
          </w:p>
        </w:tc>
        <w:tc>
          <w:tcPr>
            <w:tcW w:w="790" w:type="dxa"/>
            <w:shd w:val="clear" w:color="auto" w:fill="auto"/>
            <w:vAlign w:val="center"/>
          </w:tcPr>
          <w:p w14:paraId="099DA205" w14:textId="77777777" w:rsidR="00CE48E7" w:rsidRDefault="00CE48E7" w:rsidP="00044FD5">
            <w:pPr>
              <w:jc w:val="center"/>
              <w:rPr>
                <w:b/>
              </w:rPr>
            </w:pPr>
            <w:r w:rsidRPr="00D03B0C">
              <w:rPr>
                <w:b/>
              </w:rPr>
              <w:t>Year 1</w:t>
            </w:r>
          </w:p>
          <w:p w14:paraId="42366ADC" w14:textId="7F5D5634" w:rsidR="00CE48E7" w:rsidRPr="00D03B0C" w:rsidRDefault="00CE48E7" w:rsidP="00044FD5">
            <w:pPr>
              <w:jc w:val="center"/>
              <w:rPr>
                <w:b/>
              </w:rPr>
            </w:pPr>
            <w:r w:rsidRPr="00BC5F55">
              <w:rPr>
                <w:sz w:val="20"/>
                <w:szCs w:val="20"/>
              </w:rPr>
              <w:t>(2017)</w:t>
            </w:r>
          </w:p>
        </w:tc>
        <w:tc>
          <w:tcPr>
            <w:tcW w:w="790" w:type="dxa"/>
            <w:shd w:val="clear" w:color="auto" w:fill="auto"/>
            <w:vAlign w:val="center"/>
          </w:tcPr>
          <w:p w14:paraId="1CD6D4D4" w14:textId="77777777" w:rsidR="00CE48E7" w:rsidRDefault="00CE48E7" w:rsidP="00044FD5">
            <w:pPr>
              <w:jc w:val="center"/>
              <w:rPr>
                <w:b/>
              </w:rPr>
            </w:pPr>
            <w:r w:rsidRPr="00D03B0C">
              <w:rPr>
                <w:b/>
              </w:rPr>
              <w:t>Year 2</w:t>
            </w:r>
          </w:p>
          <w:p w14:paraId="3CAE587B" w14:textId="78AF7E10" w:rsidR="00CE48E7" w:rsidRPr="00D03B0C" w:rsidRDefault="00CE48E7" w:rsidP="00044FD5">
            <w:pPr>
              <w:jc w:val="center"/>
              <w:rPr>
                <w:b/>
              </w:rPr>
            </w:pPr>
            <w:r w:rsidRPr="00BC5F55">
              <w:rPr>
                <w:sz w:val="20"/>
                <w:szCs w:val="20"/>
              </w:rPr>
              <w:t>(2018)</w:t>
            </w:r>
          </w:p>
        </w:tc>
        <w:tc>
          <w:tcPr>
            <w:tcW w:w="790" w:type="dxa"/>
            <w:shd w:val="clear" w:color="auto" w:fill="auto"/>
            <w:vAlign w:val="center"/>
          </w:tcPr>
          <w:p w14:paraId="0A4F0196" w14:textId="77777777" w:rsidR="00CE48E7" w:rsidRDefault="00CE48E7" w:rsidP="00044FD5">
            <w:pPr>
              <w:jc w:val="center"/>
              <w:rPr>
                <w:b/>
              </w:rPr>
            </w:pPr>
            <w:r w:rsidRPr="00D03B0C">
              <w:rPr>
                <w:b/>
              </w:rPr>
              <w:t>Year 3</w:t>
            </w:r>
          </w:p>
          <w:p w14:paraId="0785495E" w14:textId="13FC8E45" w:rsidR="00CE48E7" w:rsidRPr="00D03B0C" w:rsidRDefault="00CE48E7" w:rsidP="00044FD5">
            <w:pPr>
              <w:jc w:val="center"/>
              <w:rPr>
                <w:b/>
              </w:rPr>
            </w:pPr>
            <w:r w:rsidRPr="00BC5F55">
              <w:rPr>
                <w:sz w:val="20"/>
                <w:szCs w:val="20"/>
              </w:rPr>
              <w:t>(2019)</w:t>
            </w:r>
          </w:p>
        </w:tc>
        <w:tc>
          <w:tcPr>
            <w:tcW w:w="790" w:type="dxa"/>
            <w:shd w:val="clear" w:color="auto" w:fill="auto"/>
            <w:vAlign w:val="center"/>
          </w:tcPr>
          <w:p w14:paraId="74D8F4C7" w14:textId="77777777" w:rsidR="00CE48E7" w:rsidRDefault="00CE48E7" w:rsidP="00044FD5">
            <w:pPr>
              <w:jc w:val="center"/>
              <w:rPr>
                <w:b/>
              </w:rPr>
            </w:pPr>
            <w:r w:rsidRPr="00D03B0C">
              <w:rPr>
                <w:b/>
              </w:rPr>
              <w:t>Year 4</w:t>
            </w:r>
          </w:p>
          <w:p w14:paraId="1F5C5718" w14:textId="42337B5E" w:rsidR="00CE48E7" w:rsidRPr="00D03B0C" w:rsidRDefault="00CE48E7" w:rsidP="00044FD5">
            <w:pPr>
              <w:jc w:val="center"/>
              <w:rPr>
                <w:b/>
              </w:rPr>
            </w:pPr>
            <w:r w:rsidRPr="00C94C31">
              <w:rPr>
                <w:sz w:val="20"/>
                <w:szCs w:val="20"/>
              </w:rPr>
              <w:t>(</w:t>
            </w:r>
            <w:r w:rsidRPr="00BC5F55">
              <w:rPr>
                <w:sz w:val="20"/>
                <w:szCs w:val="20"/>
              </w:rPr>
              <w:t>2020)</w:t>
            </w:r>
          </w:p>
        </w:tc>
        <w:tc>
          <w:tcPr>
            <w:tcW w:w="791" w:type="dxa"/>
            <w:shd w:val="clear" w:color="auto" w:fill="auto"/>
            <w:vAlign w:val="center"/>
          </w:tcPr>
          <w:p w14:paraId="325A3C7C" w14:textId="77777777" w:rsidR="00CE48E7" w:rsidRDefault="00CE48E7" w:rsidP="00044FD5">
            <w:pPr>
              <w:jc w:val="center"/>
              <w:rPr>
                <w:b/>
              </w:rPr>
            </w:pPr>
            <w:r w:rsidRPr="00D03B0C">
              <w:rPr>
                <w:b/>
              </w:rPr>
              <w:t>Year 5</w:t>
            </w:r>
          </w:p>
          <w:p w14:paraId="3485F32F" w14:textId="4ACF2143" w:rsidR="00CE48E7" w:rsidRPr="00D03B0C" w:rsidRDefault="00CE48E7" w:rsidP="00044FD5">
            <w:pPr>
              <w:jc w:val="center"/>
              <w:rPr>
                <w:b/>
              </w:rPr>
            </w:pPr>
            <w:r w:rsidRPr="00C94C31">
              <w:rPr>
                <w:sz w:val="20"/>
                <w:szCs w:val="20"/>
              </w:rPr>
              <w:t>(2021)</w:t>
            </w:r>
          </w:p>
        </w:tc>
      </w:tr>
      <w:tr w:rsidR="00CE48E7" w14:paraId="3B6F6B79" w14:textId="77777777" w:rsidTr="00044FD5">
        <w:trPr>
          <w:cantSplit/>
          <w:jc w:val="center"/>
        </w:trPr>
        <w:tc>
          <w:tcPr>
            <w:tcW w:w="4297" w:type="dxa"/>
            <w:shd w:val="clear" w:color="auto" w:fill="auto"/>
          </w:tcPr>
          <w:p w14:paraId="52F72BA3" w14:textId="0ACC2190" w:rsidR="00CE48E7" w:rsidRPr="00D03B0C" w:rsidRDefault="00CE48E7" w:rsidP="00CE48E7">
            <w:pPr>
              <w:pStyle w:val="PlainText"/>
            </w:pPr>
            <w:r>
              <w:t>By the end of 2020 the proportion of above standard (A and B) grades awarded to year 9 students at the end of year 9 will be increased from 57.6 percent in 2016 to 65 percent in 2020.</w:t>
            </w:r>
          </w:p>
        </w:tc>
        <w:tc>
          <w:tcPr>
            <w:tcW w:w="790" w:type="dxa"/>
            <w:shd w:val="clear" w:color="auto" w:fill="auto"/>
            <w:vAlign w:val="center"/>
          </w:tcPr>
          <w:p w14:paraId="6F51F004" w14:textId="5430557F" w:rsidR="00CE48E7" w:rsidRPr="00D03B0C" w:rsidRDefault="00CE48E7" w:rsidP="00044FD5">
            <w:pPr>
              <w:jc w:val="center"/>
            </w:pPr>
            <w:r>
              <w:t>57.6%</w:t>
            </w:r>
          </w:p>
        </w:tc>
        <w:tc>
          <w:tcPr>
            <w:tcW w:w="790" w:type="dxa"/>
            <w:shd w:val="clear" w:color="auto" w:fill="auto"/>
            <w:vAlign w:val="center"/>
          </w:tcPr>
          <w:p w14:paraId="3571C78F" w14:textId="5D4CCE37" w:rsidR="00CE48E7" w:rsidRPr="00D03B0C" w:rsidRDefault="00CE48E7" w:rsidP="00044FD5">
            <w:pPr>
              <w:jc w:val="center"/>
            </w:pPr>
            <w:r>
              <w:t>59.3%</w:t>
            </w:r>
          </w:p>
        </w:tc>
        <w:tc>
          <w:tcPr>
            <w:tcW w:w="790" w:type="dxa"/>
            <w:shd w:val="clear" w:color="auto" w:fill="auto"/>
            <w:vAlign w:val="center"/>
          </w:tcPr>
          <w:p w14:paraId="69018766" w14:textId="668FEF17" w:rsidR="00CE48E7" w:rsidRPr="00D03B0C" w:rsidRDefault="00CE48E7" w:rsidP="00044FD5">
            <w:pPr>
              <w:jc w:val="center"/>
            </w:pPr>
            <w:r>
              <w:t>60.0%</w:t>
            </w:r>
          </w:p>
        </w:tc>
        <w:tc>
          <w:tcPr>
            <w:tcW w:w="790" w:type="dxa"/>
            <w:shd w:val="clear" w:color="auto" w:fill="auto"/>
            <w:vAlign w:val="center"/>
          </w:tcPr>
          <w:p w14:paraId="7AB434B5" w14:textId="12F79CB7" w:rsidR="00CE48E7" w:rsidRPr="00D03B0C" w:rsidRDefault="00A15098" w:rsidP="00044FD5">
            <w:pPr>
              <w:jc w:val="center"/>
            </w:pPr>
            <w:r>
              <w:t>55.1%</w:t>
            </w:r>
          </w:p>
        </w:tc>
        <w:tc>
          <w:tcPr>
            <w:tcW w:w="790" w:type="dxa"/>
            <w:shd w:val="clear" w:color="auto" w:fill="auto"/>
            <w:vAlign w:val="center"/>
          </w:tcPr>
          <w:p w14:paraId="6E571018" w14:textId="3AD440C3" w:rsidR="00CE48E7" w:rsidRPr="00D03B0C" w:rsidRDefault="00CE48E7" w:rsidP="00044FD5">
            <w:pPr>
              <w:jc w:val="center"/>
            </w:pPr>
            <w:r w:rsidRPr="00C94C31">
              <w:rPr>
                <w:color w:val="00B050"/>
              </w:rPr>
              <w:t>65%</w:t>
            </w:r>
          </w:p>
        </w:tc>
        <w:tc>
          <w:tcPr>
            <w:tcW w:w="791" w:type="dxa"/>
            <w:shd w:val="clear" w:color="auto" w:fill="auto"/>
            <w:vAlign w:val="center"/>
          </w:tcPr>
          <w:p w14:paraId="1D114ACD" w14:textId="77777777" w:rsidR="00CE48E7" w:rsidRPr="00D03B0C" w:rsidRDefault="00CE48E7" w:rsidP="00044FD5">
            <w:pPr>
              <w:jc w:val="center"/>
            </w:pPr>
          </w:p>
        </w:tc>
      </w:tr>
      <w:tr w:rsidR="00CE48E7" w14:paraId="3E447EBE" w14:textId="77777777" w:rsidTr="00044FD5">
        <w:trPr>
          <w:cantSplit/>
          <w:jc w:val="center"/>
        </w:trPr>
        <w:tc>
          <w:tcPr>
            <w:tcW w:w="4297" w:type="dxa"/>
            <w:shd w:val="clear" w:color="auto" w:fill="auto"/>
          </w:tcPr>
          <w:p w14:paraId="3C7AC1FF" w14:textId="5BC6F55A" w:rsidR="00CE48E7" w:rsidRPr="00D03B0C" w:rsidRDefault="00CE48E7" w:rsidP="00CE48E7">
            <w:r>
              <w:lastRenderedPageBreak/>
              <w:t>By 2020 the proportion of below standard (D and E) grades awarded to year 9 students at the end of year 9 will be reduced from 10.6 percent in 2016 to no more than 8 percent in 2020.</w:t>
            </w:r>
          </w:p>
        </w:tc>
        <w:tc>
          <w:tcPr>
            <w:tcW w:w="790" w:type="dxa"/>
            <w:shd w:val="clear" w:color="auto" w:fill="auto"/>
            <w:vAlign w:val="center"/>
          </w:tcPr>
          <w:p w14:paraId="4C712096" w14:textId="7ABF5D73" w:rsidR="00CE48E7" w:rsidRPr="00D03B0C" w:rsidRDefault="00CE48E7" w:rsidP="00044FD5">
            <w:pPr>
              <w:jc w:val="center"/>
            </w:pPr>
            <w:r>
              <w:t>10.6%</w:t>
            </w:r>
          </w:p>
        </w:tc>
        <w:tc>
          <w:tcPr>
            <w:tcW w:w="790" w:type="dxa"/>
            <w:shd w:val="clear" w:color="auto" w:fill="auto"/>
            <w:vAlign w:val="center"/>
          </w:tcPr>
          <w:p w14:paraId="2AFC093D" w14:textId="1A710A3A" w:rsidR="00CE48E7" w:rsidRPr="00D03B0C" w:rsidRDefault="00CE48E7" w:rsidP="00044FD5">
            <w:pPr>
              <w:jc w:val="center"/>
            </w:pPr>
            <w:r>
              <w:t>6.8%</w:t>
            </w:r>
          </w:p>
        </w:tc>
        <w:tc>
          <w:tcPr>
            <w:tcW w:w="790" w:type="dxa"/>
            <w:shd w:val="clear" w:color="auto" w:fill="auto"/>
            <w:vAlign w:val="center"/>
          </w:tcPr>
          <w:p w14:paraId="21FB2E79" w14:textId="7DA219E0" w:rsidR="00CE48E7" w:rsidRPr="00D03B0C" w:rsidRDefault="00CE48E7" w:rsidP="00044FD5">
            <w:pPr>
              <w:jc w:val="center"/>
            </w:pPr>
            <w:r>
              <w:t>8.5%</w:t>
            </w:r>
          </w:p>
        </w:tc>
        <w:tc>
          <w:tcPr>
            <w:tcW w:w="790" w:type="dxa"/>
            <w:shd w:val="clear" w:color="auto" w:fill="auto"/>
            <w:vAlign w:val="center"/>
          </w:tcPr>
          <w:p w14:paraId="3C328C1C" w14:textId="0A5FBC1D" w:rsidR="00CE48E7" w:rsidRPr="00D03B0C" w:rsidRDefault="005770DC" w:rsidP="00044FD5">
            <w:pPr>
              <w:jc w:val="center"/>
            </w:pPr>
            <w:r>
              <w:t>8.0%</w:t>
            </w:r>
          </w:p>
        </w:tc>
        <w:tc>
          <w:tcPr>
            <w:tcW w:w="790" w:type="dxa"/>
            <w:shd w:val="clear" w:color="auto" w:fill="auto"/>
            <w:vAlign w:val="center"/>
          </w:tcPr>
          <w:p w14:paraId="7A35D1D4" w14:textId="77777777" w:rsidR="00CE48E7" w:rsidRPr="00D03B0C" w:rsidRDefault="00CE48E7" w:rsidP="00044FD5">
            <w:pPr>
              <w:jc w:val="center"/>
            </w:pPr>
          </w:p>
        </w:tc>
        <w:tc>
          <w:tcPr>
            <w:tcW w:w="791" w:type="dxa"/>
            <w:shd w:val="clear" w:color="auto" w:fill="auto"/>
            <w:vAlign w:val="center"/>
          </w:tcPr>
          <w:p w14:paraId="7DBFB30A" w14:textId="4EC7992A" w:rsidR="00CE48E7" w:rsidRPr="00D03B0C" w:rsidRDefault="00CE48E7" w:rsidP="00044FD5">
            <w:pPr>
              <w:jc w:val="center"/>
            </w:pPr>
            <w:r w:rsidRPr="00C94C31">
              <w:rPr>
                <w:color w:val="00B050"/>
              </w:rPr>
              <w:t>&lt;=8%</w:t>
            </w:r>
          </w:p>
        </w:tc>
      </w:tr>
      <w:tr w:rsidR="00CE48E7" w14:paraId="1D02A78A" w14:textId="77777777" w:rsidTr="00044FD5">
        <w:trPr>
          <w:cantSplit/>
          <w:jc w:val="center"/>
        </w:trPr>
        <w:tc>
          <w:tcPr>
            <w:tcW w:w="4297" w:type="dxa"/>
            <w:shd w:val="clear" w:color="auto" w:fill="auto"/>
          </w:tcPr>
          <w:p w14:paraId="391EFB34" w14:textId="5A4BC496" w:rsidR="00CE48E7" w:rsidRPr="00D03B0C" w:rsidRDefault="00CE48E7" w:rsidP="00CE48E7">
            <w:r>
              <w:t>By 2021 the proportion of within school matched year 9 students achieving at the Proficient Standard in NAPLAN writing (top two bands) will be increased to 23 percent from the current level of 17.6 percent in 2016.</w:t>
            </w:r>
          </w:p>
        </w:tc>
        <w:tc>
          <w:tcPr>
            <w:tcW w:w="790" w:type="dxa"/>
            <w:shd w:val="clear" w:color="auto" w:fill="auto"/>
            <w:vAlign w:val="center"/>
          </w:tcPr>
          <w:p w14:paraId="7497D53A" w14:textId="27C190A6" w:rsidR="00CE48E7" w:rsidRPr="00D03B0C" w:rsidRDefault="00CE48E7" w:rsidP="00044FD5">
            <w:pPr>
              <w:jc w:val="center"/>
            </w:pPr>
            <w:r>
              <w:t>17.6%</w:t>
            </w:r>
          </w:p>
        </w:tc>
        <w:tc>
          <w:tcPr>
            <w:tcW w:w="790" w:type="dxa"/>
            <w:shd w:val="clear" w:color="auto" w:fill="auto"/>
            <w:vAlign w:val="center"/>
          </w:tcPr>
          <w:p w14:paraId="7FDBFC04" w14:textId="47D70832" w:rsidR="00CE48E7" w:rsidRPr="00D03B0C" w:rsidRDefault="00CE48E7" w:rsidP="00044FD5">
            <w:pPr>
              <w:jc w:val="center"/>
            </w:pPr>
            <w:r>
              <w:t>31.6%</w:t>
            </w:r>
          </w:p>
        </w:tc>
        <w:tc>
          <w:tcPr>
            <w:tcW w:w="790" w:type="dxa"/>
            <w:shd w:val="clear" w:color="auto" w:fill="auto"/>
            <w:vAlign w:val="center"/>
          </w:tcPr>
          <w:p w14:paraId="35601FAA" w14:textId="1F62427A" w:rsidR="00CE48E7" w:rsidRPr="00D03B0C" w:rsidRDefault="00CE48E7" w:rsidP="00044FD5">
            <w:pPr>
              <w:jc w:val="center"/>
            </w:pPr>
            <w:r>
              <w:t>19.9%</w:t>
            </w:r>
          </w:p>
        </w:tc>
        <w:tc>
          <w:tcPr>
            <w:tcW w:w="790" w:type="dxa"/>
            <w:shd w:val="clear" w:color="auto" w:fill="auto"/>
            <w:vAlign w:val="center"/>
          </w:tcPr>
          <w:p w14:paraId="43AB7A20" w14:textId="6AD1ECB9" w:rsidR="00CE48E7" w:rsidRPr="00D03B0C" w:rsidRDefault="005770DC" w:rsidP="00044FD5">
            <w:pPr>
              <w:jc w:val="center"/>
            </w:pPr>
            <w:r>
              <w:t>19.1%</w:t>
            </w:r>
          </w:p>
        </w:tc>
        <w:tc>
          <w:tcPr>
            <w:tcW w:w="790" w:type="dxa"/>
            <w:shd w:val="clear" w:color="auto" w:fill="auto"/>
            <w:vAlign w:val="center"/>
          </w:tcPr>
          <w:p w14:paraId="2478EE66" w14:textId="77777777" w:rsidR="00CE48E7" w:rsidRPr="00D03B0C" w:rsidRDefault="00CE48E7" w:rsidP="00044FD5">
            <w:pPr>
              <w:jc w:val="center"/>
            </w:pPr>
          </w:p>
        </w:tc>
        <w:tc>
          <w:tcPr>
            <w:tcW w:w="791" w:type="dxa"/>
            <w:shd w:val="clear" w:color="auto" w:fill="auto"/>
            <w:vAlign w:val="center"/>
          </w:tcPr>
          <w:p w14:paraId="4E5E918D" w14:textId="179D13C5" w:rsidR="00CE48E7" w:rsidRPr="00D03B0C" w:rsidRDefault="00CE48E7" w:rsidP="00044FD5">
            <w:pPr>
              <w:jc w:val="center"/>
            </w:pPr>
            <w:r w:rsidRPr="00C94C31">
              <w:rPr>
                <w:color w:val="00B050"/>
              </w:rPr>
              <w:t>23%</w:t>
            </w:r>
          </w:p>
        </w:tc>
      </w:tr>
      <w:tr w:rsidR="00CE48E7" w14:paraId="2BA40978" w14:textId="77777777" w:rsidTr="00044FD5">
        <w:trPr>
          <w:cantSplit/>
          <w:jc w:val="center"/>
        </w:trPr>
        <w:tc>
          <w:tcPr>
            <w:tcW w:w="4297" w:type="dxa"/>
            <w:shd w:val="clear" w:color="auto" w:fill="auto"/>
          </w:tcPr>
          <w:p w14:paraId="1D8F6DA5" w14:textId="000C310E" w:rsidR="00CE48E7" w:rsidRPr="00D03B0C" w:rsidRDefault="00CE48E7" w:rsidP="00CE48E7">
            <w:r>
              <w:t>By 2021 the proportion of within school matched year 9 students achieving in the bottom two bands in NAPLAN writing will be reduced to 18 percent from the current level of 21.1 percent in 2016.</w:t>
            </w:r>
          </w:p>
        </w:tc>
        <w:tc>
          <w:tcPr>
            <w:tcW w:w="790" w:type="dxa"/>
            <w:shd w:val="clear" w:color="auto" w:fill="auto"/>
            <w:vAlign w:val="center"/>
          </w:tcPr>
          <w:p w14:paraId="226E20F2" w14:textId="6EC29A4F" w:rsidR="00CE48E7" w:rsidRPr="00D03B0C" w:rsidRDefault="00CE48E7" w:rsidP="00044FD5">
            <w:pPr>
              <w:jc w:val="center"/>
            </w:pPr>
            <w:r>
              <w:t>21.1%</w:t>
            </w:r>
          </w:p>
        </w:tc>
        <w:tc>
          <w:tcPr>
            <w:tcW w:w="790" w:type="dxa"/>
            <w:shd w:val="clear" w:color="auto" w:fill="auto"/>
            <w:vAlign w:val="center"/>
          </w:tcPr>
          <w:p w14:paraId="75F29AC2" w14:textId="3AA6B9B1" w:rsidR="00CE48E7" w:rsidRPr="00D03B0C" w:rsidRDefault="00CE48E7" w:rsidP="00044FD5">
            <w:pPr>
              <w:jc w:val="center"/>
            </w:pPr>
            <w:r>
              <w:t>22.5%</w:t>
            </w:r>
          </w:p>
        </w:tc>
        <w:tc>
          <w:tcPr>
            <w:tcW w:w="790" w:type="dxa"/>
            <w:shd w:val="clear" w:color="auto" w:fill="auto"/>
            <w:vAlign w:val="center"/>
          </w:tcPr>
          <w:p w14:paraId="7728032D" w14:textId="292E9FA2" w:rsidR="00CE48E7" w:rsidRPr="00D03B0C" w:rsidRDefault="00CE48E7" w:rsidP="00044FD5">
            <w:pPr>
              <w:jc w:val="center"/>
            </w:pPr>
            <w:r>
              <w:t>27.8%</w:t>
            </w:r>
          </w:p>
        </w:tc>
        <w:tc>
          <w:tcPr>
            <w:tcW w:w="790" w:type="dxa"/>
            <w:shd w:val="clear" w:color="auto" w:fill="auto"/>
            <w:vAlign w:val="center"/>
          </w:tcPr>
          <w:p w14:paraId="550EDB8B" w14:textId="391A159B" w:rsidR="00CE48E7" w:rsidRPr="00D03B0C" w:rsidRDefault="005770DC" w:rsidP="00044FD5">
            <w:pPr>
              <w:jc w:val="center"/>
            </w:pPr>
            <w:r>
              <w:t>23.2%</w:t>
            </w:r>
          </w:p>
        </w:tc>
        <w:tc>
          <w:tcPr>
            <w:tcW w:w="790" w:type="dxa"/>
            <w:shd w:val="clear" w:color="auto" w:fill="auto"/>
            <w:vAlign w:val="center"/>
          </w:tcPr>
          <w:p w14:paraId="360949A0" w14:textId="77777777" w:rsidR="00CE48E7" w:rsidRPr="00D03B0C" w:rsidRDefault="00CE48E7" w:rsidP="00044FD5">
            <w:pPr>
              <w:jc w:val="center"/>
            </w:pPr>
          </w:p>
        </w:tc>
        <w:tc>
          <w:tcPr>
            <w:tcW w:w="791" w:type="dxa"/>
            <w:shd w:val="clear" w:color="auto" w:fill="auto"/>
            <w:vAlign w:val="center"/>
          </w:tcPr>
          <w:p w14:paraId="1D5A48B5" w14:textId="7CAEC5A4" w:rsidR="00CE48E7" w:rsidRPr="00D03B0C" w:rsidRDefault="00CE48E7" w:rsidP="00044FD5">
            <w:pPr>
              <w:jc w:val="center"/>
            </w:pPr>
            <w:r>
              <w:rPr>
                <w:color w:val="00B050"/>
              </w:rPr>
              <w:t>18%</w:t>
            </w:r>
          </w:p>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A1B84" w14:paraId="4EF7DD9F" w14:textId="77777777" w:rsidTr="00044FD5">
        <w:trPr>
          <w:jc w:val="center"/>
        </w:trPr>
        <w:tc>
          <w:tcPr>
            <w:tcW w:w="4297" w:type="dxa"/>
            <w:shd w:val="clear" w:color="auto" w:fill="auto"/>
          </w:tcPr>
          <w:p w14:paraId="13269C94" w14:textId="77777777" w:rsidR="006A1B84" w:rsidRPr="006D2F6B" w:rsidRDefault="006A1B84" w:rsidP="006A1B84">
            <w:pPr>
              <w:rPr>
                <w:b/>
              </w:rPr>
            </w:pPr>
            <w:r w:rsidRPr="006D2F6B">
              <w:rPr>
                <w:b/>
              </w:rPr>
              <w:t>Targets or Measures</w:t>
            </w:r>
          </w:p>
        </w:tc>
        <w:tc>
          <w:tcPr>
            <w:tcW w:w="790" w:type="dxa"/>
            <w:shd w:val="clear" w:color="auto" w:fill="auto"/>
            <w:vAlign w:val="center"/>
          </w:tcPr>
          <w:p w14:paraId="5D8DC064" w14:textId="77777777" w:rsidR="006A1B84" w:rsidRDefault="006A1B84" w:rsidP="00044FD5">
            <w:pPr>
              <w:jc w:val="center"/>
              <w:rPr>
                <w:b/>
              </w:rPr>
            </w:pPr>
            <w:r w:rsidRPr="00D03B0C">
              <w:rPr>
                <w:b/>
              </w:rPr>
              <w:t>Base</w:t>
            </w:r>
          </w:p>
          <w:p w14:paraId="4B51A1C5" w14:textId="221A986B" w:rsidR="006A1B84" w:rsidRPr="006D2F6B" w:rsidRDefault="006A1B84" w:rsidP="00044FD5">
            <w:pPr>
              <w:jc w:val="center"/>
              <w:rPr>
                <w:b/>
              </w:rPr>
            </w:pPr>
            <w:r w:rsidRPr="00BC5F55">
              <w:rPr>
                <w:sz w:val="20"/>
                <w:szCs w:val="20"/>
              </w:rPr>
              <w:t>(2016)</w:t>
            </w:r>
          </w:p>
        </w:tc>
        <w:tc>
          <w:tcPr>
            <w:tcW w:w="790" w:type="dxa"/>
            <w:shd w:val="clear" w:color="auto" w:fill="auto"/>
            <w:vAlign w:val="center"/>
          </w:tcPr>
          <w:p w14:paraId="0AE79C5C" w14:textId="77777777" w:rsidR="006A1B84" w:rsidRDefault="006A1B84" w:rsidP="00044FD5">
            <w:pPr>
              <w:jc w:val="center"/>
              <w:rPr>
                <w:b/>
              </w:rPr>
            </w:pPr>
            <w:r w:rsidRPr="00D03B0C">
              <w:rPr>
                <w:b/>
              </w:rPr>
              <w:t>Year 1</w:t>
            </w:r>
          </w:p>
          <w:p w14:paraId="15B7F1C3" w14:textId="72662898" w:rsidR="006A1B84" w:rsidRPr="006D2F6B" w:rsidRDefault="006A1B84" w:rsidP="00044FD5">
            <w:pPr>
              <w:jc w:val="center"/>
              <w:rPr>
                <w:b/>
              </w:rPr>
            </w:pPr>
            <w:r w:rsidRPr="00BC5F55">
              <w:rPr>
                <w:sz w:val="20"/>
                <w:szCs w:val="20"/>
              </w:rPr>
              <w:t>(2017)</w:t>
            </w:r>
          </w:p>
        </w:tc>
        <w:tc>
          <w:tcPr>
            <w:tcW w:w="790" w:type="dxa"/>
            <w:shd w:val="clear" w:color="auto" w:fill="auto"/>
            <w:vAlign w:val="center"/>
          </w:tcPr>
          <w:p w14:paraId="5CBCD00C" w14:textId="77777777" w:rsidR="006A1B84" w:rsidRDefault="006A1B84" w:rsidP="00044FD5">
            <w:pPr>
              <w:jc w:val="center"/>
              <w:rPr>
                <w:b/>
              </w:rPr>
            </w:pPr>
            <w:r w:rsidRPr="00D03B0C">
              <w:rPr>
                <w:b/>
              </w:rPr>
              <w:t>Year 2</w:t>
            </w:r>
          </w:p>
          <w:p w14:paraId="4CC28E98" w14:textId="52863706" w:rsidR="006A1B84" w:rsidRPr="006D2F6B" w:rsidRDefault="006A1B84" w:rsidP="00044FD5">
            <w:pPr>
              <w:jc w:val="center"/>
              <w:rPr>
                <w:b/>
              </w:rPr>
            </w:pPr>
            <w:r w:rsidRPr="00BC5F55">
              <w:rPr>
                <w:sz w:val="20"/>
                <w:szCs w:val="20"/>
              </w:rPr>
              <w:t>(2018)</w:t>
            </w:r>
          </w:p>
        </w:tc>
        <w:tc>
          <w:tcPr>
            <w:tcW w:w="790" w:type="dxa"/>
            <w:shd w:val="clear" w:color="auto" w:fill="auto"/>
            <w:vAlign w:val="center"/>
          </w:tcPr>
          <w:p w14:paraId="634C4EB6" w14:textId="77777777" w:rsidR="006A1B84" w:rsidRDefault="006A1B84" w:rsidP="00044FD5">
            <w:pPr>
              <w:jc w:val="center"/>
              <w:rPr>
                <w:b/>
              </w:rPr>
            </w:pPr>
            <w:r w:rsidRPr="00D03B0C">
              <w:rPr>
                <w:b/>
              </w:rPr>
              <w:t>Year 3</w:t>
            </w:r>
          </w:p>
          <w:p w14:paraId="5EE5455E" w14:textId="017494D5" w:rsidR="006A1B84" w:rsidRPr="006D2F6B" w:rsidRDefault="006A1B84" w:rsidP="00044FD5">
            <w:pPr>
              <w:jc w:val="center"/>
              <w:rPr>
                <w:b/>
              </w:rPr>
            </w:pPr>
            <w:r w:rsidRPr="00BC5F55">
              <w:rPr>
                <w:sz w:val="20"/>
                <w:szCs w:val="20"/>
              </w:rPr>
              <w:t>(2019)</w:t>
            </w:r>
          </w:p>
        </w:tc>
        <w:tc>
          <w:tcPr>
            <w:tcW w:w="790" w:type="dxa"/>
            <w:shd w:val="clear" w:color="auto" w:fill="auto"/>
            <w:vAlign w:val="center"/>
          </w:tcPr>
          <w:p w14:paraId="3CEAEE7D" w14:textId="77777777" w:rsidR="006A1B84" w:rsidRDefault="006A1B84" w:rsidP="00044FD5">
            <w:pPr>
              <w:jc w:val="center"/>
              <w:rPr>
                <w:b/>
              </w:rPr>
            </w:pPr>
            <w:r w:rsidRPr="00D03B0C">
              <w:rPr>
                <w:b/>
              </w:rPr>
              <w:t>Year 4</w:t>
            </w:r>
          </w:p>
          <w:p w14:paraId="1CA3136C" w14:textId="1BCC0CE6" w:rsidR="006A1B84" w:rsidRPr="006D2F6B" w:rsidRDefault="006A1B84" w:rsidP="00044FD5">
            <w:pPr>
              <w:jc w:val="center"/>
              <w:rPr>
                <w:b/>
              </w:rPr>
            </w:pPr>
            <w:r w:rsidRPr="00C94C31">
              <w:rPr>
                <w:sz w:val="20"/>
                <w:szCs w:val="20"/>
              </w:rPr>
              <w:t>(</w:t>
            </w:r>
            <w:r w:rsidRPr="00BC5F55">
              <w:rPr>
                <w:sz w:val="20"/>
                <w:szCs w:val="20"/>
              </w:rPr>
              <w:t>2020)</w:t>
            </w:r>
          </w:p>
        </w:tc>
        <w:tc>
          <w:tcPr>
            <w:tcW w:w="791" w:type="dxa"/>
            <w:shd w:val="clear" w:color="auto" w:fill="auto"/>
            <w:vAlign w:val="center"/>
          </w:tcPr>
          <w:p w14:paraId="6C24BBB7" w14:textId="77777777" w:rsidR="006A1B84" w:rsidRDefault="006A1B84" w:rsidP="00044FD5">
            <w:pPr>
              <w:jc w:val="center"/>
              <w:rPr>
                <w:b/>
              </w:rPr>
            </w:pPr>
            <w:r w:rsidRPr="00D03B0C">
              <w:rPr>
                <w:b/>
              </w:rPr>
              <w:t>Year 5</w:t>
            </w:r>
          </w:p>
          <w:p w14:paraId="372CDBC5" w14:textId="58425863" w:rsidR="006A1B84" w:rsidRPr="006D2F6B" w:rsidRDefault="006A1B84" w:rsidP="00044FD5">
            <w:pPr>
              <w:jc w:val="center"/>
              <w:rPr>
                <w:b/>
              </w:rPr>
            </w:pPr>
            <w:r w:rsidRPr="00C94C31">
              <w:rPr>
                <w:sz w:val="20"/>
                <w:szCs w:val="20"/>
              </w:rPr>
              <w:t>(2021)</w:t>
            </w:r>
          </w:p>
        </w:tc>
      </w:tr>
      <w:tr w:rsidR="00CE48E7" w14:paraId="71FE611D" w14:textId="77777777" w:rsidTr="00044FD5">
        <w:trPr>
          <w:jc w:val="center"/>
        </w:trPr>
        <w:tc>
          <w:tcPr>
            <w:tcW w:w="4297" w:type="dxa"/>
            <w:shd w:val="clear" w:color="auto" w:fill="auto"/>
          </w:tcPr>
          <w:p w14:paraId="15FDFA6D" w14:textId="017E6D4F" w:rsidR="00CE48E7" w:rsidRPr="006D2F6B" w:rsidRDefault="00CE48E7" w:rsidP="00CE48E7">
            <w:pPr>
              <w:pStyle w:val="PlainText"/>
            </w:pPr>
            <w:r w:rsidRPr="00F266E1">
              <w:t>Trend Analysis - Behavioural Engagement (Average Response)</w:t>
            </w:r>
          </w:p>
        </w:tc>
        <w:tc>
          <w:tcPr>
            <w:tcW w:w="790" w:type="dxa"/>
            <w:shd w:val="clear" w:color="auto" w:fill="auto"/>
            <w:vAlign w:val="center"/>
          </w:tcPr>
          <w:p w14:paraId="4B7CDD05" w14:textId="6A3419F5" w:rsidR="00CE48E7" w:rsidRPr="006D2F6B" w:rsidRDefault="00CE48E7" w:rsidP="00044FD5">
            <w:pPr>
              <w:jc w:val="center"/>
            </w:pPr>
            <w:r>
              <w:t>4.1</w:t>
            </w:r>
          </w:p>
        </w:tc>
        <w:tc>
          <w:tcPr>
            <w:tcW w:w="790" w:type="dxa"/>
            <w:shd w:val="clear" w:color="auto" w:fill="auto"/>
            <w:vAlign w:val="center"/>
          </w:tcPr>
          <w:p w14:paraId="1037F637" w14:textId="16337312" w:rsidR="00CE48E7" w:rsidRPr="006D2F6B" w:rsidRDefault="00CE48E7" w:rsidP="00EC04CE">
            <w:pPr>
              <w:jc w:val="center"/>
            </w:pPr>
            <w:r>
              <w:t>3.</w:t>
            </w:r>
            <w:r w:rsidR="00EC04CE">
              <w:t>9</w:t>
            </w:r>
          </w:p>
        </w:tc>
        <w:tc>
          <w:tcPr>
            <w:tcW w:w="790" w:type="dxa"/>
            <w:shd w:val="clear" w:color="auto" w:fill="auto"/>
            <w:vAlign w:val="center"/>
          </w:tcPr>
          <w:p w14:paraId="4DED56F3" w14:textId="5A7A8F1E" w:rsidR="00CE48E7" w:rsidRPr="006D2F6B" w:rsidRDefault="00CE48E7" w:rsidP="00044FD5">
            <w:pPr>
              <w:jc w:val="center"/>
            </w:pPr>
            <w:r>
              <w:t>4.0</w:t>
            </w:r>
          </w:p>
        </w:tc>
        <w:tc>
          <w:tcPr>
            <w:tcW w:w="790" w:type="dxa"/>
            <w:shd w:val="clear" w:color="auto" w:fill="auto"/>
            <w:vAlign w:val="center"/>
          </w:tcPr>
          <w:p w14:paraId="252D803F" w14:textId="4B89E013" w:rsidR="00CE48E7" w:rsidRPr="006D2F6B" w:rsidRDefault="00A5506F" w:rsidP="00044FD5">
            <w:pPr>
              <w:jc w:val="center"/>
            </w:pPr>
            <w:r>
              <w:t>4.0</w:t>
            </w:r>
          </w:p>
        </w:tc>
        <w:tc>
          <w:tcPr>
            <w:tcW w:w="790" w:type="dxa"/>
            <w:shd w:val="clear" w:color="auto" w:fill="auto"/>
            <w:vAlign w:val="center"/>
          </w:tcPr>
          <w:p w14:paraId="5D9DADCD" w14:textId="77777777" w:rsidR="00CE48E7" w:rsidRPr="006D2F6B" w:rsidRDefault="00CE48E7" w:rsidP="00044FD5">
            <w:pPr>
              <w:jc w:val="center"/>
            </w:pPr>
          </w:p>
        </w:tc>
        <w:tc>
          <w:tcPr>
            <w:tcW w:w="791" w:type="dxa"/>
            <w:shd w:val="clear" w:color="auto" w:fill="auto"/>
            <w:vAlign w:val="center"/>
          </w:tcPr>
          <w:p w14:paraId="0521852A" w14:textId="77777777" w:rsidR="00CE48E7" w:rsidRPr="006D2F6B" w:rsidRDefault="00CE48E7" w:rsidP="00044FD5">
            <w:pPr>
              <w:jc w:val="center"/>
            </w:pPr>
          </w:p>
        </w:tc>
      </w:tr>
      <w:tr w:rsidR="00CE48E7" w14:paraId="38F74B11" w14:textId="77777777" w:rsidTr="00044FD5">
        <w:trPr>
          <w:jc w:val="center"/>
        </w:trPr>
        <w:tc>
          <w:tcPr>
            <w:tcW w:w="4297" w:type="dxa"/>
            <w:shd w:val="clear" w:color="auto" w:fill="auto"/>
          </w:tcPr>
          <w:p w14:paraId="3BFCD031" w14:textId="77777777" w:rsidR="00CE48E7" w:rsidRDefault="00CE48E7" w:rsidP="00CE48E7">
            <w:r w:rsidRPr="00F266E1">
              <w:t>Trend Analysis - Behavioural Engagement</w:t>
            </w:r>
          </w:p>
          <w:p w14:paraId="46E092F7" w14:textId="6CCBC516" w:rsidR="00CE48E7" w:rsidRPr="006D2F6B" w:rsidRDefault="00CE48E7" w:rsidP="00CE48E7">
            <w:r w:rsidRPr="00F266E1">
              <w:t>(% Agree or Strongly Agree)</w:t>
            </w:r>
          </w:p>
        </w:tc>
        <w:tc>
          <w:tcPr>
            <w:tcW w:w="790" w:type="dxa"/>
            <w:shd w:val="clear" w:color="auto" w:fill="auto"/>
            <w:vAlign w:val="center"/>
          </w:tcPr>
          <w:p w14:paraId="3072EA45" w14:textId="0B704650" w:rsidR="00CE48E7" w:rsidRPr="006D2F6B" w:rsidRDefault="00CE48E7" w:rsidP="00EC04CE">
            <w:pPr>
              <w:jc w:val="center"/>
            </w:pPr>
            <w:r>
              <w:t>6</w:t>
            </w:r>
            <w:r w:rsidR="00EC04CE">
              <w:t>1.0</w:t>
            </w:r>
            <w:r>
              <w:t>%</w:t>
            </w:r>
          </w:p>
        </w:tc>
        <w:tc>
          <w:tcPr>
            <w:tcW w:w="790" w:type="dxa"/>
            <w:shd w:val="clear" w:color="auto" w:fill="auto"/>
            <w:vAlign w:val="center"/>
          </w:tcPr>
          <w:p w14:paraId="4392190E" w14:textId="6D462488" w:rsidR="00CE48E7" w:rsidRPr="006D2F6B" w:rsidRDefault="00CE48E7" w:rsidP="00044FD5">
            <w:pPr>
              <w:jc w:val="center"/>
            </w:pPr>
            <w:r>
              <w:t>71</w:t>
            </w:r>
            <w:r w:rsidR="00EC04CE">
              <w:t>.2</w:t>
            </w:r>
            <w:r>
              <w:t>%</w:t>
            </w:r>
          </w:p>
        </w:tc>
        <w:tc>
          <w:tcPr>
            <w:tcW w:w="790" w:type="dxa"/>
            <w:shd w:val="clear" w:color="auto" w:fill="auto"/>
            <w:vAlign w:val="center"/>
          </w:tcPr>
          <w:p w14:paraId="56D80C92" w14:textId="36F45B76" w:rsidR="00CE48E7" w:rsidRPr="006D2F6B" w:rsidRDefault="00CE48E7" w:rsidP="00044FD5">
            <w:pPr>
              <w:jc w:val="center"/>
            </w:pPr>
            <w:r>
              <w:t>77</w:t>
            </w:r>
            <w:r w:rsidR="00EC04CE">
              <w:t>.4</w:t>
            </w:r>
            <w:r>
              <w:t>%</w:t>
            </w:r>
          </w:p>
        </w:tc>
        <w:tc>
          <w:tcPr>
            <w:tcW w:w="790" w:type="dxa"/>
            <w:shd w:val="clear" w:color="auto" w:fill="auto"/>
            <w:vAlign w:val="center"/>
          </w:tcPr>
          <w:p w14:paraId="396718C1" w14:textId="5765807A" w:rsidR="00CE48E7" w:rsidRPr="006D2F6B" w:rsidRDefault="00A5506F" w:rsidP="00044FD5">
            <w:pPr>
              <w:jc w:val="center"/>
            </w:pPr>
            <w:r>
              <w:t>76</w:t>
            </w:r>
            <w:r w:rsidR="00EC04CE">
              <w:t>.2</w:t>
            </w:r>
            <w:r>
              <w:t>%</w:t>
            </w:r>
          </w:p>
        </w:tc>
        <w:tc>
          <w:tcPr>
            <w:tcW w:w="790" w:type="dxa"/>
            <w:shd w:val="clear" w:color="auto" w:fill="auto"/>
            <w:vAlign w:val="center"/>
          </w:tcPr>
          <w:p w14:paraId="432D642D" w14:textId="77777777" w:rsidR="00CE48E7" w:rsidRPr="006D2F6B" w:rsidRDefault="00CE48E7" w:rsidP="00044FD5">
            <w:pPr>
              <w:jc w:val="center"/>
            </w:pPr>
          </w:p>
        </w:tc>
        <w:tc>
          <w:tcPr>
            <w:tcW w:w="791" w:type="dxa"/>
            <w:shd w:val="clear" w:color="auto" w:fill="auto"/>
            <w:vAlign w:val="center"/>
          </w:tcPr>
          <w:p w14:paraId="3F68F7CD" w14:textId="77777777" w:rsidR="00CE48E7" w:rsidRPr="006D2F6B" w:rsidRDefault="00CE48E7" w:rsidP="00044FD5">
            <w:pPr>
              <w:jc w:val="center"/>
            </w:pPr>
          </w:p>
        </w:tc>
      </w:tr>
      <w:tr w:rsidR="00CE48E7" w14:paraId="76B76BD4" w14:textId="77777777" w:rsidTr="00044FD5">
        <w:trPr>
          <w:jc w:val="center"/>
        </w:trPr>
        <w:tc>
          <w:tcPr>
            <w:tcW w:w="4297" w:type="dxa"/>
            <w:shd w:val="clear" w:color="auto" w:fill="auto"/>
          </w:tcPr>
          <w:p w14:paraId="513F19F7" w14:textId="04FD1491" w:rsidR="00CE48E7" w:rsidRPr="006D2F6B" w:rsidRDefault="00CE48E7" w:rsidP="00CE48E7">
            <w:r w:rsidRPr="00F266E1">
              <w:t>Trend Analysis - Emotional Engagement (Average Response)</w:t>
            </w:r>
          </w:p>
        </w:tc>
        <w:tc>
          <w:tcPr>
            <w:tcW w:w="790" w:type="dxa"/>
            <w:shd w:val="clear" w:color="auto" w:fill="auto"/>
            <w:vAlign w:val="center"/>
          </w:tcPr>
          <w:p w14:paraId="7CD3FC75" w14:textId="7C0AAF87" w:rsidR="00CE48E7" w:rsidRPr="006D2F6B" w:rsidRDefault="00CE48E7" w:rsidP="00044FD5">
            <w:pPr>
              <w:jc w:val="center"/>
            </w:pPr>
            <w:r>
              <w:t>3.6</w:t>
            </w:r>
          </w:p>
        </w:tc>
        <w:tc>
          <w:tcPr>
            <w:tcW w:w="790" w:type="dxa"/>
            <w:shd w:val="clear" w:color="auto" w:fill="auto"/>
            <w:vAlign w:val="center"/>
          </w:tcPr>
          <w:p w14:paraId="6B890BA3" w14:textId="40FCB85E" w:rsidR="00CE48E7" w:rsidRPr="006D2F6B" w:rsidRDefault="00CE48E7" w:rsidP="00044FD5">
            <w:pPr>
              <w:jc w:val="center"/>
            </w:pPr>
            <w:r>
              <w:t>3.5</w:t>
            </w:r>
          </w:p>
        </w:tc>
        <w:tc>
          <w:tcPr>
            <w:tcW w:w="790" w:type="dxa"/>
            <w:shd w:val="clear" w:color="auto" w:fill="auto"/>
            <w:vAlign w:val="center"/>
          </w:tcPr>
          <w:p w14:paraId="0390653A" w14:textId="3A39BE66" w:rsidR="00CE48E7" w:rsidRPr="006D2F6B" w:rsidRDefault="00CE48E7" w:rsidP="00044FD5">
            <w:pPr>
              <w:jc w:val="center"/>
            </w:pPr>
            <w:r>
              <w:t>3.4</w:t>
            </w:r>
          </w:p>
        </w:tc>
        <w:tc>
          <w:tcPr>
            <w:tcW w:w="790" w:type="dxa"/>
            <w:shd w:val="clear" w:color="auto" w:fill="auto"/>
            <w:vAlign w:val="center"/>
          </w:tcPr>
          <w:p w14:paraId="55882308" w14:textId="655ECA9F" w:rsidR="00CE48E7" w:rsidRPr="006D2F6B" w:rsidRDefault="00A5506F" w:rsidP="00044FD5">
            <w:pPr>
              <w:jc w:val="center"/>
            </w:pPr>
            <w:r>
              <w:t>3.4</w:t>
            </w:r>
          </w:p>
        </w:tc>
        <w:tc>
          <w:tcPr>
            <w:tcW w:w="790" w:type="dxa"/>
            <w:shd w:val="clear" w:color="auto" w:fill="auto"/>
            <w:vAlign w:val="center"/>
          </w:tcPr>
          <w:p w14:paraId="62B4D640" w14:textId="77777777" w:rsidR="00CE48E7" w:rsidRPr="006D2F6B" w:rsidRDefault="00CE48E7" w:rsidP="00044FD5">
            <w:pPr>
              <w:jc w:val="center"/>
            </w:pPr>
          </w:p>
        </w:tc>
        <w:tc>
          <w:tcPr>
            <w:tcW w:w="791" w:type="dxa"/>
            <w:shd w:val="clear" w:color="auto" w:fill="auto"/>
            <w:vAlign w:val="center"/>
          </w:tcPr>
          <w:p w14:paraId="4E8C481D" w14:textId="77777777" w:rsidR="00CE48E7" w:rsidRPr="006D2F6B" w:rsidRDefault="00CE48E7" w:rsidP="00044FD5">
            <w:pPr>
              <w:jc w:val="center"/>
            </w:pPr>
          </w:p>
        </w:tc>
      </w:tr>
      <w:tr w:rsidR="00CE48E7" w14:paraId="29538862" w14:textId="77777777" w:rsidTr="00044FD5">
        <w:trPr>
          <w:jc w:val="center"/>
        </w:trPr>
        <w:tc>
          <w:tcPr>
            <w:tcW w:w="4297" w:type="dxa"/>
            <w:shd w:val="clear" w:color="auto" w:fill="auto"/>
          </w:tcPr>
          <w:p w14:paraId="544A1723" w14:textId="77777777" w:rsidR="00CE48E7" w:rsidRDefault="00CE48E7" w:rsidP="00CE48E7">
            <w:r w:rsidRPr="00F266E1">
              <w:t>Trend Analysis - Emotional Engagement</w:t>
            </w:r>
          </w:p>
          <w:p w14:paraId="4703C4C1" w14:textId="39666984" w:rsidR="00CE48E7" w:rsidRPr="006D2F6B" w:rsidRDefault="00CE48E7" w:rsidP="00CE48E7">
            <w:r w:rsidRPr="00F266E1">
              <w:t>(% Agree or Strongly Agree)</w:t>
            </w:r>
          </w:p>
        </w:tc>
        <w:tc>
          <w:tcPr>
            <w:tcW w:w="790" w:type="dxa"/>
            <w:shd w:val="clear" w:color="auto" w:fill="auto"/>
            <w:vAlign w:val="center"/>
          </w:tcPr>
          <w:p w14:paraId="769FFD65" w14:textId="256010E2" w:rsidR="00CE48E7" w:rsidRPr="006D2F6B" w:rsidRDefault="00CE48E7" w:rsidP="00EC04CE">
            <w:pPr>
              <w:jc w:val="center"/>
            </w:pPr>
            <w:r>
              <w:t>3</w:t>
            </w:r>
            <w:r w:rsidR="00EC04CE">
              <w:t>9.5</w:t>
            </w:r>
            <w:r>
              <w:t>%</w:t>
            </w:r>
          </w:p>
        </w:tc>
        <w:tc>
          <w:tcPr>
            <w:tcW w:w="790" w:type="dxa"/>
            <w:shd w:val="clear" w:color="auto" w:fill="auto"/>
            <w:vAlign w:val="center"/>
          </w:tcPr>
          <w:p w14:paraId="72C9115C" w14:textId="1CAD0FF4" w:rsidR="00CE48E7" w:rsidRPr="006D2F6B" w:rsidRDefault="00CE48E7" w:rsidP="00EC04CE">
            <w:pPr>
              <w:jc w:val="center"/>
            </w:pPr>
            <w:r>
              <w:t>5</w:t>
            </w:r>
            <w:r w:rsidR="00EC04CE">
              <w:t>1.9</w:t>
            </w:r>
            <w:r>
              <w:t>%</w:t>
            </w:r>
          </w:p>
        </w:tc>
        <w:tc>
          <w:tcPr>
            <w:tcW w:w="790" w:type="dxa"/>
            <w:shd w:val="clear" w:color="auto" w:fill="auto"/>
            <w:vAlign w:val="center"/>
          </w:tcPr>
          <w:p w14:paraId="26ABF86D" w14:textId="3649B877" w:rsidR="00CE48E7" w:rsidRPr="006D2F6B" w:rsidRDefault="00CE48E7" w:rsidP="00044FD5">
            <w:pPr>
              <w:jc w:val="center"/>
            </w:pPr>
            <w:r>
              <w:t>48</w:t>
            </w:r>
            <w:r w:rsidR="00EC04CE">
              <w:t>.2</w:t>
            </w:r>
            <w:r>
              <w:t>%</w:t>
            </w:r>
          </w:p>
        </w:tc>
        <w:tc>
          <w:tcPr>
            <w:tcW w:w="790" w:type="dxa"/>
            <w:shd w:val="clear" w:color="auto" w:fill="auto"/>
            <w:vAlign w:val="center"/>
          </w:tcPr>
          <w:p w14:paraId="2E6626C5" w14:textId="4536893E" w:rsidR="00CE48E7" w:rsidRPr="006D2F6B" w:rsidRDefault="00A5506F" w:rsidP="00044FD5">
            <w:pPr>
              <w:jc w:val="center"/>
            </w:pPr>
            <w:r>
              <w:t>4</w:t>
            </w:r>
            <w:r w:rsidR="00EC04CE">
              <w:t>7.</w:t>
            </w:r>
            <w:r>
              <w:t>8%</w:t>
            </w:r>
          </w:p>
        </w:tc>
        <w:tc>
          <w:tcPr>
            <w:tcW w:w="790" w:type="dxa"/>
            <w:shd w:val="clear" w:color="auto" w:fill="auto"/>
            <w:vAlign w:val="center"/>
          </w:tcPr>
          <w:p w14:paraId="1FEA1DBF" w14:textId="77777777" w:rsidR="00CE48E7" w:rsidRPr="006D2F6B" w:rsidRDefault="00CE48E7" w:rsidP="00044FD5">
            <w:pPr>
              <w:jc w:val="center"/>
            </w:pPr>
          </w:p>
        </w:tc>
        <w:tc>
          <w:tcPr>
            <w:tcW w:w="791" w:type="dxa"/>
            <w:shd w:val="clear" w:color="auto" w:fill="auto"/>
            <w:vAlign w:val="center"/>
          </w:tcPr>
          <w:p w14:paraId="7383FB7B" w14:textId="77777777" w:rsidR="00CE48E7" w:rsidRPr="006D2F6B" w:rsidRDefault="00CE48E7" w:rsidP="00044FD5">
            <w:pPr>
              <w:jc w:val="center"/>
            </w:pPr>
          </w:p>
        </w:tc>
      </w:tr>
      <w:tr w:rsidR="00CE48E7" w14:paraId="0185E0D8" w14:textId="77777777" w:rsidTr="00044FD5">
        <w:trPr>
          <w:jc w:val="center"/>
        </w:trPr>
        <w:tc>
          <w:tcPr>
            <w:tcW w:w="4297" w:type="dxa"/>
            <w:shd w:val="clear" w:color="auto" w:fill="auto"/>
          </w:tcPr>
          <w:p w14:paraId="46060C2F" w14:textId="77777777" w:rsidR="00CE48E7" w:rsidRDefault="00CE48E7" w:rsidP="00CE48E7">
            <w:r w:rsidRPr="00F266E1">
              <w:t xml:space="preserve">Trend Analysis </w:t>
            </w:r>
            <w:r>
              <w:t>–</w:t>
            </w:r>
            <w:r w:rsidRPr="00F266E1">
              <w:t xml:space="preserve"> </w:t>
            </w:r>
            <w:r>
              <w:t>Perceived Safety &amp; Support</w:t>
            </w:r>
          </w:p>
          <w:p w14:paraId="099DF836" w14:textId="710E3200" w:rsidR="00CE48E7" w:rsidRPr="006D2F6B" w:rsidRDefault="00CE48E7" w:rsidP="00CE48E7">
            <w:r w:rsidRPr="00F266E1">
              <w:t>(Average Response)</w:t>
            </w:r>
          </w:p>
        </w:tc>
        <w:tc>
          <w:tcPr>
            <w:tcW w:w="790" w:type="dxa"/>
            <w:shd w:val="clear" w:color="auto" w:fill="auto"/>
            <w:vAlign w:val="center"/>
          </w:tcPr>
          <w:p w14:paraId="0C47F814" w14:textId="48A11C6A" w:rsidR="00CE48E7" w:rsidRPr="006D2F6B" w:rsidRDefault="00CE48E7" w:rsidP="00044FD5">
            <w:pPr>
              <w:jc w:val="center"/>
            </w:pPr>
            <w:r>
              <w:t>3.7</w:t>
            </w:r>
          </w:p>
        </w:tc>
        <w:tc>
          <w:tcPr>
            <w:tcW w:w="790" w:type="dxa"/>
            <w:shd w:val="clear" w:color="auto" w:fill="auto"/>
            <w:vAlign w:val="center"/>
          </w:tcPr>
          <w:p w14:paraId="4004BD2E" w14:textId="67CBF66E" w:rsidR="00CE48E7" w:rsidRPr="006D2F6B" w:rsidRDefault="00CE48E7" w:rsidP="00044FD5">
            <w:pPr>
              <w:jc w:val="center"/>
            </w:pPr>
            <w:r>
              <w:t>3.5</w:t>
            </w:r>
          </w:p>
        </w:tc>
        <w:tc>
          <w:tcPr>
            <w:tcW w:w="790" w:type="dxa"/>
            <w:shd w:val="clear" w:color="auto" w:fill="auto"/>
            <w:vAlign w:val="center"/>
          </w:tcPr>
          <w:p w14:paraId="10DA641B" w14:textId="16B9D7B2" w:rsidR="00CE48E7" w:rsidRPr="006D2F6B" w:rsidRDefault="00CE48E7" w:rsidP="00044FD5">
            <w:pPr>
              <w:jc w:val="center"/>
            </w:pPr>
            <w:r>
              <w:t>3.6</w:t>
            </w:r>
          </w:p>
        </w:tc>
        <w:tc>
          <w:tcPr>
            <w:tcW w:w="790" w:type="dxa"/>
            <w:shd w:val="clear" w:color="auto" w:fill="auto"/>
            <w:vAlign w:val="center"/>
          </w:tcPr>
          <w:p w14:paraId="253F23D8" w14:textId="553F04D5" w:rsidR="00CE48E7" w:rsidRPr="006D2F6B" w:rsidRDefault="00EC04CE" w:rsidP="00044FD5">
            <w:pPr>
              <w:jc w:val="center"/>
            </w:pPr>
            <w:r>
              <w:t>3.7</w:t>
            </w:r>
          </w:p>
        </w:tc>
        <w:tc>
          <w:tcPr>
            <w:tcW w:w="790" w:type="dxa"/>
            <w:shd w:val="clear" w:color="auto" w:fill="auto"/>
            <w:vAlign w:val="center"/>
          </w:tcPr>
          <w:p w14:paraId="024EEC9D" w14:textId="77777777" w:rsidR="00CE48E7" w:rsidRPr="006D2F6B" w:rsidRDefault="00CE48E7" w:rsidP="00044FD5">
            <w:pPr>
              <w:jc w:val="center"/>
            </w:pPr>
          </w:p>
        </w:tc>
        <w:tc>
          <w:tcPr>
            <w:tcW w:w="791" w:type="dxa"/>
            <w:shd w:val="clear" w:color="auto" w:fill="auto"/>
            <w:vAlign w:val="center"/>
          </w:tcPr>
          <w:p w14:paraId="28D80007" w14:textId="77777777" w:rsidR="00CE48E7" w:rsidRPr="006D2F6B" w:rsidRDefault="00CE48E7" w:rsidP="00044FD5">
            <w:pPr>
              <w:jc w:val="center"/>
            </w:pPr>
          </w:p>
        </w:tc>
      </w:tr>
      <w:tr w:rsidR="00CE48E7" w14:paraId="129812B4" w14:textId="77777777" w:rsidTr="00044FD5">
        <w:trPr>
          <w:jc w:val="center"/>
        </w:trPr>
        <w:tc>
          <w:tcPr>
            <w:tcW w:w="4297" w:type="dxa"/>
            <w:shd w:val="clear" w:color="auto" w:fill="auto"/>
          </w:tcPr>
          <w:p w14:paraId="72947332" w14:textId="77777777" w:rsidR="00CE48E7" w:rsidRDefault="00CE48E7" w:rsidP="00CE48E7">
            <w:r w:rsidRPr="00F266E1">
              <w:t xml:space="preserve">Trend Analysis </w:t>
            </w:r>
            <w:r>
              <w:t>–</w:t>
            </w:r>
            <w:r w:rsidRPr="00F266E1">
              <w:t xml:space="preserve"> </w:t>
            </w:r>
            <w:r>
              <w:t>Perceived Safety &amp; Support</w:t>
            </w:r>
          </w:p>
          <w:p w14:paraId="278F3E20" w14:textId="44143375" w:rsidR="00CE48E7" w:rsidRPr="006D2F6B" w:rsidRDefault="00CE48E7" w:rsidP="00CE48E7">
            <w:r w:rsidRPr="00F266E1">
              <w:t>(% Agree or Strongly Agree)</w:t>
            </w:r>
          </w:p>
        </w:tc>
        <w:tc>
          <w:tcPr>
            <w:tcW w:w="790" w:type="dxa"/>
            <w:shd w:val="clear" w:color="auto" w:fill="auto"/>
            <w:vAlign w:val="center"/>
          </w:tcPr>
          <w:p w14:paraId="3D4F24A5" w14:textId="0FD9CCF5" w:rsidR="00CE48E7" w:rsidRPr="006D2F6B" w:rsidRDefault="00CE48E7" w:rsidP="00EC04CE">
            <w:pPr>
              <w:jc w:val="center"/>
            </w:pPr>
            <w:r>
              <w:t>4</w:t>
            </w:r>
            <w:r w:rsidR="00EC04CE">
              <w:t>4.8</w:t>
            </w:r>
            <w:r>
              <w:t>%</w:t>
            </w:r>
          </w:p>
        </w:tc>
        <w:tc>
          <w:tcPr>
            <w:tcW w:w="790" w:type="dxa"/>
            <w:shd w:val="clear" w:color="auto" w:fill="auto"/>
            <w:vAlign w:val="center"/>
          </w:tcPr>
          <w:p w14:paraId="203DB1AC" w14:textId="31989D8F" w:rsidR="00CE48E7" w:rsidRPr="006D2F6B" w:rsidRDefault="00CE48E7" w:rsidP="00044FD5">
            <w:pPr>
              <w:jc w:val="center"/>
            </w:pPr>
            <w:r>
              <w:t>56</w:t>
            </w:r>
            <w:r w:rsidR="00EC04CE">
              <w:t>.0</w:t>
            </w:r>
            <w:r>
              <w:t>%</w:t>
            </w:r>
          </w:p>
        </w:tc>
        <w:tc>
          <w:tcPr>
            <w:tcW w:w="790" w:type="dxa"/>
            <w:shd w:val="clear" w:color="auto" w:fill="auto"/>
            <w:vAlign w:val="center"/>
          </w:tcPr>
          <w:p w14:paraId="79D5E441" w14:textId="0A697275" w:rsidR="00CE48E7" w:rsidRPr="006D2F6B" w:rsidRDefault="00EC04CE" w:rsidP="00EC04CE">
            <w:pPr>
              <w:jc w:val="center"/>
            </w:pPr>
            <w:r>
              <w:t>59.6</w:t>
            </w:r>
            <w:r w:rsidR="00CE48E7">
              <w:t>%</w:t>
            </w:r>
          </w:p>
        </w:tc>
        <w:tc>
          <w:tcPr>
            <w:tcW w:w="790" w:type="dxa"/>
            <w:shd w:val="clear" w:color="auto" w:fill="auto"/>
            <w:vAlign w:val="center"/>
          </w:tcPr>
          <w:p w14:paraId="1DA28A7A" w14:textId="67DA49D4" w:rsidR="00CE48E7" w:rsidRPr="006D2F6B" w:rsidRDefault="00EC04CE" w:rsidP="00EC04CE">
            <w:pPr>
              <w:jc w:val="center"/>
            </w:pPr>
            <w:r>
              <w:t>59.9</w:t>
            </w:r>
            <w:r w:rsidR="00A5506F">
              <w:t>%</w:t>
            </w:r>
          </w:p>
        </w:tc>
        <w:tc>
          <w:tcPr>
            <w:tcW w:w="790" w:type="dxa"/>
            <w:shd w:val="clear" w:color="auto" w:fill="auto"/>
            <w:vAlign w:val="center"/>
          </w:tcPr>
          <w:p w14:paraId="7FA71D58" w14:textId="77777777" w:rsidR="00CE48E7" w:rsidRPr="006D2F6B" w:rsidRDefault="00CE48E7" w:rsidP="00044FD5">
            <w:pPr>
              <w:jc w:val="center"/>
            </w:pPr>
          </w:p>
        </w:tc>
        <w:tc>
          <w:tcPr>
            <w:tcW w:w="791" w:type="dxa"/>
            <w:shd w:val="clear" w:color="auto" w:fill="auto"/>
            <w:vAlign w:val="center"/>
          </w:tcPr>
          <w:p w14:paraId="491DAD8F" w14:textId="77777777" w:rsidR="00CE48E7" w:rsidRPr="006D2F6B" w:rsidRDefault="00CE48E7" w:rsidP="00044FD5">
            <w:pPr>
              <w:jc w:val="center"/>
            </w:pPr>
          </w:p>
        </w:tc>
      </w:tr>
      <w:tr w:rsidR="006A1B84" w14:paraId="5219C6AA" w14:textId="77777777" w:rsidTr="00D6113C">
        <w:trPr>
          <w:jc w:val="center"/>
        </w:trPr>
        <w:tc>
          <w:tcPr>
            <w:tcW w:w="4297" w:type="dxa"/>
            <w:shd w:val="clear" w:color="auto" w:fill="auto"/>
          </w:tcPr>
          <w:p w14:paraId="3BC95461" w14:textId="518946F3" w:rsidR="006A1B84" w:rsidRPr="006D2F6B" w:rsidRDefault="006A1B84" w:rsidP="006A1B84">
            <w:r>
              <w:t>The percentage of students who report excellent emotional engagement in the school on the Australian School Climate and School Identification Measurement Tool (ASCSIMT) will increase from 39 percent in 2016 to 45 percent by 2021</w:t>
            </w:r>
          </w:p>
        </w:tc>
        <w:tc>
          <w:tcPr>
            <w:tcW w:w="790" w:type="dxa"/>
            <w:shd w:val="clear" w:color="auto" w:fill="auto"/>
            <w:vAlign w:val="center"/>
          </w:tcPr>
          <w:p w14:paraId="35B6DE16" w14:textId="1A73B5CA" w:rsidR="006A1B84" w:rsidRPr="006D2F6B" w:rsidRDefault="006A1B84" w:rsidP="00044FD5">
            <w:pPr>
              <w:jc w:val="center"/>
            </w:pPr>
            <w:r>
              <w:t>39.1%</w:t>
            </w:r>
          </w:p>
        </w:tc>
        <w:tc>
          <w:tcPr>
            <w:tcW w:w="790" w:type="dxa"/>
            <w:shd w:val="clear" w:color="auto" w:fill="auto"/>
            <w:vAlign w:val="center"/>
          </w:tcPr>
          <w:p w14:paraId="4372CB75" w14:textId="6411D43B" w:rsidR="006A1B84" w:rsidRPr="006D2F6B" w:rsidRDefault="006A1B84" w:rsidP="00044FD5">
            <w:pPr>
              <w:jc w:val="center"/>
            </w:pPr>
            <w:r>
              <w:t>30.6%</w:t>
            </w:r>
          </w:p>
        </w:tc>
        <w:tc>
          <w:tcPr>
            <w:tcW w:w="790" w:type="dxa"/>
            <w:shd w:val="clear" w:color="auto" w:fill="808080" w:themeFill="background1" w:themeFillShade="80"/>
            <w:vAlign w:val="center"/>
          </w:tcPr>
          <w:p w14:paraId="25F41CB3" w14:textId="77777777" w:rsidR="006A1B84" w:rsidRPr="006D2F6B" w:rsidRDefault="006A1B84" w:rsidP="00044FD5">
            <w:pPr>
              <w:jc w:val="center"/>
            </w:pPr>
          </w:p>
        </w:tc>
        <w:tc>
          <w:tcPr>
            <w:tcW w:w="790" w:type="dxa"/>
            <w:shd w:val="clear" w:color="auto" w:fill="808080" w:themeFill="background1" w:themeFillShade="80"/>
            <w:vAlign w:val="center"/>
          </w:tcPr>
          <w:p w14:paraId="20FDC6A9" w14:textId="77777777" w:rsidR="006A1B84" w:rsidRPr="006D2F6B" w:rsidRDefault="006A1B84" w:rsidP="00044FD5">
            <w:pPr>
              <w:jc w:val="center"/>
            </w:pPr>
          </w:p>
        </w:tc>
        <w:tc>
          <w:tcPr>
            <w:tcW w:w="790" w:type="dxa"/>
            <w:shd w:val="clear" w:color="auto" w:fill="auto"/>
            <w:vAlign w:val="center"/>
          </w:tcPr>
          <w:p w14:paraId="42BB0DBF" w14:textId="77777777" w:rsidR="006A1B84" w:rsidRPr="006D2F6B" w:rsidRDefault="006A1B84" w:rsidP="00044FD5">
            <w:pPr>
              <w:jc w:val="center"/>
            </w:pPr>
          </w:p>
        </w:tc>
        <w:tc>
          <w:tcPr>
            <w:tcW w:w="791" w:type="dxa"/>
            <w:shd w:val="clear" w:color="auto" w:fill="auto"/>
            <w:vAlign w:val="center"/>
          </w:tcPr>
          <w:p w14:paraId="1D0B35C0" w14:textId="1B07D113" w:rsidR="006A1B84" w:rsidRPr="006D2F6B" w:rsidRDefault="006A1B84" w:rsidP="00044FD5">
            <w:pPr>
              <w:jc w:val="center"/>
            </w:pPr>
            <w:r>
              <w:rPr>
                <w:color w:val="00B050"/>
              </w:rPr>
              <w:t>45%</w:t>
            </w:r>
          </w:p>
        </w:tc>
      </w:tr>
      <w:tr w:rsidR="006A1B84" w14:paraId="6E1E8C8B" w14:textId="77777777" w:rsidTr="00D6113C">
        <w:trPr>
          <w:jc w:val="center"/>
        </w:trPr>
        <w:tc>
          <w:tcPr>
            <w:tcW w:w="4297" w:type="dxa"/>
            <w:shd w:val="clear" w:color="auto" w:fill="auto"/>
          </w:tcPr>
          <w:p w14:paraId="55C0D557" w14:textId="15EC8020" w:rsidR="006A1B84" w:rsidRPr="006D2F6B" w:rsidRDefault="006A1B84" w:rsidP="006A1B84">
            <w:r>
              <w:t>The percentage of students who report excellent behavioural engagement in the school on the ASCSIMT will increase from 60 percent in 2016 to 65 percent by 2021. The total percentage of students who report excellent or adequate behavioural engagement will remain at 98 percent or higher.</w:t>
            </w:r>
          </w:p>
        </w:tc>
        <w:tc>
          <w:tcPr>
            <w:tcW w:w="790" w:type="dxa"/>
            <w:shd w:val="clear" w:color="auto" w:fill="auto"/>
            <w:vAlign w:val="center"/>
          </w:tcPr>
          <w:p w14:paraId="61C549EA" w14:textId="2CFC0446" w:rsidR="006A1B84" w:rsidRPr="006D2F6B" w:rsidRDefault="006A1B84" w:rsidP="00044FD5">
            <w:pPr>
              <w:jc w:val="center"/>
            </w:pPr>
            <w:r>
              <w:t>60.4%</w:t>
            </w:r>
          </w:p>
        </w:tc>
        <w:tc>
          <w:tcPr>
            <w:tcW w:w="790" w:type="dxa"/>
            <w:shd w:val="clear" w:color="auto" w:fill="auto"/>
            <w:vAlign w:val="center"/>
          </w:tcPr>
          <w:p w14:paraId="68B171A5" w14:textId="5B3CB131" w:rsidR="006A1B84" w:rsidRPr="006D2F6B" w:rsidRDefault="006A1B84" w:rsidP="00044FD5">
            <w:pPr>
              <w:jc w:val="center"/>
            </w:pPr>
            <w:r>
              <w:t>54.7%</w:t>
            </w:r>
          </w:p>
        </w:tc>
        <w:tc>
          <w:tcPr>
            <w:tcW w:w="790" w:type="dxa"/>
            <w:shd w:val="clear" w:color="auto" w:fill="808080" w:themeFill="background1" w:themeFillShade="80"/>
            <w:vAlign w:val="center"/>
          </w:tcPr>
          <w:p w14:paraId="7A61A666" w14:textId="77777777" w:rsidR="006A1B84" w:rsidRPr="006D2F6B" w:rsidRDefault="006A1B84" w:rsidP="00044FD5">
            <w:pPr>
              <w:jc w:val="center"/>
            </w:pPr>
          </w:p>
        </w:tc>
        <w:tc>
          <w:tcPr>
            <w:tcW w:w="790" w:type="dxa"/>
            <w:shd w:val="clear" w:color="auto" w:fill="808080" w:themeFill="background1" w:themeFillShade="80"/>
            <w:vAlign w:val="center"/>
          </w:tcPr>
          <w:p w14:paraId="0F3980A2" w14:textId="77777777" w:rsidR="006A1B84" w:rsidRPr="006D2F6B" w:rsidRDefault="006A1B84" w:rsidP="00044FD5">
            <w:pPr>
              <w:jc w:val="center"/>
            </w:pPr>
          </w:p>
        </w:tc>
        <w:tc>
          <w:tcPr>
            <w:tcW w:w="790" w:type="dxa"/>
            <w:shd w:val="clear" w:color="auto" w:fill="auto"/>
            <w:vAlign w:val="center"/>
          </w:tcPr>
          <w:p w14:paraId="2C0877C8" w14:textId="77777777" w:rsidR="006A1B84" w:rsidRPr="006D2F6B" w:rsidRDefault="006A1B84" w:rsidP="00044FD5">
            <w:pPr>
              <w:jc w:val="center"/>
            </w:pPr>
          </w:p>
        </w:tc>
        <w:tc>
          <w:tcPr>
            <w:tcW w:w="791" w:type="dxa"/>
            <w:shd w:val="clear" w:color="auto" w:fill="auto"/>
            <w:vAlign w:val="center"/>
          </w:tcPr>
          <w:p w14:paraId="5BE7FE95" w14:textId="426694BE" w:rsidR="006A1B84" w:rsidRPr="006D2F6B" w:rsidRDefault="006A1B84" w:rsidP="00044FD5">
            <w:pPr>
              <w:jc w:val="center"/>
            </w:pPr>
            <w:r>
              <w:rPr>
                <w:color w:val="00B050"/>
              </w:rPr>
              <w:t>65%</w:t>
            </w:r>
          </w:p>
        </w:tc>
      </w:tr>
    </w:tbl>
    <w:p w14:paraId="02078B9E" w14:textId="77777777" w:rsidR="008A01DA" w:rsidRPr="008A01DA" w:rsidRDefault="008A01DA" w:rsidP="00C0648C">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A1B84" w14:paraId="5A7D1DBC" w14:textId="77777777" w:rsidTr="00044FD5">
        <w:trPr>
          <w:jc w:val="center"/>
        </w:trPr>
        <w:tc>
          <w:tcPr>
            <w:tcW w:w="4297" w:type="dxa"/>
            <w:shd w:val="clear" w:color="auto" w:fill="auto"/>
          </w:tcPr>
          <w:p w14:paraId="7683E7F7" w14:textId="77777777" w:rsidR="006A1B84" w:rsidRPr="006D2F6B" w:rsidRDefault="006A1B84" w:rsidP="006A1B84">
            <w:pPr>
              <w:rPr>
                <w:b/>
              </w:rPr>
            </w:pPr>
            <w:r w:rsidRPr="006D2F6B">
              <w:rPr>
                <w:b/>
              </w:rPr>
              <w:t>Targets or Measures</w:t>
            </w:r>
          </w:p>
        </w:tc>
        <w:tc>
          <w:tcPr>
            <w:tcW w:w="790" w:type="dxa"/>
            <w:shd w:val="clear" w:color="auto" w:fill="auto"/>
            <w:vAlign w:val="center"/>
          </w:tcPr>
          <w:p w14:paraId="59D2D256" w14:textId="77777777" w:rsidR="006A1B84" w:rsidRDefault="006A1B84" w:rsidP="00044FD5">
            <w:pPr>
              <w:jc w:val="center"/>
              <w:rPr>
                <w:b/>
              </w:rPr>
            </w:pPr>
            <w:r w:rsidRPr="00D03B0C">
              <w:rPr>
                <w:b/>
              </w:rPr>
              <w:t>Base</w:t>
            </w:r>
          </w:p>
          <w:p w14:paraId="3D66D815" w14:textId="07DC0B81" w:rsidR="006A1B84" w:rsidRPr="006D2F6B" w:rsidRDefault="006A1B84" w:rsidP="00044FD5">
            <w:pPr>
              <w:jc w:val="center"/>
              <w:rPr>
                <w:b/>
              </w:rPr>
            </w:pPr>
            <w:r w:rsidRPr="00BC5F55">
              <w:rPr>
                <w:sz w:val="20"/>
                <w:szCs w:val="20"/>
              </w:rPr>
              <w:t>(2016)</w:t>
            </w:r>
          </w:p>
        </w:tc>
        <w:tc>
          <w:tcPr>
            <w:tcW w:w="790" w:type="dxa"/>
            <w:shd w:val="clear" w:color="auto" w:fill="auto"/>
            <w:vAlign w:val="center"/>
          </w:tcPr>
          <w:p w14:paraId="0EB604EA" w14:textId="77777777" w:rsidR="006A1B84" w:rsidRDefault="006A1B84" w:rsidP="00044FD5">
            <w:pPr>
              <w:jc w:val="center"/>
              <w:rPr>
                <w:b/>
              </w:rPr>
            </w:pPr>
            <w:r w:rsidRPr="00D03B0C">
              <w:rPr>
                <w:b/>
              </w:rPr>
              <w:t>Year 1</w:t>
            </w:r>
          </w:p>
          <w:p w14:paraId="2D7C7705" w14:textId="77E742F8" w:rsidR="006A1B84" w:rsidRPr="006D2F6B" w:rsidRDefault="006A1B84" w:rsidP="00044FD5">
            <w:pPr>
              <w:jc w:val="center"/>
              <w:rPr>
                <w:b/>
              </w:rPr>
            </w:pPr>
            <w:r w:rsidRPr="00BC5F55">
              <w:rPr>
                <w:sz w:val="20"/>
                <w:szCs w:val="20"/>
              </w:rPr>
              <w:t>(2017)</w:t>
            </w:r>
          </w:p>
        </w:tc>
        <w:tc>
          <w:tcPr>
            <w:tcW w:w="790" w:type="dxa"/>
            <w:shd w:val="clear" w:color="auto" w:fill="auto"/>
            <w:vAlign w:val="center"/>
          </w:tcPr>
          <w:p w14:paraId="0E195B14" w14:textId="77777777" w:rsidR="006A1B84" w:rsidRDefault="006A1B84" w:rsidP="00044FD5">
            <w:pPr>
              <w:jc w:val="center"/>
              <w:rPr>
                <w:b/>
              </w:rPr>
            </w:pPr>
            <w:r w:rsidRPr="00D03B0C">
              <w:rPr>
                <w:b/>
              </w:rPr>
              <w:t>Year 2</w:t>
            </w:r>
          </w:p>
          <w:p w14:paraId="1AEEC90B" w14:textId="7DC7D239" w:rsidR="006A1B84" w:rsidRPr="006D2F6B" w:rsidRDefault="006A1B84" w:rsidP="00044FD5">
            <w:pPr>
              <w:jc w:val="center"/>
              <w:rPr>
                <w:b/>
              </w:rPr>
            </w:pPr>
            <w:r w:rsidRPr="00BC5F55">
              <w:rPr>
                <w:sz w:val="20"/>
                <w:szCs w:val="20"/>
              </w:rPr>
              <w:t>(2018)</w:t>
            </w:r>
          </w:p>
        </w:tc>
        <w:tc>
          <w:tcPr>
            <w:tcW w:w="790" w:type="dxa"/>
            <w:shd w:val="clear" w:color="auto" w:fill="auto"/>
            <w:vAlign w:val="center"/>
          </w:tcPr>
          <w:p w14:paraId="18F9F127" w14:textId="77777777" w:rsidR="006A1B84" w:rsidRDefault="006A1B84" w:rsidP="00044FD5">
            <w:pPr>
              <w:jc w:val="center"/>
              <w:rPr>
                <w:b/>
              </w:rPr>
            </w:pPr>
            <w:r w:rsidRPr="00D03B0C">
              <w:rPr>
                <w:b/>
              </w:rPr>
              <w:t>Year 3</w:t>
            </w:r>
          </w:p>
          <w:p w14:paraId="55A376BF" w14:textId="47A520BC" w:rsidR="006A1B84" w:rsidRPr="006D2F6B" w:rsidRDefault="006A1B84" w:rsidP="00044FD5">
            <w:pPr>
              <w:jc w:val="center"/>
              <w:rPr>
                <w:b/>
              </w:rPr>
            </w:pPr>
            <w:r w:rsidRPr="00BC5F55">
              <w:rPr>
                <w:sz w:val="20"/>
                <w:szCs w:val="20"/>
              </w:rPr>
              <w:t>(2019)</w:t>
            </w:r>
          </w:p>
        </w:tc>
        <w:tc>
          <w:tcPr>
            <w:tcW w:w="790" w:type="dxa"/>
            <w:shd w:val="clear" w:color="auto" w:fill="auto"/>
            <w:vAlign w:val="center"/>
          </w:tcPr>
          <w:p w14:paraId="1B76639E" w14:textId="77777777" w:rsidR="006A1B84" w:rsidRDefault="006A1B84" w:rsidP="00044FD5">
            <w:pPr>
              <w:jc w:val="center"/>
              <w:rPr>
                <w:b/>
              </w:rPr>
            </w:pPr>
            <w:r w:rsidRPr="00D03B0C">
              <w:rPr>
                <w:b/>
              </w:rPr>
              <w:t>Year 4</w:t>
            </w:r>
          </w:p>
          <w:p w14:paraId="7B0F6FB9" w14:textId="27D874B9" w:rsidR="006A1B84" w:rsidRPr="006D2F6B" w:rsidRDefault="006A1B84" w:rsidP="00044FD5">
            <w:pPr>
              <w:jc w:val="center"/>
              <w:rPr>
                <w:b/>
              </w:rPr>
            </w:pPr>
            <w:r w:rsidRPr="00C94C31">
              <w:rPr>
                <w:sz w:val="20"/>
                <w:szCs w:val="20"/>
              </w:rPr>
              <w:t>(</w:t>
            </w:r>
            <w:r w:rsidRPr="00BC5F55">
              <w:rPr>
                <w:sz w:val="20"/>
                <w:szCs w:val="20"/>
              </w:rPr>
              <w:t>2020)</w:t>
            </w:r>
          </w:p>
        </w:tc>
        <w:tc>
          <w:tcPr>
            <w:tcW w:w="791" w:type="dxa"/>
            <w:shd w:val="clear" w:color="auto" w:fill="auto"/>
            <w:vAlign w:val="center"/>
          </w:tcPr>
          <w:p w14:paraId="1F972BA8" w14:textId="77777777" w:rsidR="006A1B84" w:rsidRDefault="006A1B84" w:rsidP="00044FD5">
            <w:pPr>
              <w:jc w:val="center"/>
              <w:rPr>
                <w:b/>
              </w:rPr>
            </w:pPr>
            <w:r w:rsidRPr="00D03B0C">
              <w:rPr>
                <w:b/>
              </w:rPr>
              <w:t>Year 5</w:t>
            </w:r>
          </w:p>
          <w:p w14:paraId="1A3E1375" w14:textId="0572910B" w:rsidR="006A1B84" w:rsidRPr="006D2F6B" w:rsidRDefault="006A1B84" w:rsidP="00044FD5">
            <w:pPr>
              <w:jc w:val="center"/>
              <w:rPr>
                <w:b/>
              </w:rPr>
            </w:pPr>
            <w:r w:rsidRPr="00C94C31">
              <w:rPr>
                <w:sz w:val="20"/>
                <w:szCs w:val="20"/>
              </w:rPr>
              <w:t>(2021)</w:t>
            </w:r>
          </w:p>
        </w:tc>
      </w:tr>
      <w:tr w:rsidR="006A1B84" w14:paraId="511DB66E" w14:textId="77777777" w:rsidTr="00044FD5">
        <w:trPr>
          <w:jc w:val="center"/>
        </w:trPr>
        <w:tc>
          <w:tcPr>
            <w:tcW w:w="4297" w:type="dxa"/>
            <w:shd w:val="clear" w:color="auto" w:fill="auto"/>
          </w:tcPr>
          <w:p w14:paraId="0CEA91E9" w14:textId="48C792B3" w:rsidR="006A1B84" w:rsidRPr="006D2F6B" w:rsidRDefault="006A1B84" w:rsidP="006A1B84">
            <w:pPr>
              <w:pStyle w:val="PlainText"/>
            </w:pPr>
            <w:r>
              <w:t>Attendance in year 9 will be above 90 percent in each term by 2021.</w:t>
            </w:r>
          </w:p>
        </w:tc>
        <w:tc>
          <w:tcPr>
            <w:tcW w:w="790" w:type="dxa"/>
            <w:shd w:val="clear" w:color="auto" w:fill="auto"/>
            <w:vAlign w:val="center"/>
          </w:tcPr>
          <w:p w14:paraId="1DEC5E9B" w14:textId="2B53AB54" w:rsidR="006A1B84" w:rsidRPr="006D2F6B" w:rsidRDefault="006A1B84" w:rsidP="00044FD5">
            <w:pPr>
              <w:jc w:val="center"/>
            </w:pPr>
            <w:r>
              <w:t>90%</w:t>
            </w:r>
          </w:p>
        </w:tc>
        <w:tc>
          <w:tcPr>
            <w:tcW w:w="790" w:type="dxa"/>
            <w:shd w:val="clear" w:color="auto" w:fill="auto"/>
            <w:vAlign w:val="center"/>
          </w:tcPr>
          <w:p w14:paraId="0FF61450" w14:textId="43E0883D" w:rsidR="006A1B84" w:rsidRPr="006D2F6B" w:rsidRDefault="006A1B84" w:rsidP="00044FD5">
            <w:pPr>
              <w:jc w:val="center"/>
            </w:pPr>
            <w:r>
              <w:t>91%</w:t>
            </w:r>
          </w:p>
        </w:tc>
        <w:tc>
          <w:tcPr>
            <w:tcW w:w="790" w:type="dxa"/>
            <w:shd w:val="clear" w:color="auto" w:fill="auto"/>
            <w:vAlign w:val="center"/>
          </w:tcPr>
          <w:p w14:paraId="6E75F6C9" w14:textId="17D75405" w:rsidR="006A1B84" w:rsidRPr="006D2F6B" w:rsidRDefault="006A1B84" w:rsidP="00044FD5">
            <w:pPr>
              <w:jc w:val="center"/>
            </w:pPr>
            <w:r>
              <w:t>87%</w:t>
            </w:r>
          </w:p>
        </w:tc>
        <w:tc>
          <w:tcPr>
            <w:tcW w:w="790" w:type="dxa"/>
            <w:shd w:val="clear" w:color="auto" w:fill="auto"/>
            <w:vAlign w:val="center"/>
          </w:tcPr>
          <w:p w14:paraId="3E895FED" w14:textId="45F69983" w:rsidR="006A1B84" w:rsidRPr="006D2F6B" w:rsidRDefault="00EC04CE" w:rsidP="00044FD5">
            <w:pPr>
              <w:jc w:val="center"/>
            </w:pPr>
            <w:r>
              <w:t>87%</w:t>
            </w:r>
          </w:p>
        </w:tc>
        <w:tc>
          <w:tcPr>
            <w:tcW w:w="790" w:type="dxa"/>
            <w:shd w:val="clear" w:color="auto" w:fill="auto"/>
            <w:vAlign w:val="center"/>
          </w:tcPr>
          <w:p w14:paraId="3731D7F2" w14:textId="77777777" w:rsidR="006A1B84" w:rsidRPr="006D2F6B" w:rsidRDefault="006A1B84" w:rsidP="00044FD5">
            <w:pPr>
              <w:jc w:val="center"/>
            </w:pPr>
          </w:p>
        </w:tc>
        <w:tc>
          <w:tcPr>
            <w:tcW w:w="791" w:type="dxa"/>
            <w:shd w:val="clear" w:color="auto" w:fill="auto"/>
            <w:vAlign w:val="center"/>
          </w:tcPr>
          <w:p w14:paraId="0E363862" w14:textId="3ABEFEB6" w:rsidR="006A1B84" w:rsidRPr="006D2F6B" w:rsidRDefault="006A1B84" w:rsidP="00044FD5">
            <w:pPr>
              <w:jc w:val="center"/>
            </w:pPr>
            <w:r w:rsidRPr="00C94C31">
              <w:rPr>
                <w:color w:val="00B050"/>
              </w:rPr>
              <w:t>&gt;90%</w:t>
            </w:r>
          </w:p>
        </w:tc>
      </w:tr>
      <w:tr w:rsidR="006A1B84" w14:paraId="67C433EE" w14:textId="77777777" w:rsidTr="00044FD5">
        <w:trPr>
          <w:jc w:val="center"/>
        </w:trPr>
        <w:tc>
          <w:tcPr>
            <w:tcW w:w="4297" w:type="dxa"/>
            <w:shd w:val="clear" w:color="auto" w:fill="auto"/>
          </w:tcPr>
          <w:p w14:paraId="7BEC87F4" w14:textId="0F8708F1" w:rsidR="006A1B84" w:rsidRPr="006D2F6B" w:rsidRDefault="006A1B84" w:rsidP="006A1B84">
            <w:r>
              <w:t>Attendance in year 10 will be above 90 percent in each term by 2021.</w:t>
            </w:r>
          </w:p>
        </w:tc>
        <w:tc>
          <w:tcPr>
            <w:tcW w:w="790" w:type="dxa"/>
            <w:shd w:val="clear" w:color="auto" w:fill="auto"/>
            <w:vAlign w:val="center"/>
          </w:tcPr>
          <w:p w14:paraId="3C288E5B" w14:textId="4A6EAC23" w:rsidR="006A1B84" w:rsidRPr="006D2F6B" w:rsidRDefault="006A1B84" w:rsidP="00044FD5">
            <w:pPr>
              <w:jc w:val="center"/>
            </w:pPr>
            <w:r>
              <w:t>88%</w:t>
            </w:r>
          </w:p>
        </w:tc>
        <w:tc>
          <w:tcPr>
            <w:tcW w:w="790" w:type="dxa"/>
            <w:shd w:val="clear" w:color="auto" w:fill="auto"/>
            <w:vAlign w:val="center"/>
          </w:tcPr>
          <w:p w14:paraId="7AEA167E" w14:textId="12CEA976" w:rsidR="006A1B84" w:rsidRPr="006D2F6B" w:rsidRDefault="006A1B84" w:rsidP="00044FD5">
            <w:pPr>
              <w:jc w:val="center"/>
            </w:pPr>
            <w:r>
              <w:t>88%</w:t>
            </w:r>
          </w:p>
        </w:tc>
        <w:tc>
          <w:tcPr>
            <w:tcW w:w="790" w:type="dxa"/>
            <w:shd w:val="clear" w:color="auto" w:fill="auto"/>
            <w:vAlign w:val="center"/>
          </w:tcPr>
          <w:p w14:paraId="016DCD06" w14:textId="1D47D92E" w:rsidR="006A1B84" w:rsidRPr="006D2F6B" w:rsidRDefault="006A1B84" w:rsidP="00044FD5">
            <w:pPr>
              <w:jc w:val="center"/>
            </w:pPr>
            <w:r>
              <w:t>88%</w:t>
            </w:r>
          </w:p>
        </w:tc>
        <w:tc>
          <w:tcPr>
            <w:tcW w:w="790" w:type="dxa"/>
            <w:shd w:val="clear" w:color="auto" w:fill="auto"/>
            <w:vAlign w:val="center"/>
          </w:tcPr>
          <w:p w14:paraId="6C5F0C5C" w14:textId="57DF1A14" w:rsidR="006A1B84" w:rsidRPr="006D2F6B" w:rsidRDefault="00EC04CE" w:rsidP="00044FD5">
            <w:pPr>
              <w:jc w:val="center"/>
            </w:pPr>
            <w:r>
              <w:t>87%</w:t>
            </w:r>
          </w:p>
        </w:tc>
        <w:tc>
          <w:tcPr>
            <w:tcW w:w="790" w:type="dxa"/>
            <w:shd w:val="clear" w:color="auto" w:fill="auto"/>
            <w:vAlign w:val="center"/>
          </w:tcPr>
          <w:p w14:paraId="156A1392" w14:textId="77777777" w:rsidR="006A1B84" w:rsidRPr="006D2F6B" w:rsidRDefault="006A1B84" w:rsidP="00044FD5">
            <w:pPr>
              <w:jc w:val="center"/>
            </w:pPr>
          </w:p>
        </w:tc>
        <w:tc>
          <w:tcPr>
            <w:tcW w:w="791" w:type="dxa"/>
            <w:shd w:val="clear" w:color="auto" w:fill="auto"/>
            <w:vAlign w:val="center"/>
          </w:tcPr>
          <w:p w14:paraId="217D8781" w14:textId="68636DDC" w:rsidR="006A1B84" w:rsidRPr="006D2F6B" w:rsidRDefault="006A1B84" w:rsidP="00044FD5">
            <w:pPr>
              <w:jc w:val="center"/>
            </w:pPr>
            <w:r w:rsidRPr="00C94C31">
              <w:rPr>
                <w:color w:val="00B050"/>
              </w:rPr>
              <w:t>&gt;90%</w:t>
            </w:r>
          </w:p>
        </w:tc>
      </w:tr>
      <w:tr w:rsidR="006A1B84" w14:paraId="1C94EB03" w14:textId="77777777" w:rsidTr="00993ABC">
        <w:trPr>
          <w:jc w:val="center"/>
        </w:trPr>
        <w:tc>
          <w:tcPr>
            <w:tcW w:w="4297" w:type="dxa"/>
            <w:shd w:val="clear" w:color="auto" w:fill="auto"/>
          </w:tcPr>
          <w:p w14:paraId="618D4334" w14:textId="497A7AF2" w:rsidR="006A1B84" w:rsidRPr="006D2F6B" w:rsidRDefault="006A1B84" w:rsidP="006A1B84">
            <w:r>
              <w:t>Using a school tool developed in 2017, 100 percent of students will indicate that they have been involved in at least one extra-curricular activity over the course of each year 2018 – 2021.</w:t>
            </w:r>
          </w:p>
        </w:tc>
        <w:tc>
          <w:tcPr>
            <w:tcW w:w="790" w:type="dxa"/>
            <w:shd w:val="clear" w:color="auto" w:fill="808080" w:themeFill="background1" w:themeFillShade="80"/>
            <w:vAlign w:val="center"/>
          </w:tcPr>
          <w:p w14:paraId="03580A0C" w14:textId="77777777" w:rsidR="006A1B84" w:rsidRPr="006D2F6B" w:rsidRDefault="006A1B84" w:rsidP="00044FD5">
            <w:pPr>
              <w:jc w:val="center"/>
            </w:pPr>
          </w:p>
        </w:tc>
        <w:tc>
          <w:tcPr>
            <w:tcW w:w="790" w:type="dxa"/>
            <w:shd w:val="clear" w:color="auto" w:fill="808080" w:themeFill="background1" w:themeFillShade="80"/>
            <w:vAlign w:val="center"/>
          </w:tcPr>
          <w:p w14:paraId="63860DE7" w14:textId="77777777" w:rsidR="006A1B84" w:rsidRPr="006D2F6B" w:rsidRDefault="006A1B84" w:rsidP="00044FD5">
            <w:pPr>
              <w:jc w:val="center"/>
            </w:pPr>
          </w:p>
        </w:tc>
        <w:tc>
          <w:tcPr>
            <w:tcW w:w="790" w:type="dxa"/>
            <w:shd w:val="clear" w:color="auto" w:fill="auto"/>
            <w:vAlign w:val="center"/>
          </w:tcPr>
          <w:p w14:paraId="7ACB7093" w14:textId="77777777" w:rsidR="006A1B84" w:rsidRDefault="006A1B84" w:rsidP="00044FD5">
            <w:pPr>
              <w:jc w:val="center"/>
            </w:pPr>
            <w:r>
              <w:t>92%</w:t>
            </w:r>
          </w:p>
          <w:p w14:paraId="28D042D1" w14:textId="69AAAF5C" w:rsidR="006A1B84" w:rsidRPr="006D2F6B" w:rsidRDefault="006A1B84" w:rsidP="00044FD5">
            <w:pPr>
              <w:jc w:val="center"/>
            </w:pPr>
            <w:r>
              <w:t>(SSS)</w:t>
            </w:r>
          </w:p>
        </w:tc>
        <w:tc>
          <w:tcPr>
            <w:tcW w:w="790" w:type="dxa"/>
            <w:shd w:val="clear" w:color="auto" w:fill="808080" w:themeFill="background1" w:themeFillShade="80"/>
            <w:vAlign w:val="center"/>
          </w:tcPr>
          <w:p w14:paraId="58A014FB" w14:textId="3713A25C" w:rsidR="006A1B84" w:rsidRPr="006D2F6B" w:rsidRDefault="006A1B84" w:rsidP="00044FD5">
            <w:pPr>
              <w:jc w:val="center"/>
            </w:pPr>
          </w:p>
        </w:tc>
        <w:tc>
          <w:tcPr>
            <w:tcW w:w="790" w:type="dxa"/>
            <w:shd w:val="clear" w:color="auto" w:fill="auto"/>
            <w:vAlign w:val="center"/>
          </w:tcPr>
          <w:p w14:paraId="1051BED9" w14:textId="77777777" w:rsidR="006A1B84" w:rsidRPr="006D2F6B" w:rsidRDefault="006A1B84" w:rsidP="00044FD5">
            <w:pPr>
              <w:jc w:val="center"/>
            </w:pPr>
          </w:p>
        </w:tc>
        <w:tc>
          <w:tcPr>
            <w:tcW w:w="791" w:type="dxa"/>
            <w:shd w:val="clear" w:color="auto" w:fill="auto"/>
            <w:vAlign w:val="center"/>
          </w:tcPr>
          <w:p w14:paraId="2B134042" w14:textId="54165548" w:rsidR="006A1B84" w:rsidRPr="006D2F6B" w:rsidRDefault="006A1B84" w:rsidP="00044FD5">
            <w:pPr>
              <w:jc w:val="center"/>
            </w:pPr>
            <w:r>
              <w:rPr>
                <w:color w:val="00B050"/>
              </w:rPr>
              <w:t>100%</w:t>
            </w:r>
          </w:p>
        </w:tc>
      </w:tr>
      <w:tr w:rsidR="006A1B84" w14:paraId="62981A79" w14:textId="77777777" w:rsidTr="00044FD5">
        <w:trPr>
          <w:jc w:val="center"/>
        </w:trPr>
        <w:tc>
          <w:tcPr>
            <w:tcW w:w="4297" w:type="dxa"/>
            <w:shd w:val="clear" w:color="auto" w:fill="auto"/>
          </w:tcPr>
          <w:p w14:paraId="477A6D9C" w14:textId="77D28478" w:rsidR="006A1B84" w:rsidRPr="006D2F6B" w:rsidRDefault="006A1B84" w:rsidP="006A1B84">
            <w:r>
              <w:t>Selected elements of the Quality Teaching model related to cognitive engagement will be coded at an average of 2.5 or higher each year, 2017-2021.</w:t>
            </w:r>
          </w:p>
        </w:tc>
        <w:tc>
          <w:tcPr>
            <w:tcW w:w="790" w:type="dxa"/>
            <w:shd w:val="clear" w:color="auto" w:fill="auto"/>
            <w:vAlign w:val="center"/>
          </w:tcPr>
          <w:p w14:paraId="3ECBE066" w14:textId="77777777" w:rsidR="006A1B84" w:rsidRPr="006D2F6B" w:rsidRDefault="006A1B84" w:rsidP="00044FD5">
            <w:pPr>
              <w:jc w:val="center"/>
            </w:pPr>
          </w:p>
        </w:tc>
        <w:tc>
          <w:tcPr>
            <w:tcW w:w="790" w:type="dxa"/>
            <w:shd w:val="clear" w:color="auto" w:fill="auto"/>
            <w:vAlign w:val="center"/>
          </w:tcPr>
          <w:p w14:paraId="2E6C8405" w14:textId="6230DD36" w:rsidR="006A1B84" w:rsidRPr="006D2F6B" w:rsidRDefault="006A1B84" w:rsidP="00044FD5">
            <w:pPr>
              <w:jc w:val="center"/>
            </w:pPr>
            <w:r>
              <w:t>3.74</w:t>
            </w:r>
          </w:p>
        </w:tc>
        <w:tc>
          <w:tcPr>
            <w:tcW w:w="790" w:type="dxa"/>
            <w:shd w:val="clear" w:color="auto" w:fill="auto"/>
            <w:vAlign w:val="center"/>
          </w:tcPr>
          <w:p w14:paraId="14117AED" w14:textId="07A356EF" w:rsidR="006A1B84" w:rsidRPr="006D2F6B" w:rsidRDefault="006A1B84" w:rsidP="00044FD5">
            <w:pPr>
              <w:jc w:val="center"/>
            </w:pPr>
            <w:r>
              <w:t>3.60</w:t>
            </w:r>
          </w:p>
        </w:tc>
        <w:tc>
          <w:tcPr>
            <w:tcW w:w="790" w:type="dxa"/>
            <w:shd w:val="clear" w:color="auto" w:fill="auto"/>
            <w:vAlign w:val="center"/>
          </w:tcPr>
          <w:p w14:paraId="7DA59808" w14:textId="24F85FB6" w:rsidR="006A1B84" w:rsidRPr="006D2F6B" w:rsidRDefault="00EC04CE" w:rsidP="00044FD5">
            <w:pPr>
              <w:jc w:val="center"/>
            </w:pPr>
            <w:r>
              <w:t>4.13</w:t>
            </w:r>
          </w:p>
        </w:tc>
        <w:tc>
          <w:tcPr>
            <w:tcW w:w="790" w:type="dxa"/>
            <w:shd w:val="clear" w:color="auto" w:fill="auto"/>
            <w:vAlign w:val="center"/>
          </w:tcPr>
          <w:p w14:paraId="54C6651D" w14:textId="77777777" w:rsidR="006A1B84" w:rsidRPr="006D2F6B" w:rsidRDefault="006A1B84" w:rsidP="00044FD5">
            <w:pPr>
              <w:jc w:val="center"/>
            </w:pPr>
          </w:p>
        </w:tc>
        <w:tc>
          <w:tcPr>
            <w:tcW w:w="791" w:type="dxa"/>
            <w:shd w:val="clear" w:color="auto" w:fill="auto"/>
            <w:vAlign w:val="center"/>
          </w:tcPr>
          <w:p w14:paraId="5A21ED43" w14:textId="204ABB09" w:rsidR="006A1B84" w:rsidRPr="006D2F6B" w:rsidRDefault="006A1B84" w:rsidP="00044FD5">
            <w:pPr>
              <w:jc w:val="center"/>
            </w:pPr>
            <w:r>
              <w:rPr>
                <w:color w:val="00B050"/>
              </w:rPr>
              <w:t>&gt;=2.5</w:t>
            </w:r>
          </w:p>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14943F4E" w14:textId="440D75FD" w:rsidR="005770DC" w:rsidRPr="00B37645" w:rsidRDefault="005770DC" w:rsidP="005770DC">
            <w:pPr>
              <w:pStyle w:val="PlainText"/>
              <w:rPr>
                <w:b/>
                <w:bCs/>
              </w:rPr>
            </w:pPr>
            <w:r w:rsidRPr="00B37645">
              <w:rPr>
                <w:b/>
                <w:bCs/>
              </w:rPr>
              <w:t>Year 9 Grade Analysis</w:t>
            </w:r>
          </w:p>
          <w:p w14:paraId="1520891D" w14:textId="149E0D06" w:rsidR="0008285E" w:rsidRDefault="00B37645" w:rsidP="005770DC">
            <w:pPr>
              <w:pStyle w:val="PlainText"/>
            </w:pPr>
            <w:r>
              <w:t xml:space="preserve">Following a steady trend towards our target over the last three years, the 2019 </w:t>
            </w:r>
            <w:r w:rsidR="005770DC">
              <w:t>percentage of students</w:t>
            </w:r>
            <w:r>
              <w:t xml:space="preserve"> being awarded above standard grades (A or B) has fallen by almost 5% to a level below the baseline measurement in 2016. </w:t>
            </w:r>
            <w:r w:rsidR="00607AE5">
              <w:t xml:space="preserve">Despite some fluctuation, the percentage of students being awarded below standard grades (D or E) </w:t>
            </w:r>
            <w:r w:rsidR="001B684D">
              <w:t xml:space="preserve">is 8.0%, a reduction of </w:t>
            </w:r>
            <w:r w:rsidR="00607AE5">
              <w:t>0.5% in the last year</w:t>
            </w:r>
            <w:r w:rsidR="001B684D">
              <w:t>, meeting our target of no more than 8.0%.</w:t>
            </w:r>
          </w:p>
          <w:p w14:paraId="4A8EF392" w14:textId="77777777" w:rsidR="0008285E" w:rsidRDefault="0008285E" w:rsidP="005770DC">
            <w:pPr>
              <w:pStyle w:val="PlainText"/>
            </w:pPr>
          </w:p>
          <w:p w14:paraId="2624AA7E" w14:textId="76A1BBFE" w:rsidR="00C22A2F" w:rsidRPr="00B37645" w:rsidRDefault="00C22A2F" w:rsidP="00C22A2F">
            <w:pPr>
              <w:pStyle w:val="PlainText"/>
              <w:rPr>
                <w:b/>
                <w:bCs/>
              </w:rPr>
            </w:pPr>
            <w:r w:rsidRPr="00B37645">
              <w:rPr>
                <w:b/>
                <w:bCs/>
              </w:rPr>
              <w:t xml:space="preserve">Year 9 </w:t>
            </w:r>
            <w:r>
              <w:rPr>
                <w:b/>
                <w:bCs/>
              </w:rPr>
              <w:t xml:space="preserve">NAPLAN Writing </w:t>
            </w:r>
            <w:r w:rsidRPr="00B37645">
              <w:rPr>
                <w:b/>
                <w:bCs/>
              </w:rPr>
              <w:t>Analysis</w:t>
            </w:r>
          </w:p>
          <w:p w14:paraId="3ED9955D" w14:textId="59FECA71" w:rsidR="00982E16" w:rsidRDefault="00C22A2F" w:rsidP="00C22A2F">
            <w:pPr>
              <w:pStyle w:val="PlainText"/>
            </w:pPr>
            <w:r>
              <w:t xml:space="preserve">The percentage of students achieving in the top two bands (Bands 9 and 10) in NAPLAN Writing continues to fluctuate with different cohorts of students. </w:t>
            </w:r>
            <w:r w:rsidR="00982E16">
              <w:t xml:space="preserve">While there was a 0.8% reduction in the percentage in </w:t>
            </w:r>
            <w:r>
              <w:t>2019</w:t>
            </w:r>
            <w:r w:rsidR="00982E16">
              <w:t>, the 19.1% level is still higher than the base starting percentage of 17.6%.</w:t>
            </w:r>
            <w:r w:rsidR="00D95EC3">
              <w:t xml:space="preserve"> </w:t>
            </w:r>
            <w:r w:rsidR="00982E16">
              <w:t>In 2019, we saw a 4.6% reduction in the percentage of students</w:t>
            </w:r>
            <w:r w:rsidR="00D95EC3">
              <w:t xml:space="preserve"> achieving in the bottom two bands (Bands 5 and 6) in NAPLAN Writing to a level of 23.2%. However there remains a negative trend away from our 18% target by 2021.</w:t>
            </w:r>
          </w:p>
          <w:p w14:paraId="0AD6C775" w14:textId="6CAE912B" w:rsidR="00D95EC3" w:rsidRDefault="00D95EC3" w:rsidP="00C22A2F">
            <w:pPr>
              <w:pStyle w:val="PlainText"/>
            </w:pPr>
          </w:p>
          <w:p w14:paraId="00040B45" w14:textId="47AB21A0" w:rsidR="00D95EC3" w:rsidRPr="00454F4E" w:rsidRDefault="00454F4E" w:rsidP="00C22A2F">
            <w:pPr>
              <w:pStyle w:val="PlainText"/>
              <w:rPr>
                <w:b/>
                <w:bCs/>
              </w:rPr>
            </w:pPr>
            <w:r w:rsidRPr="00454F4E">
              <w:rPr>
                <w:b/>
                <w:bCs/>
              </w:rPr>
              <w:t>Behavioural Engagement</w:t>
            </w:r>
          </w:p>
          <w:p w14:paraId="2260D9CB" w14:textId="26C9CEE7" w:rsidR="00D95EC3" w:rsidRDefault="0046769E" w:rsidP="0046769E">
            <w:pPr>
              <w:pStyle w:val="PlainText"/>
            </w:pPr>
            <w:r>
              <w:t>Behavioural Engagement concerns the extent to which students actively involve themselves in their own learning at school. Behaviourally engaged students arrive to class on time, participate in activities, and apply themselves to the required tasks.</w:t>
            </w:r>
          </w:p>
          <w:p w14:paraId="4FAA71B4" w14:textId="5A317BAE" w:rsidR="0046769E" w:rsidRDefault="008A2BDA" w:rsidP="00454F4E">
            <w:pPr>
              <w:pStyle w:val="PlainText"/>
              <w:jc w:val="center"/>
              <w:rPr>
                <w:noProof/>
              </w:rPr>
            </w:pPr>
            <w:r>
              <w:rPr>
                <w:noProof/>
                <w:lang w:eastAsia="en-AU"/>
              </w:rPr>
              <w:drawing>
                <wp:inline distT="0" distB="0" distL="0" distR="0" wp14:anchorId="2AF2FC3A" wp14:editId="1C23F2C3">
                  <wp:extent cx="3060000" cy="1572144"/>
                  <wp:effectExtent l="0" t="0" r="7620" b="9525"/>
                  <wp:docPr id="18" name="Picture 18" descr="D:\Rob\Downloads\dashboard-export-03-41-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b\Downloads\dashboard-export-03-41-am-2020-07-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000" cy="1572144"/>
                          </a:xfrm>
                          <a:prstGeom prst="rect">
                            <a:avLst/>
                          </a:prstGeom>
                          <a:noFill/>
                          <a:ln>
                            <a:noFill/>
                          </a:ln>
                        </pic:spPr>
                      </pic:pic>
                    </a:graphicData>
                  </a:graphic>
                </wp:inline>
              </w:drawing>
            </w:r>
          </w:p>
          <w:p w14:paraId="51F90571" w14:textId="2CBB2720" w:rsidR="005770DC" w:rsidRDefault="003920D8" w:rsidP="00E95EBB">
            <w:pPr>
              <w:pStyle w:val="PlainText"/>
              <w:tabs>
                <w:tab w:val="left" w:pos="1620"/>
                <w:tab w:val="left" w:pos="3100"/>
              </w:tabs>
              <w:jc w:val="center"/>
            </w:pPr>
            <w:r>
              <w:rPr>
                <w:noProof/>
                <w:lang w:eastAsia="en-AU"/>
              </w:rPr>
              <w:lastRenderedPageBreak/>
              <w:drawing>
                <wp:inline distT="0" distB="0" distL="0" distR="0" wp14:anchorId="01F4C7CA" wp14:editId="1389EB6D">
                  <wp:extent cx="2772000" cy="1186244"/>
                  <wp:effectExtent l="0" t="0" r="9525" b="0"/>
                  <wp:docPr id="3" name="Picture 3" descr="D:\Rob\Downloads\dashboard-export-03-19-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Downloads\dashboard-export-03-19-am-2020-07-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000" cy="1186244"/>
                          </a:xfrm>
                          <a:prstGeom prst="rect">
                            <a:avLst/>
                          </a:prstGeom>
                          <a:noFill/>
                          <a:ln>
                            <a:noFill/>
                          </a:ln>
                        </pic:spPr>
                      </pic:pic>
                    </a:graphicData>
                  </a:graphic>
                </wp:inline>
              </w:drawing>
            </w:r>
            <w:r w:rsidR="00D12200">
              <w:t xml:space="preserve"> </w:t>
            </w:r>
            <w:r w:rsidR="00E95EBB">
              <w:rPr>
                <w:noProof/>
                <w:lang w:eastAsia="en-AU"/>
              </w:rPr>
              <w:drawing>
                <wp:inline distT="0" distB="0" distL="0" distR="0" wp14:anchorId="61CDBE6A" wp14:editId="10FB8CF9">
                  <wp:extent cx="2772000" cy="1186244"/>
                  <wp:effectExtent l="0" t="0" r="9525" b="0"/>
                  <wp:docPr id="17" name="Picture 17" descr="D:\Rob\Downloads\dashboard-export-03-36-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b\Downloads\dashboard-export-03-36-am-2020-07-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00" cy="1186244"/>
                          </a:xfrm>
                          <a:prstGeom prst="rect">
                            <a:avLst/>
                          </a:prstGeom>
                          <a:noFill/>
                          <a:ln>
                            <a:noFill/>
                          </a:ln>
                        </pic:spPr>
                      </pic:pic>
                    </a:graphicData>
                  </a:graphic>
                </wp:inline>
              </w:drawing>
            </w:r>
          </w:p>
          <w:p w14:paraId="23AF0DDD" w14:textId="33198634" w:rsidR="00D95EC3" w:rsidRDefault="00454F4E" w:rsidP="00454F4E">
            <w:pPr>
              <w:pStyle w:val="PlainText"/>
            </w:pPr>
            <w:r>
              <w:t xml:space="preserve">The 2019 student survey results </w:t>
            </w:r>
            <w:r w:rsidR="002C226E">
              <w:t>and Qualtrics trend analysis for Behavioural Engagement show:</w:t>
            </w:r>
          </w:p>
          <w:p w14:paraId="18D09EA6" w14:textId="722B9040" w:rsidR="002C226E" w:rsidRDefault="002C226E" w:rsidP="003C69DC">
            <w:pPr>
              <w:pStyle w:val="PlainText"/>
              <w:numPr>
                <w:ilvl w:val="0"/>
                <w:numId w:val="2"/>
              </w:numPr>
              <w:ind w:left="426" w:hanging="425"/>
            </w:pPr>
            <w:r>
              <w:t>that the average response to survey items has remained steady at 4.0</w:t>
            </w:r>
          </w:p>
          <w:p w14:paraId="0356CD2B" w14:textId="6F6CB285" w:rsidR="002C226E" w:rsidRDefault="002C226E" w:rsidP="002C226E">
            <w:pPr>
              <w:pStyle w:val="PlainText"/>
              <w:numPr>
                <w:ilvl w:val="0"/>
                <w:numId w:val="2"/>
              </w:numPr>
              <w:ind w:left="426" w:hanging="425"/>
            </w:pPr>
            <w:r>
              <w:t>that the percentage of students who have indicated positive behavioural engagement by either strongly agreeing or agreeing with survey items</w:t>
            </w:r>
            <w:r w:rsidR="00361F02">
              <w:t xml:space="preserve"> has </w:t>
            </w:r>
            <w:r w:rsidR="00E95EBB">
              <w:t xml:space="preserve">reduced slightly to </w:t>
            </w:r>
            <w:r w:rsidR="00361F02">
              <w:t>76</w:t>
            </w:r>
            <w:r w:rsidR="00E95EBB">
              <w:t>.2</w:t>
            </w:r>
            <w:r w:rsidR="00361F02">
              <w:t>% after an increasing trend over the last three years</w:t>
            </w:r>
            <w:r w:rsidR="00E8506E">
              <w:t>.</w:t>
            </w:r>
          </w:p>
          <w:p w14:paraId="456ED139" w14:textId="77777777" w:rsidR="00161E50" w:rsidRDefault="00161E50" w:rsidP="00361F02">
            <w:pPr>
              <w:pStyle w:val="PlainText"/>
              <w:ind w:left="1"/>
            </w:pPr>
          </w:p>
          <w:p w14:paraId="1349E466" w14:textId="0DF58E97" w:rsidR="00361F02" w:rsidRPr="00454F4E" w:rsidRDefault="00361F02" w:rsidP="00361F02">
            <w:pPr>
              <w:pStyle w:val="PlainText"/>
              <w:rPr>
                <w:b/>
                <w:bCs/>
              </w:rPr>
            </w:pPr>
            <w:r>
              <w:rPr>
                <w:b/>
                <w:bCs/>
              </w:rPr>
              <w:t xml:space="preserve">Emotional </w:t>
            </w:r>
            <w:r w:rsidRPr="00454F4E">
              <w:rPr>
                <w:b/>
                <w:bCs/>
              </w:rPr>
              <w:t>Engagement</w:t>
            </w:r>
          </w:p>
          <w:p w14:paraId="620879CA" w14:textId="3B3921DA" w:rsidR="00361F02" w:rsidRDefault="00361F02" w:rsidP="00361F02">
            <w:pPr>
              <w:pStyle w:val="PlainText"/>
              <w:ind w:left="1"/>
            </w:pPr>
            <w:r>
              <w:t>Emotional Engagement concerns the extent to which students are interested in and enjoying their learning at school. Emotionally engaged students will find the lessons fun and exciting, subsequently learning more.</w:t>
            </w:r>
          </w:p>
          <w:p w14:paraId="628092ED" w14:textId="191CCF47" w:rsidR="00361F02" w:rsidRDefault="008A2BDA" w:rsidP="00481439">
            <w:pPr>
              <w:pStyle w:val="PlainText"/>
              <w:ind w:left="1"/>
              <w:jc w:val="center"/>
            </w:pPr>
            <w:r>
              <w:rPr>
                <w:noProof/>
                <w:lang w:eastAsia="en-AU"/>
              </w:rPr>
              <w:drawing>
                <wp:inline distT="0" distB="0" distL="0" distR="0" wp14:anchorId="1199BCFE" wp14:editId="4F4C98DA">
                  <wp:extent cx="3060000" cy="1572134"/>
                  <wp:effectExtent l="0" t="0" r="7620" b="9525"/>
                  <wp:docPr id="19" name="Picture 19" descr="D:\Rob\Downloads\dashboard-export-03-43-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b\Downloads\dashboard-export-03-43-am-2020-07-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1572134"/>
                          </a:xfrm>
                          <a:prstGeom prst="rect">
                            <a:avLst/>
                          </a:prstGeom>
                          <a:noFill/>
                          <a:ln>
                            <a:noFill/>
                          </a:ln>
                        </pic:spPr>
                      </pic:pic>
                    </a:graphicData>
                  </a:graphic>
                </wp:inline>
              </w:drawing>
            </w:r>
          </w:p>
          <w:p w14:paraId="5F047D8A" w14:textId="1DF9BBF1" w:rsidR="00361F02" w:rsidRDefault="008A2BDA" w:rsidP="00481439">
            <w:pPr>
              <w:pStyle w:val="PlainText"/>
              <w:ind w:left="1"/>
              <w:jc w:val="center"/>
            </w:pPr>
            <w:r>
              <w:rPr>
                <w:noProof/>
                <w:lang w:eastAsia="en-AU"/>
              </w:rPr>
              <w:drawing>
                <wp:inline distT="0" distB="0" distL="0" distR="0" wp14:anchorId="0F8FF406" wp14:editId="1FAB4998">
                  <wp:extent cx="2772000" cy="1186225"/>
                  <wp:effectExtent l="0" t="0" r="9525" b="0"/>
                  <wp:docPr id="20" name="Picture 20" descr="D:\Rob\Downloads\dashboard-export-03-44-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b\Downloads\dashboard-export-03-44-am-2020-0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r w:rsidR="00D12200">
              <w:t xml:space="preserve"> </w:t>
            </w:r>
            <w:r>
              <w:rPr>
                <w:noProof/>
                <w:lang w:eastAsia="en-AU"/>
              </w:rPr>
              <w:drawing>
                <wp:inline distT="0" distB="0" distL="0" distR="0" wp14:anchorId="0F97E4D9" wp14:editId="439E80C9">
                  <wp:extent cx="2772000" cy="1186225"/>
                  <wp:effectExtent l="0" t="0" r="9525" b="0"/>
                  <wp:docPr id="21" name="Picture 21" descr="D:\Rob\Downloads\dashboard-export-03-45-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b\Downloads\dashboard-export-03-45-am-2020-07-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p>
          <w:p w14:paraId="615D9606" w14:textId="3447BED5" w:rsidR="00481439" w:rsidRDefault="00481439" w:rsidP="00481439">
            <w:pPr>
              <w:pStyle w:val="PlainText"/>
            </w:pPr>
            <w:r>
              <w:t>The 2019 student survey results and Qualtrics trend analysis for Emotional Engagement show:</w:t>
            </w:r>
          </w:p>
          <w:p w14:paraId="5E515625" w14:textId="378AA9FB" w:rsidR="00481439" w:rsidRDefault="00481439" w:rsidP="00481439">
            <w:pPr>
              <w:pStyle w:val="PlainText"/>
              <w:numPr>
                <w:ilvl w:val="0"/>
                <w:numId w:val="2"/>
              </w:numPr>
              <w:ind w:left="426" w:hanging="425"/>
            </w:pPr>
            <w:r>
              <w:t>that the average response to survey items has remained steady at 3.4</w:t>
            </w:r>
          </w:p>
          <w:p w14:paraId="7162ADD8" w14:textId="7B9A744D" w:rsidR="00481439" w:rsidRDefault="00481439" w:rsidP="00481439">
            <w:pPr>
              <w:pStyle w:val="PlainText"/>
              <w:numPr>
                <w:ilvl w:val="0"/>
                <w:numId w:val="2"/>
              </w:numPr>
              <w:ind w:left="426" w:hanging="425"/>
            </w:pPr>
            <w:r>
              <w:t xml:space="preserve">that the percentage of students who have indicated positive emotional engagement by either strongly agreeing or agreeing with survey items has remained steady at </w:t>
            </w:r>
            <w:r w:rsidR="008A2BDA">
              <w:t xml:space="preserve">approximately </w:t>
            </w:r>
            <w:r>
              <w:t>48%</w:t>
            </w:r>
            <w:r w:rsidR="00E8506E">
              <w:t>.</w:t>
            </w:r>
          </w:p>
          <w:p w14:paraId="454F794A" w14:textId="77777777" w:rsidR="008A2BDA" w:rsidRDefault="008A2BDA" w:rsidP="00481439">
            <w:pPr>
              <w:pStyle w:val="PlainText"/>
              <w:ind w:left="1"/>
            </w:pPr>
          </w:p>
          <w:p w14:paraId="1C4FD7D7" w14:textId="77777777" w:rsidR="00361F02" w:rsidRPr="00481439" w:rsidRDefault="00481439" w:rsidP="00481439">
            <w:pPr>
              <w:pStyle w:val="PlainText"/>
              <w:rPr>
                <w:b/>
                <w:bCs/>
              </w:rPr>
            </w:pPr>
            <w:r w:rsidRPr="00481439">
              <w:rPr>
                <w:b/>
                <w:bCs/>
              </w:rPr>
              <w:t>Perceived Safety and Support</w:t>
            </w:r>
          </w:p>
          <w:p w14:paraId="3D1738E7" w14:textId="7C685534" w:rsidR="00481439" w:rsidRDefault="00481439" w:rsidP="00361F02">
            <w:pPr>
              <w:pStyle w:val="PlainText"/>
              <w:ind w:left="1"/>
            </w:pPr>
            <w:r w:rsidRPr="00481439">
              <w:t xml:space="preserve">Perceived Safety and Support concerns </w:t>
            </w:r>
            <w:r>
              <w:t>t</w:t>
            </w:r>
            <w:r w:rsidRPr="00481439">
              <w:t>he degree to which students feel safe and emotionally connected to others at school.</w:t>
            </w:r>
          </w:p>
          <w:p w14:paraId="192468F1" w14:textId="7819059C" w:rsidR="00481439" w:rsidRDefault="008A2BDA" w:rsidP="00903459">
            <w:pPr>
              <w:pStyle w:val="PlainText"/>
              <w:ind w:left="1"/>
              <w:jc w:val="center"/>
            </w:pPr>
            <w:r>
              <w:rPr>
                <w:noProof/>
                <w:lang w:eastAsia="en-AU"/>
              </w:rPr>
              <w:drawing>
                <wp:inline distT="0" distB="0" distL="0" distR="0" wp14:anchorId="061624BA" wp14:editId="72F92775">
                  <wp:extent cx="3060000" cy="1572134"/>
                  <wp:effectExtent l="0" t="0" r="7620" b="9525"/>
                  <wp:docPr id="22" name="Picture 22" descr="D:\Rob\Downloads\dashboard-export-03-47-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b\Downloads\dashboard-export-03-47-am-2020-07-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000" cy="1572134"/>
                          </a:xfrm>
                          <a:prstGeom prst="rect">
                            <a:avLst/>
                          </a:prstGeom>
                          <a:noFill/>
                          <a:ln>
                            <a:noFill/>
                          </a:ln>
                        </pic:spPr>
                      </pic:pic>
                    </a:graphicData>
                  </a:graphic>
                </wp:inline>
              </w:drawing>
            </w:r>
          </w:p>
          <w:p w14:paraId="7127B379" w14:textId="7859896B" w:rsidR="00903459" w:rsidRDefault="008A2BDA" w:rsidP="00903459">
            <w:pPr>
              <w:pStyle w:val="PlainText"/>
              <w:ind w:left="1"/>
              <w:jc w:val="center"/>
            </w:pPr>
            <w:r>
              <w:rPr>
                <w:noProof/>
                <w:lang w:eastAsia="en-AU"/>
              </w:rPr>
              <w:lastRenderedPageBreak/>
              <w:drawing>
                <wp:inline distT="0" distB="0" distL="0" distR="0" wp14:anchorId="41C8A02C" wp14:editId="2EEBD005">
                  <wp:extent cx="2772000" cy="1186225"/>
                  <wp:effectExtent l="0" t="0" r="9525" b="0"/>
                  <wp:docPr id="23" name="Picture 23" descr="D:\Rob\Downloads\dashboard-export-03-48-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b\Downloads\dashboard-export-03-48-am-2020-07-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r w:rsidR="00D12200">
              <w:t xml:space="preserve"> </w:t>
            </w:r>
            <w:r>
              <w:rPr>
                <w:noProof/>
                <w:lang w:eastAsia="en-AU"/>
              </w:rPr>
              <w:drawing>
                <wp:inline distT="0" distB="0" distL="0" distR="0" wp14:anchorId="2C6B7D51" wp14:editId="32B368E3">
                  <wp:extent cx="2772000" cy="1186225"/>
                  <wp:effectExtent l="0" t="0" r="9525" b="0"/>
                  <wp:docPr id="24" name="Picture 24" descr="D:\Rob\Downloads\dashboard-export-03-49-a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ob\Downloads\dashboard-export-03-49-am-2020-07-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p>
          <w:p w14:paraId="0DA4D044" w14:textId="25D03388" w:rsidR="00903459" w:rsidRDefault="00903459" w:rsidP="00903459">
            <w:pPr>
              <w:pStyle w:val="PlainText"/>
            </w:pPr>
            <w:r>
              <w:t>The 2019 student survey results and Qualtrics trend analysis for Perceived Support and Safety show:</w:t>
            </w:r>
          </w:p>
          <w:p w14:paraId="06D689B0" w14:textId="132AE84B" w:rsidR="00903459" w:rsidRDefault="00903459" w:rsidP="00903459">
            <w:pPr>
              <w:pStyle w:val="PlainText"/>
              <w:numPr>
                <w:ilvl w:val="0"/>
                <w:numId w:val="2"/>
              </w:numPr>
              <w:ind w:left="426" w:hanging="425"/>
            </w:pPr>
            <w:r>
              <w:t xml:space="preserve">that the average response to survey items has </w:t>
            </w:r>
            <w:r w:rsidR="00E8506E">
              <w:t xml:space="preserve">increased slightly to </w:t>
            </w:r>
            <w:r>
              <w:t>3.</w:t>
            </w:r>
            <w:r w:rsidR="00044FD5">
              <w:t>6</w:t>
            </w:r>
          </w:p>
          <w:p w14:paraId="2DFB70DA" w14:textId="2F6DFE75" w:rsidR="00903459" w:rsidRDefault="00903459" w:rsidP="008A2BDA">
            <w:pPr>
              <w:pStyle w:val="PlainText"/>
              <w:numPr>
                <w:ilvl w:val="0"/>
                <w:numId w:val="2"/>
              </w:numPr>
              <w:ind w:left="426" w:hanging="425"/>
            </w:pPr>
            <w:r>
              <w:t xml:space="preserve">that the percentage of students who have indicated positive </w:t>
            </w:r>
            <w:r w:rsidR="00044FD5">
              <w:t xml:space="preserve">perceived support and safety </w:t>
            </w:r>
            <w:r>
              <w:t xml:space="preserve">by either strongly agreeing or agreeing with survey items has remained steady at </w:t>
            </w:r>
            <w:r w:rsidR="00E8506E">
              <w:t xml:space="preserve">approximately </w:t>
            </w:r>
            <w:r w:rsidR="00044FD5">
              <w:t>60</w:t>
            </w:r>
            <w:r>
              <w:t>%</w:t>
            </w:r>
            <w:r w:rsidR="00E8506E">
              <w:t xml:space="preserve"> after an increasing trend over the last three years.</w:t>
            </w:r>
          </w:p>
        </w:tc>
      </w:tr>
    </w:tbl>
    <w:p w14:paraId="573C4161" w14:textId="77777777" w:rsidR="006C49A4" w:rsidRDefault="006C49A4" w:rsidP="006C49A4">
      <w:pPr>
        <w:pStyle w:val="BodyText"/>
      </w:pPr>
    </w:p>
    <w:p w14:paraId="113E7E85" w14:textId="4A8004D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BE4D12">
        <w:trPr>
          <w:trHeight w:val="223"/>
          <w:jc w:val="center"/>
        </w:trPr>
        <w:tc>
          <w:tcPr>
            <w:tcW w:w="9027" w:type="dxa"/>
            <w:shd w:val="clear" w:color="auto" w:fill="auto"/>
          </w:tcPr>
          <w:p w14:paraId="2A6BF917" w14:textId="0C07B003" w:rsidR="00CA26FB" w:rsidRPr="00CA26FB" w:rsidRDefault="008D5E7A" w:rsidP="00CA26FB">
            <w:pPr>
              <w:pStyle w:val="BodyText"/>
              <w:rPr>
                <w:b/>
              </w:rPr>
            </w:pPr>
            <w:r w:rsidRPr="008D5E7A">
              <w:rPr>
                <w:b/>
              </w:rPr>
              <w:t>Work collaboratively within our LHS Professional Learning Community (PLC), and meaningful Professional Learning Teams (PLTs), to investigate, develop, implement and evaluate strategies that differentiate teaching and learning with a focus on student engagement, success and progress.</w:t>
            </w:r>
          </w:p>
          <w:p w14:paraId="41573814" w14:textId="66F767F6" w:rsidR="005176E7" w:rsidRDefault="005176E7" w:rsidP="00CA26FB">
            <w:pPr>
              <w:pStyle w:val="ListBullet"/>
            </w:pPr>
            <w:r>
              <w:t>Professional learning undertaken to clarify “What is a Professional Learning Community?”</w:t>
            </w:r>
            <w:r w:rsidR="00200DF4">
              <w:t xml:space="preserve"> and </w:t>
            </w:r>
            <w:r>
              <w:t>explore DuFour and Marzano’s three big ideas that drive the PLC process and the four essential questions</w:t>
            </w:r>
            <w:r w:rsidR="00200DF4">
              <w:t xml:space="preserve"> to guide a PLC.</w:t>
            </w:r>
          </w:p>
          <w:p w14:paraId="2D703260" w14:textId="4A0F2351" w:rsidR="00A76870" w:rsidRDefault="00A76870" w:rsidP="00CA26FB">
            <w:pPr>
              <w:pStyle w:val="ListBullet"/>
            </w:pPr>
            <w:r>
              <w:t>Shared understanding that we are one Professional Learning Community (PLC).</w:t>
            </w:r>
          </w:p>
          <w:p w14:paraId="79A8B023" w14:textId="77777777" w:rsidR="001F5655" w:rsidRDefault="00A76870" w:rsidP="00A76870">
            <w:pPr>
              <w:pStyle w:val="ListBullet"/>
            </w:pPr>
            <w:r>
              <w:t xml:space="preserve">Change to the organisational structure of Professional Learning Teams (PLTs) was implemented </w:t>
            </w:r>
            <w:r w:rsidR="001F5655">
              <w:t>with a focus on:</w:t>
            </w:r>
          </w:p>
          <w:p w14:paraId="2BFCCD8D" w14:textId="5796117C" w:rsidR="001F5655" w:rsidRDefault="001F5655" w:rsidP="001F5655">
            <w:pPr>
              <w:pStyle w:val="ListBullet2"/>
            </w:pPr>
            <w:r>
              <w:t>meaningful, collaborative and purposeful teams (mostly faculty based)</w:t>
            </w:r>
          </w:p>
          <w:p w14:paraId="64386D05" w14:textId="0EAA9256" w:rsidR="00A76870" w:rsidRDefault="001F5655" w:rsidP="001F5655">
            <w:pPr>
              <w:pStyle w:val="ListBullet2"/>
            </w:pPr>
            <w:r>
              <w:t xml:space="preserve">the </w:t>
            </w:r>
            <w:r w:rsidR="00A76870">
              <w:t>impact of what we do as educators to deliver improvement and growth in the learning outcomes of all our students</w:t>
            </w:r>
            <w:r>
              <w:t>.</w:t>
            </w:r>
          </w:p>
          <w:p w14:paraId="2EF325F3" w14:textId="3BA63F1F" w:rsidR="001F5655" w:rsidRDefault="001F5655" w:rsidP="001F5655">
            <w:pPr>
              <w:pStyle w:val="ListBullet"/>
            </w:pPr>
            <w:r>
              <w:t xml:space="preserve">Recognition that PLT </w:t>
            </w:r>
            <w:r w:rsidR="00A76870">
              <w:t>work relies on</w:t>
            </w:r>
            <w:r>
              <w:t>:</w:t>
            </w:r>
          </w:p>
          <w:p w14:paraId="4741A4B6" w14:textId="77777777" w:rsidR="001F5655" w:rsidRDefault="001F5655" w:rsidP="001F5655">
            <w:pPr>
              <w:pStyle w:val="ListBullet2"/>
            </w:pPr>
            <w:r>
              <w:t>s</w:t>
            </w:r>
            <w:r w:rsidR="00A76870">
              <w:t>trong professional relationships with colleagues</w:t>
            </w:r>
          </w:p>
          <w:p w14:paraId="6289390C" w14:textId="73D06924" w:rsidR="001F5655" w:rsidRDefault="001F5655" w:rsidP="001F5655">
            <w:pPr>
              <w:pStyle w:val="ListBullet2"/>
            </w:pPr>
            <w:r>
              <w:t xml:space="preserve">a </w:t>
            </w:r>
            <w:r w:rsidR="00A76870">
              <w:t xml:space="preserve">shared purpose </w:t>
            </w:r>
            <w:r>
              <w:t xml:space="preserve">and </w:t>
            </w:r>
            <w:r w:rsidR="00A76870">
              <w:t>clear goals for improvement</w:t>
            </w:r>
          </w:p>
          <w:p w14:paraId="7EFBB327" w14:textId="5E985418" w:rsidR="001F5655" w:rsidRDefault="001F5655" w:rsidP="001F5655">
            <w:pPr>
              <w:pStyle w:val="ListBullet2"/>
            </w:pPr>
            <w:r>
              <w:t>a collaborative approach to problem solv</w:t>
            </w:r>
            <w:r w:rsidR="005176E7">
              <w:t>ing</w:t>
            </w:r>
            <w:r>
              <w:t xml:space="preserve"> and shar</w:t>
            </w:r>
            <w:r w:rsidR="005176E7">
              <w:t xml:space="preserve">ing of </w:t>
            </w:r>
            <w:r>
              <w:t>ideas</w:t>
            </w:r>
          </w:p>
          <w:p w14:paraId="0EB5E122" w14:textId="6A384C35" w:rsidR="00A76870" w:rsidRDefault="001F5655" w:rsidP="005176E7">
            <w:pPr>
              <w:pStyle w:val="ListBullet2"/>
            </w:pPr>
            <w:r>
              <w:t xml:space="preserve">a culture of trust that supports the </w:t>
            </w:r>
            <w:r w:rsidR="00A76870">
              <w:t xml:space="preserve">giving and receiving </w:t>
            </w:r>
            <w:r>
              <w:t xml:space="preserve">of </w:t>
            </w:r>
            <w:r w:rsidR="00A76870">
              <w:t>honest feedback</w:t>
            </w:r>
          </w:p>
          <w:p w14:paraId="151C4C2F" w14:textId="7C76E18E" w:rsidR="00AE7F09" w:rsidRDefault="00AE7F09" w:rsidP="00AE7F09">
            <w:pPr>
              <w:pStyle w:val="ListBullet"/>
            </w:pPr>
            <w:r>
              <w:t xml:space="preserve">PLTs were provided autonomy to identify appropriate </w:t>
            </w:r>
            <w:proofErr w:type="spellStart"/>
            <w:r>
              <w:t>QTm</w:t>
            </w:r>
            <w:proofErr w:type="spellEnd"/>
            <w:r>
              <w:t xml:space="preserve"> elements relevant to their work to support teacher self-reflection on, and improvement to, pedagogical practices.  </w:t>
            </w:r>
          </w:p>
          <w:p w14:paraId="35D6C9C7" w14:textId="252D0596" w:rsidR="00FE0DDC" w:rsidRDefault="001E3032" w:rsidP="00FE0DDC">
            <w:pPr>
              <w:pStyle w:val="ListBullet"/>
            </w:pPr>
            <w:r>
              <w:t xml:space="preserve">More </w:t>
            </w:r>
            <w:r w:rsidR="00FE0DDC" w:rsidRPr="00FE0DDC">
              <w:t>timely observation</w:t>
            </w:r>
            <w:r w:rsidR="00AE7F09">
              <w:t xml:space="preserve">, </w:t>
            </w:r>
            <w:proofErr w:type="spellStart"/>
            <w:r w:rsidR="00AE7F09">
              <w:t>QTm</w:t>
            </w:r>
            <w:proofErr w:type="spellEnd"/>
            <w:r w:rsidR="00AE7F09">
              <w:t xml:space="preserve"> coding</w:t>
            </w:r>
            <w:r w:rsidR="00FE0DDC" w:rsidRPr="00FE0DDC">
              <w:t xml:space="preserve"> and feedback cycles</w:t>
            </w:r>
            <w:r w:rsidR="00FE0DDC">
              <w:t xml:space="preserve"> </w:t>
            </w:r>
            <w:r>
              <w:t>were scheduled to occur that were relevant to the work being undertaken by each PLT</w:t>
            </w:r>
            <w:r w:rsidR="00FE0DDC">
              <w:t>.</w:t>
            </w:r>
          </w:p>
          <w:p w14:paraId="5C168074" w14:textId="77777777" w:rsidR="00CA26FB" w:rsidRDefault="00CA26FB" w:rsidP="00CA26FB">
            <w:pPr>
              <w:pStyle w:val="ListBullet"/>
              <w:numPr>
                <w:ilvl w:val="0"/>
                <w:numId w:val="0"/>
              </w:numPr>
              <w:ind w:left="360" w:hanging="360"/>
            </w:pPr>
          </w:p>
          <w:p w14:paraId="214B059C" w14:textId="77777777" w:rsidR="008D5E7A" w:rsidRPr="00CA26FB" w:rsidRDefault="008D5E7A" w:rsidP="008D5E7A">
            <w:pPr>
              <w:pStyle w:val="BodyText"/>
              <w:rPr>
                <w:b/>
              </w:rPr>
            </w:pPr>
            <w:r w:rsidRPr="008D5E7A">
              <w:rPr>
                <w:b/>
              </w:rPr>
              <w:t>Professional Learning for staff to support a whole school inquiry model and collection and use of data</w:t>
            </w:r>
          </w:p>
          <w:p w14:paraId="5FD15463" w14:textId="305A6246" w:rsidR="001E3032" w:rsidRDefault="00EE370F" w:rsidP="008D5E7A">
            <w:pPr>
              <w:pStyle w:val="ListBullet"/>
            </w:pPr>
            <w:r>
              <w:t xml:space="preserve">All Executive Team members undertook PL at </w:t>
            </w:r>
            <w:r w:rsidR="001B0774">
              <w:t xml:space="preserve">SLA / SLB and SLC Leadership Forums to explore and understand the Helen Timperley Spiral of Inquiry and </w:t>
            </w:r>
            <w:r w:rsidR="001E3032">
              <w:t>multiple sources of data</w:t>
            </w:r>
            <w:r w:rsidR="00200DF4">
              <w:t>.</w:t>
            </w:r>
          </w:p>
          <w:p w14:paraId="1438353F" w14:textId="77777777" w:rsidR="00200DF4" w:rsidRDefault="001E3032" w:rsidP="008D5E7A">
            <w:pPr>
              <w:pStyle w:val="ListBullet"/>
            </w:pPr>
            <w:r>
              <w:t xml:space="preserve">Executive Team members to take a leadership and monitoring role to embed the new PLT </w:t>
            </w:r>
            <w:r w:rsidR="00200DF4">
              <w:t>structure and foster an inquiry approach connected to student engagement and success</w:t>
            </w:r>
            <w:r>
              <w:t>.</w:t>
            </w:r>
          </w:p>
          <w:p w14:paraId="5622E718" w14:textId="12BB4871" w:rsidR="008D5E7A" w:rsidRDefault="00200DF4" w:rsidP="008D5E7A">
            <w:pPr>
              <w:pStyle w:val="ListBullet"/>
            </w:pPr>
            <w:r>
              <w:t>PLTs to collect and use data (school and system data, formative assessment, “small” data from classroom observations, etc.)</w:t>
            </w:r>
            <w:r w:rsidR="001B0774">
              <w:t xml:space="preserve"> </w:t>
            </w:r>
            <w:r>
              <w:t>to inform</w:t>
            </w:r>
            <w:r w:rsidR="00FE0DDC">
              <w:t xml:space="preserve">, </w:t>
            </w:r>
            <w:r>
              <w:t xml:space="preserve">guide </w:t>
            </w:r>
            <w:r w:rsidR="00FE0DDC">
              <w:t xml:space="preserve">and evaluate </w:t>
            </w:r>
            <w:r>
              <w:t xml:space="preserve">their </w:t>
            </w:r>
            <w:r w:rsidR="00FE0DDC">
              <w:t>professional practice</w:t>
            </w:r>
            <w:r>
              <w:t>.</w:t>
            </w:r>
          </w:p>
          <w:p w14:paraId="64ACAE30" w14:textId="71B9740C" w:rsidR="00200DF4" w:rsidRDefault="00200DF4" w:rsidP="008D5E7A">
            <w:pPr>
              <w:pStyle w:val="ListBullet"/>
            </w:pPr>
            <w:r>
              <w:t xml:space="preserve">Focus on </w:t>
            </w:r>
            <w:r w:rsidR="00960F64">
              <w:t xml:space="preserve">teachers being “hungry” to find </w:t>
            </w:r>
            <w:r>
              <w:t>evidence of student learning</w:t>
            </w:r>
            <w:r w:rsidR="00960F64">
              <w:t>.</w:t>
            </w:r>
          </w:p>
          <w:p w14:paraId="1408711E" w14:textId="77777777" w:rsidR="008D5E7A" w:rsidRDefault="008D5E7A" w:rsidP="008D5E7A">
            <w:pPr>
              <w:pStyle w:val="ListBullet"/>
              <w:numPr>
                <w:ilvl w:val="0"/>
                <w:numId w:val="0"/>
              </w:numPr>
              <w:ind w:left="360" w:hanging="360"/>
            </w:pPr>
          </w:p>
          <w:p w14:paraId="202E5984" w14:textId="113B4D8C" w:rsidR="00CA26FB" w:rsidRPr="00CA26FB" w:rsidRDefault="008D5E7A" w:rsidP="00CA26FB">
            <w:pPr>
              <w:pStyle w:val="BodyText"/>
              <w:rPr>
                <w:b/>
              </w:rPr>
            </w:pPr>
            <w:r w:rsidRPr="008D5E7A">
              <w:rPr>
                <w:b/>
              </w:rPr>
              <w:lastRenderedPageBreak/>
              <w:t>Complete Trauma Informed Education PL to support student learning</w:t>
            </w:r>
          </w:p>
          <w:p w14:paraId="216C08CE" w14:textId="67EA0E7F" w:rsidR="00CA26FB" w:rsidRDefault="00AC01EB" w:rsidP="00CA26FB">
            <w:pPr>
              <w:pStyle w:val="ListBullet"/>
            </w:pPr>
            <w:r>
              <w:t xml:space="preserve">Whole staff PL delivered by Senior </w:t>
            </w:r>
            <w:r w:rsidR="00004973">
              <w:t>Psychologists</w:t>
            </w:r>
            <w:r>
              <w:t xml:space="preserve"> as part of January </w:t>
            </w:r>
            <w:r w:rsidR="00004973">
              <w:t>PL program.</w:t>
            </w:r>
          </w:p>
          <w:p w14:paraId="0A9AB1B5" w14:textId="77777777" w:rsidR="00004973" w:rsidRDefault="00004973" w:rsidP="00CA26FB">
            <w:pPr>
              <w:pStyle w:val="ListBullet"/>
            </w:pPr>
            <w:r>
              <w:t>Feedback from staff showed:</w:t>
            </w:r>
          </w:p>
          <w:p w14:paraId="354D8102" w14:textId="472C19B5" w:rsidR="000514B2" w:rsidRDefault="000514B2" w:rsidP="00004973">
            <w:pPr>
              <w:pStyle w:val="ListBullet2"/>
            </w:pPr>
            <w:r>
              <w:t>t</w:t>
            </w:r>
            <w:r w:rsidR="00004973">
              <w:t xml:space="preserve">hat the </w:t>
            </w:r>
            <w:r>
              <w:t xml:space="preserve">professional learning </w:t>
            </w:r>
            <w:r w:rsidR="00004973">
              <w:t xml:space="preserve">was engaging, informative </w:t>
            </w:r>
            <w:r>
              <w:t>and well received.</w:t>
            </w:r>
          </w:p>
          <w:p w14:paraId="243D56BD" w14:textId="1DC576DE" w:rsidR="000514B2" w:rsidRDefault="00004973" w:rsidP="00004973">
            <w:pPr>
              <w:pStyle w:val="ListBullet2"/>
            </w:pPr>
            <w:r>
              <w:t xml:space="preserve">strong positive responses </w:t>
            </w:r>
            <w:proofErr w:type="gramStart"/>
            <w:r w:rsidR="00993ABC">
              <w:t>in regard to</w:t>
            </w:r>
            <w:proofErr w:type="gramEnd"/>
            <w:r>
              <w:t xml:space="preserve"> an increased understanding of the neuroscience of trauma</w:t>
            </w:r>
            <w:r w:rsidR="000514B2">
              <w:t xml:space="preserve"> and </w:t>
            </w:r>
            <w:r>
              <w:t>how it impacts on student behaviour and learning</w:t>
            </w:r>
            <w:r w:rsidR="000514B2">
              <w:t>.</w:t>
            </w:r>
          </w:p>
          <w:p w14:paraId="427A4EAB" w14:textId="3E84C9FF" w:rsidR="00004973" w:rsidRDefault="00004973" w:rsidP="00004973">
            <w:pPr>
              <w:pStyle w:val="ListBullet2"/>
            </w:pPr>
            <w:r>
              <w:t>an</w:t>
            </w:r>
            <w:r w:rsidR="000514B2">
              <w:t xml:space="preserve"> appreciation for the practical strategies provided and a focus on action to embed them into classroom practice.</w:t>
            </w:r>
          </w:p>
          <w:p w14:paraId="6E1BA22A" w14:textId="79D84F92" w:rsidR="000514B2" w:rsidRDefault="000514B2" w:rsidP="000514B2">
            <w:pPr>
              <w:pStyle w:val="ListBullet"/>
            </w:pPr>
            <w:r>
              <w:t xml:space="preserve">Follow up session undertaken by LHS School Psychologist </w:t>
            </w:r>
            <w:r w:rsidR="00E41523">
              <w:t xml:space="preserve">(staff meeting 15/5/2019) </w:t>
            </w:r>
            <w:r>
              <w:t>regarding reasonable adjustments to the learning program that supports student engagement and success.</w:t>
            </w:r>
          </w:p>
          <w:p w14:paraId="07461674" w14:textId="7EBCFF25" w:rsidR="000514B2" w:rsidRDefault="000514B2" w:rsidP="000514B2">
            <w:pPr>
              <w:pStyle w:val="ListBullet"/>
            </w:pPr>
            <w:r>
              <w:t>F</w:t>
            </w:r>
            <w:r w:rsidR="00E41523">
              <w:t>ollow up session undertaken by Special Needs staff members (staff meeting 21/8/2019) regarding universal adjustments for students in classes.</w:t>
            </w:r>
            <w:r>
              <w:t xml:space="preserve"> </w:t>
            </w:r>
          </w:p>
          <w:p w14:paraId="4F3370DC" w14:textId="77777777" w:rsidR="008D5E7A" w:rsidRDefault="008D5E7A" w:rsidP="008D5E7A">
            <w:pPr>
              <w:pStyle w:val="ListBullet"/>
              <w:numPr>
                <w:ilvl w:val="0"/>
                <w:numId w:val="0"/>
              </w:numPr>
              <w:ind w:left="360" w:hanging="360"/>
            </w:pPr>
          </w:p>
          <w:p w14:paraId="3A9A90B6" w14:textId="3F910B87" w:rsidR="008D5E7A" w:rsidRPr="00CA26FB" w:rsidRDefault="008D5E7A" w:rsidP="008D5E7A">
            <w:pPr>
              <w:pStyle w:val="BodyText"/>
              <w:rPr>
                <w:b/>
              </w:rPr>
            </w:pPr>
            <w:r w:rsidRPr="008D5E7A">
              <w:rPr>
                <w:b/>
              </w:rPr>
              <w:t>Develop and implement a targeted Literacy Program</w:t>
            </w:r>
          </w:p>
          <w:p w14:paraId="25B52BA0" w14:textId="00086D85" w:rsidR="00804BA2" w:rsidRDefault="00804BA2" w:rsidP="008D5E7A">
            <w:pPr>
              <w:pStyle w:val="ListBullet"/>
            </w:pPr>
            <w:r>
              <w:t>Literacy Team established under the leadership of the ET Professional Practice.</w:t>
            </w:r>
          </w:p>
          <w:p w14:paraId="0AB0BF66" w14:textId="03D38000" w:rsidR="00804BA2" w:rsidRDefault="00804BA2" w:rsidP="008D5E7A">
            <w:pPr>
              <w:pStyle w:val="ListBullet"/>
            </w:pPr>
            <w:r>
              <w:t>Research undertaken to explore best practice and inform the LHS Literacy Program model.</w:t>
            </w:r>
          </w:p>
          <w:p w14:paraId="56AE623E" w14:textId="6FB213F5" w:rsidR="008D5E7A" w:rsidRDefault="00804BA2" w:rsidP="008D5E7A">
            <w:pPr>
              <w:pStyle w:val="ListBullet"/>
            </w:pPr>
            <w:r>
              <w:t>Literacy Plan documented.</w:t>
            </w:r>
          </w:p>
          <w:p w14:paraId="1DB4A27B" w14:textId="711B7ECF" w:rsidR="00804BA2" w:rsidRDefault="00804BA2" w:rsidP="008D5E7A">
            <w:pPr>
              <w:pStyle w:val="ListBullet"/>
            </w:pPr>
            <w:r>
              <w:t xml:space="preserve">PL undertaken to strengthen analysis of student data (PAT-R, </w:t>
            </w:r>
            <w:proofErr w:type="spellStart"/>
            <w:r>
              <w:t>MacqLit</w:t>
            </w:r>
            <w:proofErr w:type="spellEnd"/>
            <w:r>
              <w:t>).</w:t>
            </w:r>
          </w:p>
          <w:p w14:paraId="2324FD09" w14:textId="77777777" w:rsidR="00AE7B83" w:rsidRDefault="00804BA2" w:rsidP="008D5E7A">
            <w:pPr>
              <w:pStyle w:val="ListBullet"/>
            </w:pPr>
            <w:r>
              <w:t>Data used to identify students for intensive literacy support</w:t>
            </w:r>
            <w:r w:rsidR="00AE7B83">
              <w:t>.</w:t>
            </w:r>
          </w:p>
          <w:p w14:paraId="46DCB5C0" w14:textId="7BB144B4" w:rsidR="00804BA2" w:rsidRDefault="00AE7B83" w:rsidP="008D5E7A">
            <w:pPr>
              <w:pStyle w:val="ListBullet"/>
            </w:pPr>
            <w:r>
              <w:t xml:space="preserve">Literacy supports delivered to approximately 88 students not eligible for other support </w:t>
            </w:r>
            <w:r w:rsidR="00804BA2">
              <w:t xml:space="preserve">programs </w:t>
            </w:r>
            <w:r>
              <w:t>(e.g. disability support, inclusion support program)</w:t>
            </w:r>
          </w:p>
          <w:p w14:paraId="5AA5BA8E" w14:textId="0B278625" w:rsidR="00AE7B83" w:rsidRDefault="00AE7B83" w:rsidP="008D5E7A">
            <w:pPr>
              <w:pStyle w:val="ListBullet"/>
            </w:pPr>
            <w:r>
              <w:t xml:space="preserve">Review of Literacy Program </w:t>
            </w:r>
            <w:proofErr w:type="gramStart"/>
            <w:r>
              <w:t>undertaken</w:t>
            </w:r>
            <w:proofErr w:type="gramEnd"/>
            <w:r>
              <w:t xml:space="preserve"> and recommendations made for 2020.</w:t>
            </w:r>
          </w:p>
          <w:p w14:paraId="7AFBD357" w14:textId="77777777" w:rsidR="008D5E7A" w:rsidRDefault="008D5E7A" w:rsidP="008D5E7A">
            <w:pPr>
              <w:pStyle w:val="ListBullet"/>
              <w:numPr>
                <w:ilvl w:val="0"/>
                <w:numId w:val="0"/>
              </w:numPr>
              <w:ind w:left="360" w:hanging="360"/>
            </w:pPr>
          </w:p>
          <w:p w14:paraId="29E7A33F" w14:textId="3BAC145D" w:rsidR="008D5E7A" w:rsidRPr="00CA26FB" w:rsidRDefault="008D5E7A" w:rsidP="008D5E7A">
            <w:pPr>
              <w:pStyle w:val="BodyText"/>
              <w:rPr>
                <w:b/>
              </w:rPr>
            </w:pPr>
            <w:r w:rsidRPr="008D5E7A">
              <w:rPr>
                <w:b/>
              </w:rPr>
              <w:t>Develop and implement a targeted Numeracy Program</w:t>
            </w:r>
          </w:p>
          <w:p w14:paraId="5477B2A5" w14:textId="2F4F64AC" w:rsidR="00AE7B83" w:rsidRDefault="00AE7B83" w:rsidP="00AE7B83">
            <w:pPr>
              <w:pStyle w:val="ListBullet"/>
            </w:pPr>
            <w:r>
              <w:t>Literacy Program established under the leadership of the ET Mathematics.</w:t>
            </w:r>
          </w:p>
          <w:p w14:paraId="31287285" w14:textId="4228789B" w:rsidR="00AE7B83" w:rsidRDefault="00AE7B83" w:rsidP="00AE7B83">
            <w:pPr>
              <w:pStyle w:val="ListBullet"/>
            </w:pPr>
            <w:r>
              <w:t>PL undertaken to strengthen analysis of student data (PAT-M).</w:t>
            </w:r>
          </w:p>
          <w:p w14:paraId="421749DC" w14:textId="57176973" w:rsidR="00AE7B83" w:rsidRDefault="00AE7B83" w:rsidP="00AE7B83">
            <w:pPr>
              <w:pStyle w:val="ListBullet"/>
            </w:pPr>
            <w:r>
              <w:t>Students identified for numeracy support by classroom teachers based on class observations, formative assessment data and curriculum data.</w:t>
            </w:r>
          </w:p>
          <w:p w14:paraId="0023609D" w14:textId="775312F7" w:rsidR="00AE7B83" w:rsidRDefault="00AE7B83" w:rsidP="00AE7B83">
            <w:pPr>
              <w:pStyle w:val="ListBullet"/>
            </w:pPr>
            <w:r>
              <w:t>Support delivered to 32 identified students in:</w:t>
            </w:r>
          </w:p>
          <w:p w14:paraId="6E86107A" w14:textId="43F36D01" w:rsidR="00AE7B83" w:rsidRDefault="00AE7B83" w:rsidP="00AE7B83">
            <w:pPr>
              <w:pStyle w:val="ListBullet2"/>
            </w:pPr>
            <w:r>
              <w:t>the classroom (4 classes across years 7, 9 and 10)</w:t>
            </w:r>
          </w:p>
          <w:p w14:paraId="366E7E6E" w14:textId="6A71ADD1" w:rsidR="008D5E7A" w:rsidRDefault="00AE7B83" w:rsidP="00820582">
            <w:pPr>
              <w:pStyle w:val="ListBullet2"/>
            </w:pPr>
            <w:r>
              <w:t>small withdrawal groups</w:t>
            </w:r>
            <w:r w:rsidR="00807EDD">
              <w:t xml:space="preserve"> (occurs twice a fortnight)</w:t>
            </w:r>
          </w:p>
          <w:p w14:paraId="47F513EF" w14:textId="77777777" w:rsidR="008D5E7A" w:rsidRDefault="008D5E7A" w:rsidP="008D5E7A">
            <w:pPr>
              <w:pStyle w:val="ListBullet"/>
              <w:numPr>
                <w:ilvl w:val="0"/>
                <w:numId w:val="0"/>
              </w:numPr>
              <w:ind w:left="360" w:hanging="360"/>
            </w:pPr>
          </w:p>
          <w:p w14:paraId="200A86BA" w14:textId="10FB861D" w:rsidR="008D5E7A" w:rsidRPr="00CA26FB" w:rsidRDefault="008D5E7A" w:rsidP="008D5E7A">
            <w:pPr>
              <w:pStyle w:val="BodyText"/>
              <w:rPr>
                <w:b/>
              </w:rPr>
            </w:pPr>
            <w:r w:rsidRPr="008D5E7A">
              <w:rPr>
                <w:b/>
              </w:rPr>
              <w:t>Implement SAS Academic Reporting in Semester 2 2019</w:t>
            </w:r>
          </w:p>
          <w:p w14:paraId="705A806A" w14:textId="44E63BB1" w:rsidR="00820582" w:rsidRDefault="00820582" w:rsidP="008D5E7A">
            <w:pPr>
              <w:pStyle w:val="ListBullet"/>
            </w:pPr>
            <w:r>
              <w:t>Action Plan developed under the leadership of the ET Student Administration.</w:t>
            </w:r>
          </w:p>
          <w:p w14:paraId="4EDF4B50" w14:textId="2A8D6B9E" w:rsidR="008D5E7A" w:rsidRDefault="008016D0" w:rsidP="008D5E7A">
            <w:pPr>
              <w:pStyle w:val="ListBullet"/>
            </w:pPr>
            <w:r>
              <w:t xml:space="preserve">Key staff undertaken </w:t>
            </w:r>
            <w:r w:rsidR="006C527A">
              <w:t>SAS/</w:t>
            </w:r>
            <w:proofErr w:type="spellStart"/>
            <w:r w:rsidR="006C527A">
              <w:t>Sentral</w:t>
            </w:r>
            <w:proofErr w:type="spellEnd"/>
            <w:r w:rsidR="006C527A">
              <w:t xml:space="preserve"> Coordinator Training for Academic Reporting</w:t>
            </w:r>
          </w:p>
          <w:p w14:paraId="5AD87D1B" w14:textId="334BD916" w:rsidR="006C527A" w:rsidRDefault="006C527A" w:rsidP="008D5E7A">
            <w:pPr>
              <w:pStyle w:val="ListBullet"/>
            </w:pPr>
            <w:r>
              <w:t xml:space="preserve">Development and delivery of administrative supports and templates to enable </w:t>
            </w:r>
            <w:r w:rsidR="00035734">
              <w:t xml:space="preserve">ETs in </w:t>
            </w:r>
            <w:r>
              <w:t xml:space="preserve">all faculties to map Achievement Standard sentences to unit assessment, </w:t>
            </w:r>
            <w:r w:rsidR="00035734">
              <w:t xml:space="preserve">marksheets to </w:t>
            </w:r>
            <w:r>
              <w:t>record student outcomes and progress and build end of semester reporting templates.</w:t>
            </w:r>
          </w:p>
          <w:p w14:paraId="6847D309" w14:textId="3285BA20" w:rsidR="00035734" w:rsidRDefault="00035734" w:rsidP="008D5E7A">
            <w:pPr>
              <w:pStyle w:val="ListBullet"/>
            </w:pPr>
            <w:r>
              <w:t xml:space="preserve">PL delivered to Executive Teachers and at staff meetings to support teachers to use </w:t>
            </w:r>
            <w:proofErr w:type="spellStart"/>
            <w:r>
              <w:t>Sentral</w:t>
            </w:r>
            <w:proofErr w:type="spellEnd"/>
            <w:r>
              <w:t xml:space="preserve"> to report during semester 2.</w:t>
            </w:r>
          </w:p>
          <w:p w14:paraId="6FA85CD6" w14:textId="36BFD6FD" w:rsidR="00035734" w:rsidRDefault="00035734" w:rsidP="008D5E7A">
            <w:pPr>
              <w:pStyle w:val="ListBullet"/>
            </w:pPr>
            <w:r>
              <w:t>Mid semester reports produced and distributed to parents/carers in Week 9 of Term 3.</w:t>
            </w:r>
          </w:p>
          <w:p w14:paraId="0E664B31" w14:textId="473A8D33" w:rsidR="006C527A" w:rsidRDefault="00035734" w:rsidP="008D5E7A">
            <w:pPr>
              <w:pStyle w:val="ListBullet"/>
            </w:pPr>
            <w:r>
              <w:t>Decision taken to remove the teacher comment from the semester report given the detail provided by reporting against the achievement standard sentences and work habits while also recognising the complexity</w:t>
            </w:r>
            <w:r w:rsidR="00AC6EC8">
              <w:t xml:space="preserve">, </w:t>
            </w:r>
            <w:r>
              <w:t xml:space="preserve">workload </w:t>
            </w:r>
            <w:r w:rsidR="00AC6EC8">
              <w:t xml:space="preserve">and quality assurance issues relating to </w:t>
            </w:r>
            <w:r>
              <w:t>this change management process</w:t>
            </w:r>
            <w:r w:rsidR="00AC6EC8">
              <w:t>.</w:t>
            </w:r>
          </w:p>
          <w:p w14:paraId="50D2E776" w14:textId="0DA0D5B7" w:rsidR="00AC6EC8" w:rsidRDefault="00C30FCA" w:rsidP="008D5E7A">
            <w:pPr>
              <w:pStyle w:val="ListBullet"/>
            </w:pPr>
            <w:r>
              <w:t xml:space="preserve">Develop and implement </w:t>
            </w:r>
            <w:r w:rsidR="00EB412B">
              <w:t xml:space="preserve">process for </w:t>
            </w:r>
            <w:r w:rsidR="00BE4D12">
              <w:t xml:space="preserve">the collection of </w:t>
            </w:r>
            <w:r w:rsidR="00EB412B">
              <w:t>student reflect</w:t>
            </w:r>
            <w:r w:rsidR="00BE4D12">
              <w:t>i</w:t>
            </w:r>
            <w:r w:rsidR="00EB412B">
              <w:t>on</w:t>
            </w:r>
            <w:r w:rsidR="00BE4D12">
              <w:t xml:space="preserve"> on their behaviours and learning which are used to populate the personal and social capabilities on the end of semester report.</w:t>
            </w:r>
          </w:p>
          <w:p w14:paraId="2C47B08D" w14:textId="72CA2AA5" w:rsidR="00AC6EC8" w:rsidRDefault="00AC6EC8" w:rsidP="008D5E7A">
            <w:pPr>
              <w:pStyle w:val="ListBullet"/>
            </w:pPr>
            <w:r>
              <w:lastRenderedPageBreak/>
              <w:t>End of semester reports produced and distributed to parents/carers in Week 10 of Term 4.</w:t>
            </w:r>
          </w:p>
          <w:p w14:paraId="67590950" w14:textId="77777777" w:rsidR="008D5E7A" w:rsidRDefault="008D5E7A" w:rsidP="008D5E7A">
            <w:pPr>
              <w:pStyle w:val="ListBullet"/>
              <w:numPr>
                <w:ilvl w:val="0"/>
                <w:numId w:val="0"/>
              </w:numPr>
              <w:ind w:left="360" w:hanging="360"/>
            </w:pPr>
          </w:p>
          <w:p w14:paraId="5DC72651" w14:textId="496CB20A" w:rsidR="008D5E7A" w:rsidRPr="00CA26FB" w:rsidRDefault="008D5E7A" w:rsidP="008D5E7A">
            <w:pPr>
              <w:pStyle w:val="BodyText"/>
              <w:rPr>
                <w:b/>
              </w:rPr>
            </w:pPr>
            <w:r w:rsidRPr="008D5E7A">
              <w:rPr>
                <w:b/>
              </w:rPr>
              <w:t>Innovation Fund round conducted to support new learning initiatives for students</w:t>
            </w:r>
          </w:p>
          <w:p w14:paraId="4797C310" w14:textId="4C53D9DD" w:rsidR="00820582" w:rsidRDefault="00820582" w:rsidP="008D5E7A">
            <w:pPr>
              <w:pStyle w:val="ListBullet"/>
            </w:pPr>
            <w:r>
              <w:t>Innovation Fund information and documentation (process and assessment criteria) developed by Business Manager and distributed to Executive Team.</w:t>
            </w:r>
          </w:p>
          <w:p w14:paraId="3C15CC9D" w14:textId="7AE7CAD2" w:rsidR="008D5E7A" w:rsidRDefault="00820582" w:rsidP="008D5E7A">
            <w:pPr>
              <w:pStyle w:val="ListBullet"/>
            </w:pPr>
            <w:r>
              <w:t>Submissions received, reviewed and assessed by the School Board.</w:t>
            </w:r>
          </w:p>
          <w:p w14:paraId="6B33DA23" w14:textId="7CC69206" w:rsidR="00820582" w:rsidRDefault="00820582" w:rsidP="008D5E7A">
            <w:pPr>
              <w:pStyle w:val="ListBullet"/>
            </w:pPr>
            <w:r>
              <w:t>Successful initiative was the refurbishment of Room 12 to develop a flexible learning space</w:t>
            </w:r>
            <w:r w:rsidR="00CC24A3">
              <w:t xml:space="preserve"> (makerspace) </w:t>
            </w:r>
            <w:r>
              <w:t>to support the introduction of STEM units.</w:t>
            </w:r>
          </w:p>
          <w:p w14:paraId="48C5D032" w14:textId="28EA024D" w:rsidR="008D5E7A" w:rsidRPr="00CA26FB" w:rsidRDefault="00960F64" w:rsidP="00960F64">
            <w:pPr>
              <w:pStyle w:val="ListBullet"/>
            </w:pPr>
            <w:r>
              <w:t>Construction works and procurement of equipment and resources should be completed prior to the start of the 2020 school year.</w:t>
            </w:r>
          </w:p>
        </w:tc>
      </w:tr>
    </w:tbl>
    <w:p w14:paraId="0A5FD706" w14:textId="77777777" w:rsidR="007F7DDE" w:rsidRDefault="007F7DDE" w:rsidP="007F7DDE">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7F7DDE">
        <w:trPr>
          <w:trHeight w:val="116"/>
          <w:jc w:val="center"/>
        </w:trPr>
        <w:tc>
          <w:tcPr>
            <w:tcW w:w="9027" w:type="dxa"/>
            <w:shd w:val="clear" w:color="auto" w:fill="auto"/>
          </w:tcPr>
          <w:p w14:paraId="63350B57" w14:textId="3B6DE303" w:rsidR="00940976" w:rsidRDefault="001239B9" w:rsidP="00932E67">
            <w:pPr>
              <w:pStyle w:val="ListBullet"/>
            </w:pPr>
            <w:r>
              <w:t>D</w:t>
            </w:r>
            <w:r w:rsidR="00940976">
              <w:t>espite a strong initial start to the implementation of the PLC/PLT structure in 2019, major di</w:t>
            </w:r>
            <w:r>
              <w:t xml:space="preserve">sruption </w:t>
            </w:r>
            <w:r w:rsidR="00940976">
              <w:t xml:space="preserve">within the school </w:t>
            </w:r>
            <w:r>
              <w:t>and a subsequent loss of focus</w:t>
            </w:r>
            <w:r w:rsidR="00940976">
              <w:t xml:space="preserve"> resulted in a “loose” and variable understanding and application of the intended strategies. In 2020, there is a need for greater clarity in communication, processes and timelines.</w:t>
            </w:r>
          </w:p>
          <w:p w14:paraId="22FC0281" w14:textId="0C45C1B6" w:rsidR="00940976" w:rsidRDefault="00993ABC" w:rsidP="00932E67">
            <w:pPr>
              <w:pStyle w:val="ListBullet"/>
            </w:pPr>
            <w:r>
              <w:t xml:space="preserve">Build greater </w:t>
            </w:r>
            <w:r w:rsidR="00E36EA2">
              <w:t xml:space="preserve">teacher </w:t>
            </w:r>
            <w:r>
              <w:t>consistency</w:t>
            </w:r>
            <w:r w:rsidR="00E36EA2">
              <w:t xml:space="preserve"> and confidence </w:t>
            </w:r>
            <w:r>
              <w:t xml:space="preserve">in the </w:t>
            </w:r>
            <w:r w:rsidR="0008713C">
              <w:t xml:space="preserve">effective collection, analysis and use of data to </w:t>
            </w:r>
            <w:r w:rsidR="00E36EA2">
              <w:t>understand an</w:t>
            </w:r>
            <w:r w:rsidR="0008713C">
              <w:t>d meet the learning needs of students.</w:t>
            </w:r>
          </w:p>
          <w:p w14:paraId="21501890" w14:textId="35073E80" w:rsidR="00937D6F" w:rsidRDefault="00E36EA2" w:rsidP="00960F64">
            <w:pPr>
              <w:pStyle w:val="ListBullet"/>
            </w:pPr>
            <w:r>
              <w:t>Overcome s</w:t>
            </w:r>
            <w:r w:rsidR="0008713C">
              <w:t xml:space="preserve">taffing and resourcing pressures </w:t>
            </w:r>
            <w:r>
              <w:t xml:space="preserve">to ensure the full </w:t>
            </w:r>
            <w:r w:rsidR="00960F64">
              <w:t>implementation of the Numeracy Program.</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1FFF59E6"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6A1B84" w:rsidRPr="006A1B84">
        <w:rPr>
          <w:color w:val="auto"/>
        </w:rPr>
        <w:t>All students will be critical and creative thinkers and resilient people</w:t>
      </w:r>
    </w:p>
    <w:p w14:paraId="516A240E" w14:textId="77777777" w:rsidR="00EB70CE" w:rsidRPr="00837137" w:rsidRDefault="00EB70CE" w:rsidP="00EB70CE">
      <w:pPr>
        <w:pStyle w:val="Heading3"/>
      </w:pPr>
      <w:r w:rsidRPr="00837137">
        <w:t>Targets or measures</w:t>
      </w:r>
    </w:p>
    <w:p w14:paraId="6FF6208C" w14:textId="7B623152" w:rsidR="00EB70CE" w:rsidRDefault="00EB70CE" w:rsidP="00EB70CE">
      <w:pPr>
        <w:pStyle w:val="BodyText"/>
      </w:pPr>
      <w:r>
        <w:t>By the end of 20</w:t>
      </w:r>
      <w:r w:rsidR="006A1B84">
        <w:t>21</w:t>
      </w:r>
      <w:r>
        <w:t xml:space="preserve"> we will achieve:</w:t>
      </w:r>
    </w:p>
    <w:p w14:paraId="786DFECA" w14:textId="77777777" w:rsidR="006A1B84" w:rsidRDefault="006A1B84" w:rsidP="006A1B84">
      <w:pPr>
        <w:pStyle w:val="ListBullet"/>
      </w:pPr>
      <w:r>
        <w:t>The percentage of students giving a positive response to the System Survey question “Overall, I am satisfied that the school has High Expectations in all that it does” is consistently at 85 percentage points or higher in each year 2017-2021.</w:t>
      </w:r>
    </w:p>
    <w:p w14:paraId="2ED478C8" w14:textId="77777777" w:rsidR="006A1B84" w:rsidRDefault="006A1B84" w:rsidP="006A1B84">
      <w:pPr>
        <w:pStyle w:val="ListBullet"/>
      </w:pPr>
      <w:r>
        <w:t>The percentage of students who ranked anxiety levels as needing improvement using the ASCSIMT is reduced from 24 percent in 2016 to 19 percent or lower by 2021.</w:t>
      </w:r>
    </w:p>
    <w:p w14:paraId="282A4BA0" w14:textId="77777777" w:rsidR="006A1B84" w:rsidRDefault="006A1B84" w:rsidP="006A1B84">
      <w:pPr>
        <w:pStyle w:val="ListBullet"/>
      </w:pPr>
      <w:r>
        <w:t>By 2021, of those students assessed against the general capability of critical and creative thinking, 80 percent or more will, usually or always, demonstrate appropriate knowledge, skills and dispositions.</w:t>
      </w:r>
    </w:p>
    <w:p w14:paraId="79A41116" w14:textId="77777777" w:rsidR="006A1B84" w:rsidRPr="00837137" w:rsidRDefault="006A1B84" w:rsidP="006A1B84">
      <w:pPr>
        <w:pStyle w:val="ListBullet"/>
      </w:pPr>
      <w:r>
        <w:t>By 2021, 80 percent or more of those students assessed against the general capability sub-element of “becoming confident, resilient and adaptable” will, usually or always, demonstrate this capacity.</w:t>
      </w:r>
    </w:p>
    <w:p w14:paraId="6BF90988" w14:textId="749E547E" w:rsidR="00EB70CE" w:rsidRPr="00373DC0" w:rsidRDefault="00EB70CE" w:rsidP="00EB70CE">
      <w:pPr>
        <w:pStyle w:val="BodyText"/>
      </w:pPr>
      <w:r w:rsidRPr="00373DC0">
        <w:t>In 20</w:t>
      </w:r>
      <w:r w:rsidR="006A1B84">
        <w:t>19</w:t>
      </w:r>
      <w:r w:rsidRPr="00373DC0">
        <w:t xml:space="preserve"> we </w:t>
      </w:r>
      <w:r>
        <w:t>implemented</w:t>
      </w:r>
      <w:r w:rsidRPr="00373DC0">
        <w:t xml:space="preserve"> this priority throug</w:t>
      </w:r>
      <w:r>
        <w:t xml:space="preserve">h the following </w:t>
      </w:r>
      <w:r w:rsidRPr="00373DC0">
        <w:t>strategies.</w:t>
      </w:r>
    </w:p>
    <w:p w14:paraId="16F39BBD" w14:textId="77777777" w:rsidR="006A1B84" w:rsidRDefault="006A1B84" w:rsidP="006A1B84">
      <w:pPr>
        <w:pStyle w:val="ListBullet"/>
      </w:pPr>
      <w:r w:rsidRPr="00487FCC">
        <w:t>Use the Australian Curriculum Critical and Creative Thinking capability to inform effective teaching practices and monitor student development.</w:t>
      </w:r>
    </w:p>
    <w:p w14:paraId="1AAA5B5C" w14:textId="77777777" w:rsidR="006A1B84" w:rsidRDefault="006A1B84" w:rsidP="006A1B84">
      <w:pPr>
        <w:pStyle w:val="ListBullet"/>
      </w:pPr>
      <w:r w:rsidRPr="00487FCC">
        <w:t>Use the Australian Curriculum sub-element of Resilience from the Personal and Social Capability to inform teaching practices and monitor student development</w:t>
      </w:r>
    </w:p>
    <w:p w14:paraId="13F17F2B" w14:textId="77777777" w:rsidR="00EB70CE" w:rsidRDefault="00EB70CE" w:rsidP="00EB70CE">
      <w:pPr>
        <w:pStyle w:val="BodyText"/>
      </w:pPr>
    </w:p>
    <w:p w14:paraId="32A84660" w14:textId="72A5EBC3"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A1B84" w14:paraId="52A1D276" w14:textId="77777777" w:rsidTr="006E5B4B">
        <w:trPr>
          <w:jc w:val="center"/>
        </w:trPr>
        <w:tc>
          <w:tcPr>
            <w:tcW w:w="4297" w:type="dxa"/>
            <w:shd w:val="clear" w:color="auto" w:fill="auto"/>
          </w:tcPr>
          <w:p w14:paraId="38831A05" w14:textId="77777777" w:rsidR="006A1B84" w:rsidRPr="00D03B0C" w:rsidRDefault="006A1B84" w:rsidP="006A1B84">
            <w:pPr>
              <w:rPr>
                <w:b/>
              </w:rPr>
            </w:pPr>
            <w:r w:rsidRPr="00D03B0C">
              <w:rPr>
                <w:b/>
              </w:rPr>
              <w:t>Targets or Measures</w:t>
            </w:r>
          </w:p>
        </w:tc>
        <w:tc>
          <w:tcPr>
            <w:tcW w:w="790" w:type="dxa"/>
            <w:shd w:val="clear" w:color="auto" w:fill="auto"/>
            <w:vAlign w:val="center"/>
          </w:tcPr>
          <w:p w14:paraId="5CEC69C6" w14:textId="77777777" w:rsidR="006A1B84" w:rsidRDefault="006A1B84" w:rsidP="006A1B84">
            <w:pPr>
              <w:jc w:val="center"/>
              <w:rPr>
                <w:b/>
              </w:rPr>
            </w:pPr>
            <w:r w:rsidRPr="00D03B0C">
              <w:rPr>
                <w:b/>
              </w:rPr>
              <w:t>Base</w:t>
            </w:r>
          </w:p>
          <w:p w14:paraId="1889F794" w14:textId="74A2B302" w:rsidR="006A1B84" w:rsidRPr="00D03B0C" w:rsidRDefault="006A1B84" w:rsidP="006A1B84">
            <w:pPr>
              <w:jc w:val="center"/>
              <w:rPr>
                <w:b/>
              </w:rPr>
            </w:pPr>
            <w:r w:rsidRPr="00BC5F55">
              <w:rPr>
                <w:sz w:val="20"/>
                <w:szCs w:val="20"/>
              </w:rPr>
              <w:t>(2016)</w:t>
            </w:r>
          </w:p>
        </w:tc>
        <w:tc>
          <w:tcPr>
            <w:tcW w:w="790" w:type="dxa"/>
            <w:shd w:val="clear" w:color="auto" w:fill="auto"/>
            <w:vAlign w:val="center"/>
          </w:tcPr>
          <w:p w14:paraId="25DC9286" w14:textId="77777777" w:rsidR="006A1B84" w:rsidRDefault="006A1B84" w:rsidP="006A1B84">
            <w:pPr>
              <w:jc w:val="center"/>
              <w:rPr>
                <w:b/>
              </w:rPr>
            </w:pPr>
            <w:r w:rsidRPr="00D03B0C">
              <w:rPr>
                <w:b/>
              </w:rPr>
              <w:t>Year 1</w:t>
            </w:r>
          </w:p>
          <w:p w14:paraId="7FEBA05C" w14:textId="19EDEFC1" w:rsidR="006A1B84" w:rsidRPr="00D03B0C" w:rsidRDefault="006A1B84" w:rsidP="006A1B84">
            <w:pPr>
              <w:jc w:val="center"/>
              <w:rPr>
                <w:b/>
              </w:rPr>
            </w:pPr>
            <w:r w:rsidRPr="00BC5F55">
              <w:rPr>
                <w:sz w:val="20"/>
                <w:szCs w:val="20"/>
              </w:rPr>
              <w:t>(2017)</w:t>
            </w:r>
          </w:p>
        </w:tc>
        <w:tc>
          <w:tcPr>
            <w:tcW w:w="790" w:type="dxa"/>
            <w:shd w:val="clear" w:color="auto" w:fill="auto"/>
            <w:vAlign w:val="center"/>
          </w:tcPr>
          <w:p w14:paraId="00337919" w14:textId="77777777" w:rsidR="006A1B84" w:rsidRDefault="006A1B84" w:rsidP="006A1B84">
            <w:pPr>
              <w:jc w:val="center"/>
              <w:rPr>
                <w:b/>
              </w:rPr>
            </w:pPr>
            <w:r w:rsidRPr="00D03B0C">
              <w:rPr>
                <w:b/>
              </w:rPr>
              <w:t>Year 2</w:t>
            </w:r>
          </w:p>
          <w:p w14:paraId="0D73E116" w14:textId="51B95679" w:rsidR="006A1B84" w:rsidRPr="00D03B0C" w:rsidRDefault="006A1B84" w:rsidP="006A1B84">
            <w:pPr>
              <w:jc w:val="center"/>
              <w:rPr>
                <w:b/>
              </w:rPr>
            </w:pPr>
            <w:r w:rsidRPr="00BC5F55">
              <w:rPr>
                <w:sz w:val="20"/>
                <w:szCs w:val="20"/>
              </w:rPr>
              <w:t>(2018)</w:t>
            </w:r>
          </w:p>
        </w:tc>
        <w:tc>
          <w:tcPr>
            <w:tcW w:w="790" w:type="dxa"/>
            <w:shd w:val="clear" w:color="auto" w:fill="auto"/>
            <w:vAlign w:val="center"/>
          </w:tcPr>
          <w:p w14:paraId="39D62E78" w14:textId="77777777" w:rsidR="006A1B84" w:rsidRDefault="006A1B84" w:rsidP="006A1B84">
            <w:pPr>
              <w:jc w:val="center"/>
              <w:rPr>
                <w:b/>
              </w:rPr>
            </w:pPr>
            <w:r w:rsidRPr="00D03B0C">
              <w:rPr>
                <w:b/>
              </w:rPr>
              <w:t>Year 3</w:t>
            </w:r>
          </w:p>
          <w:p w14:paraId="318EBF9E" w14:textId="68C17254" w:rsidR="006A1B84" w:rsidRPr="00D03B0C" w:rsidRDefault="006A1B84" w:rsidP="006A1B84">
            <w:pPr>
              <w:jc w:val="center"/>
              <w:rPr>
                <w:b/>
              </w:rPr>
            </w:pPr>
            <w:r w:rsidRPr="00BC5F55">
              <w:rPr>
                <w:sz w:val="20"/>
                <w:szCs w:val="20"/>
              </w:rPr>
              <w:t>(2019)</w:t>
            </w:r>
          </w:p>
        </w:tc>
        <w:tc>
          <w:tcPr>
            <w:tcW w:w="790" w:type="dxa"/>
            <w:shd w:val="clear" w:color="auto" w:fill="auto"/>
            <w:vAlign w:val="center"/>
          </w:tcPr>
          <w:p w14:paraId="5E6868A7" w14:textId="77777777" w:rsidR="006A1B84" w:rsidRDefault="006A1B84" w:rsidP="006A1B84">
            <w:pPr>
              <w:jc w:val="center"/>
              <w:rPr>
                <w:b/>
              </w:rPr>
            </w:pPr>
            <w:r w:rsidRPr="00D03B0C">
              <w:rPr>
                <w:b/>
              </w:rPr>
              <w:t>Year 4</w:t>
            </w:r>
          </w:p>
          <w:p w14:paraId="4C59D3D5" w14:textId="6683B8D7" w:rsidR="006A1B84" w:rsidRPr="00D03B0C" w:rsidRDefault="006A1B84" w:rsidP="006A1B84">
            <w:pPr>
              <w:jc w:val="center"/>
              <w:rPr>
                <w:b/>
              </w:rPr>
            </w:pPr>
            <w:r w:rsidRPr="00C94C31">
              <w:rPr>
                <w:sz w:val="20"/>
                <w:szCs w:val="20"/>
              </w:rPr>
              <w:t>(</w:t>
            </w:r>
            <w:r w:rsidRPr="00BC5F55">
              <w:rPr>
                <w:sz w:val="20"/>
                <w:szCs w:val="20"/>
              </w:rPr>
              <w:t>2020)</w:t>
            </w:r>
          </w:p>
        </w:tc>
        <w:tc>
          <w:tcPr>
            <w:tcW w:w="791" w:type="dxa"/>
            <w:shd w:val="clear" w:color="auto" w:fill="auto"/>
            <w:vAlign w:val="center"/>
          </w:tcPr>
          <w:p w14:paraId="3190011C" w14:textId="77777777" w:rsidR="006A1B84" w:rsidRDefault="006A1B84" w:rsidP="006A1B84">
            <w:pPr>
              <w:jc w:val="center"/>
              <w:rPr>
                <w:b/>
              </w:rPr>
            </w:pPr>
            <w:r w:rsidRPr="00D03B0C">
              <w:rPr>
                <w:b/>
              </w:rPr>
              <w:t>Year 5</w:t>
            </w:r>
          </w:p>
          <w:p w14:paraId="2D207E80" w14:textId="7C876257" w:rsidR="006A1B84" w:rsidRPr="00D03B0C" w:rsidRDefault="006A1B84" w:rsidP="006A1B84">
            <w:pPr>
              <w:jc w:val="center"/>
              <w:rPr>
                <w:b/>
              </w:rPr>
            </w:pPr>
            <w:r w:rsidRPr="00C94C31">
              <w:rPr>
                <w:sz w:val="20"/>
                <w:szCs w:val="20"/>
              </w:rPr>
              <w:t>(2021)</w:t>
            </w:r>
          </w:p>
        </w:tc>
      </w:tr>
      <w:tr w:rsidR="006A1B84" w14:paraId="619F7E44" w14:textId="77777777" w:rsidTr="00C2341C">
        <w:trPr>
          <w:jc w:val="center"/>
        </w:trPr>
        <w:tc>
          <w:tcPr>
            <w:tcW w:w="4297" w:type="dxa"/>
            <w:shd w:val="clear" w:color="auto" w:fill="auto"/>
          </w:tcPr>
          <w:p w14:paraId="2513CA2B" w14:textId="2686AF24" w:rsidR="006A1B84" w:rsidRPr="00D03B0C" w:rsidRDefault="006A1B84" w:rsidP="006A1B84">
            <w:pPr>
              <w:pStyle w:val="PlainText"/>
            </w:pPr>
            <w:r>
              <w:t>By 2021, of those students assessed against the general capability of critical and creative thinking, 80 percent or more will, usually or always, demonstrate appropriate knowledge, skills and dispositions.</w:t>
            </w:r>
          </w:p>
        </w:tc>
        <w:tc>
          <w:tcPr>
            <w:tcW w:w="790" w:type="dxa"/>
            <w:shd w:val="clear" w:color="auto" w:fill="808080" w:themeFill="background1" w:themeFillShade="80"/>
            <w:vAlign w:val="center"/>
          </w:tcPr>
          <w:p w14:paraId="033F8A2C" w14:textId="77777777" w:rsidR="006A1B84" w:rsidRPr="00D03B0C" w:rsidRDefault="006A1B84" w:rsidP="006A1B84"/>
        </w:tc>
        <w:tc>
          <w:tcPr>
            <w:tcW w:w="790" w:type="dxa"/>
            <w:shd w:val="clear" w:color="auto" w:fill="808080" w:themeFill="background1" w:themeFillShade="80"/>
            <w:vAlign w:val="center"/>
          </w:tcPr>
          <w:p w14:paraId="37A47674" w14:textId="77777777" w:rsidR="006A1B84" w:rsidRPr="00D03B0C" w:rsidRDefault="006A1B84" w:rsidP="006A1B84"/>
        </w:tc>
        <w:tc>
          <w:tcPr>
            <w:tcW w:w="790" w:type="dxa"/>
            <w:shd w:val="clear" w:color="auto" w:fill="808080" w:themeFill="background1" w:themeFillShade="80"/>
            <w:vAlign w:val="center"/>
          </w:tcPr>
          <w:p w14:paraId="3B610A06" w14:textId="77777777" w:rsidR="006A1B84" w:rsidRPr="00D03B0C" w:rsidRDefault="006A1B84" w:rsidP="006A1B84"/>
        </w:tc>
        <w:tc>
          <w:tcPr>
            <w:tcW w:w="790" w:type="dxa"/>
            <w:shd w:val="clear" w:color="auto" w:fill="808080" w:themeFill="background1" w:themeFillShade="80"/>
            <w:vAlign w:val="center"/>
          </w:tcPr>
          <w:p w14:paraId="14CA5668" w14:textId="77777777" w:rsidR="006A1B84" w:rsidRPr="00D03B0C" w:rsidRDefault="006A1B84" w:rsidP="006A1B84"/>
        </w:tc>
        <w:tc>
          <w:tcPr>
            <w:tcW w:w="790" w:type="dxa"/>
            <w:shd w:val="clear" w:color="auto" w:fill="auto"/>
            <w:vAlign w:val="center"/>
          </w:tcPr>
          <w:p w14:paraId="31619F89" w14:textId="77777777" w:rsidR="006A1B84" w:rsidRPr="00D03B0C" w:rsidRDefault="006A1B84" w:rsidP="006A1B84"/>
        </w:tc>
        <w:tc>
          <w:tcPr>
            <w:tcW w:w="791" w:type="dxa"/>
            <w:shd w:val="clear" w:color="auto" w:fill="auto"/>
            <w:vAlign w:val="center"/>
          </w:tcPr>
          <w:p w14:paraId="093216C0" w14:textId="17F9CCE6" w:rsidR="006A1B84" w:rsidRPr="00D03B0C" w:rsidRDefault="006A1B84" w:rsidP="006A1B84">
            <w:r>
              <w:rPr>
                <w:color w:val="00B050"/>
              </w:rPr>
              <w:t>&gt;=80%</w:t>
            </w:r>
          </w:p>
        </w:tc>
      </w:tr>
      <w:tr w:rsidR="006A1B84" w14:paraId="4B3410E5" w14:textId="77777777" w:rsidTr="00C2341C">
        <w:trPr>
          <w:jc w:val="center"/>
        </w:trPr>
        <w:tc>
          <w:tcPr>
            <w:tcW w:w="4297" w:type="dxa"/>
            <w:shd w:val="clear" w:color="auto" w:fill="auto"/>
          </w:tcPr>
          <w:p w14:paraId="3EBBF196" w14:textId="71DC26B5" w:rsidR="006A1B84" w:rsidRPr="00D03B0C" w:rsidRDefault="006A1B84" w:rsidP="006A1B84">
            <w:r>
              <w:t>By 2021, 80 percent or more of those students assessed against the general capability sub-element of “becoming confident, resilient and adaptable” will, usually or always, demonstrate this capacity.</w:t>
            </w:r>
          </w:p>
        </w:tc>
        <w:tc>
          <w:tcPr>
            <w:tcW w:w="790" w:type="dxa"/>
            <w:shd w:val="clear" w:color="auto" w:fill="808080" w:themeFill="background1" w:themeFillShade="80"/>
            <w:vAlign w:val="center"/>
          </w:tcPr>
          <w:p w14:paraId="4B2FDD23" w14:textId="77777777" w:rsidR="006A1B84" w:rsidRPr="00D03B0C" w:rsidRDefault="006A1B84" w:rsidP="006A1B84"/>
        </w:tc>
        <w:tc>
          <w:tcPr>
            <w:tcW w:w="790" w:type="dxa"/>
            <w:shd w:val="clear" w:color="auto" w:fill="808080" w:themeFill="background1" w:themeFillShade="80"/>
            <w:vAlign w:val="center"/>
          </w:tcPr>
          <w:p w14:paraId="064352CC" w14:textId="77777777" w:rsidR="006A1B84" w:rsidRPr="00D03B0C" w:rsidRDefault="006A1B84" w:rsidP="006A1B84"/>
        </w:tc>
        <w:tc>
          <w:tcPr>
            <w:tcW w:w="790" w:type="dxa"/>
            <w:shd w:val="clear" w:color="auto" w:fill="808080" w:themeFill="background1" w:themeFillShade="80"/>
            <w:vAlign w:val="center"/>
          </w:tcPr>
          <w:p w14:paraId="5FCC0FBC" w14:textId="77777777" w:rsidR="006A1B84" w:rsidRPr="00D03B0C" w:rsidRDefault="006A1B84" w:rsidP="006A1B84"/>
        </w:tc>
        <w:tc>
          <w:tcPr>
            <w:tcW w:w="790" w:type="dxa"/>
            <w:shd w:val="clear" w:color="auto" w:fill="808080" w:themeFill="background1" w:themeFillShade="80"/>
            <w:vAlign w:val="center"/>
          </w:tcPr>
          <w:p w14:paraId="32847EE8" w14:textId="77777777" w:rsidR="006A1B84" w:rsidRPr="00D03B0C" w:rsidRDefault="006A1B84" w:rsidP="006A1B84"/>
        </w:tc>
        <w:tc>
          <w:tcPr>
            <w:tcW w:w="790" w:type="dxa"/>
            <w:shd w:val="clear" w:color="auto" w:fill="auto"/>
            <w:vAlign w:val="center"/>
          </w:tcPr>
          <w:p w14:paraId="20055B6E" w14:textId="77777777" w:rsidR="006A1B84" w:rsidRPr="00D03B0C" w:rsidRDefault="006A1B84" w:rsidP="006A1B84"/>
        </w:tc>
        <w:tc>
          <w:tcPr>
            <w:tcW w:w="791" w:type="dxa"/>
            <w:shd w:val="clear" w:color="auto" w:fill="auto"/>
            <w:vAlign w:val="center"/>
          </w:tcPr>
          <w:p w14:paraId="089159F0" w14:textId="25C5EF9B" w:rsidR="006A1B84" w:rsidRPr="00D03B0C" w:rsidRDefault="006A1B84" w:rsidP="006A1B84">
            <w:r>
              <w:rPr>
                <w:color w:val="00B050"/>
              </w:rPr>
              <w:t>&gt;=80%</w:t>
            </w:r>
          </w:p>
        </w:tc>
      </w:tr>
    </w:tbl>
    <w:p w14:paraId="52E19E1C" w14:textId="77777777" w:rsidR="00C2341C" w:rsidRDefault="00C2341C" w:rsidP="00EB70CE">
      <w:pPr>
        <w:pStyle w:val="Heading4"/>
      </w:pPr>
    </w:p>
    <w:p w14:paraId="013E92D5" w14:textId="77777777" w:rsidR="00C2341C" w:rsidRDefault="00C2341C">
      <w:pPr>
        <w:rPr>
          <w:rFonts w:asciiTheme="majorHAnsi" w:eastAsiaTheme="majorEastAsia" w:hAnsiTheme="majorHAnsi" w:cstheme="majorBidi"/>
          <w:i/>
          <w:iCs/>
          <w:color w:val="1F4E79"/>
        </w:rPr>
      </w:pPr>
      <w:r>
        <w:br w:type="page"/>
      </w:r>
    </w:p>
    <w:p w14:paraId="277910B0" w14:textId="347B8232" w:rsidR="00EB70CE" w:rsidRPr="008A01DA" w:rsidRDefault="00EB70CE" w:rsidP="00EB70CE">
      <w:pPr>
        <w:pStyle w:val="Heading4"/>
      </w:pPr>
      <w:r>
        <w:lastRenderedPageBreak/>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A1B84" w14:paraId="1396D008" w14:textId="77777777" w:rsidTr="006E5B4B">
        <w:trPr>
          <w:jc w:val="center"/>
        </w:trPr>
        <w:tc>
          <w:tcPr>
            <w:tcW w:w="4297" w:type="dxa"/>
            <w:shd w:val="clear" w:color="auto" w:fill="auto"/>
          </w:tcPr>
          <w:p w14:paraId="6A81EE33" w14:textId="77777777" w:rsidR="006A1B84" w:rsidRPr="006D2F6B" w:rsidRDefault="006A1B84" w:rsidP="006A1B84">
            <w:pPr>
              <w:rPr>
                <w:b/>
              </w:rPr>
            </w:pPr>
            <w:r w:rsidRPr="006D2F6B">
              <w:rPr>
                <w:b/>
              </w:rPr>
              <w:t>Targets or Measures</w:t>
            </w:r>
          </w:p>
        </w:tc>
        <w:tc>
          <w:tcPr>
            <w:tcW w:w="790" w:type="dxa"/>
            <w:shd w:val="clear" w:color="auto" w:fill="auto"/>
            <w:vAlign w:val="center"/>
          </w:tcPr>
          <w:p w14:paraId="0CA4135E" w14:textId="77777777" w:rsidR="006A1B84" w:rsidRDefault="006A1B84" w:rsidP="006A1B84">
            <w:pPr>
              <w:jc w:val="center"/>
              <w:rPr>
                <w:b/>
              </w:rPr>
            </w:pPr>
            <w:r w:rsidRPr="00D03B0C">
              <w:rPr>
                <w:b/>
              </w:rPr>
              <w:t>Base</w:t>
            </w:r>
          </w:p>
          <w:p w14:paraId="159C188F" w14:textId="0D87B3C7" w:rsidR="006A1B84" w:rsidRPr="006D2F6B" w:rsidRDefault="006A1B84" w:rsidP="006A1B84">
            <w:pPr>
              <w:jc w:val="center"/>
              <w:rPr>
                <w:b/>
              </w:rPr>
            </w:pPr>
            <w:r w:rsidRPr="00BC5F55">
              <w:rPr>
                <w:sz w:val="20"/>
                <w:szCs w:val="20"/>
              </w:rPr>
              <w:t>(2016)</w:t>
            </w:r>
          </w:p>
        </w:tc>
        <w:tc>
          <w:tcPr>
            <w:tcW w:w="790" w:type="dxa"/>
            <w:shd w:val="clear" w:color="auto" w:fill="auto"/>
            <w:vAlign w:val="center"/>
          </w:tcPr>
          <w:p w14:paraId="236AF60F" w14:textId="77777777" w:rsidR="006A1B84" w:rsidRDefault="006A1B84" w:rsidP="006A1B84">
            <w:pPr>
              <w:jc w:val="center"/>
              <w:rPr>
                <w:b/>
              </w:rPr>
            </w:pPr>
            <w:r w:rsidRPr="00D03B0C">
              <w:rPr>
                <w:b/>
              </w:rPr>
              <w:t>Year 1</w:t>
            </w:r>
          </w:p>
          <w:p w14:paraId="2066ED5C" w14:textId="596E5575" w:rsidR="006A1B84" w:rsidRPr="006D2F6B" w:rsidRDefault="006A1B84" w:rsidP="006A1B84">
            <w:pPr>
              <w:jc w:val="center"/>
              <w:rPr>
                <w:b/>
              </w:rPr>
            </w:pPr>
            <w:r w:rsidRPr="00BC5F55">
              <w:rPr>
                <w:sz w:val="20"/>
                <w:szCs w:val="20"/>
              </w:rPr>
              <w:t>(2017)</w:t>
            </w:r>
          </w:p>
        </w:tc>
        <w:tc>
          <w:tcPr>
            <w:tcW w:w="790" w:type="dxa"/>
            <w:shd w:val="clear" w:color="auto" w:fill="auto"/>
            <w:vAlign w:val="center"/>
          </w:tcPr>
          <w:p w14:paraId="10A81662" w14:textId="77777777" w:rsidR="006A1B84" w:rsidRDefault="006A1B84" w:rsidP="006A1B84">
            <w:pPr>
              <w:jc w:val="center"/>
              <w:rPr>
                <w:b/>
              </w:rPr>
            </w:pPr>
            <w:r w:rsidRPr="00D03B0C">
              <w:rPr>
                <w:b/>
              </w:rPr>
              <w:t>Year 2</w:t>
            </w:r>
          </w:p>
          <w:p w14:paraId="27AC99DF" w14:textId="1B6F5C96" w:rsidR="006A1B84" w:rsidRPr="006D2F6B" w:rsidRDefault="006A1B84" w:rsidP="006A1B84">
            <w:pPr>
              <w:jc w:val="center"/>
              <w:rPr>
                <w:b/>
              </w:rPr>
            </w:pPr>
            <w:r w:rsidRPr="00BC5F55">
              <w:rPr>
                <w:sz w:val="20"/>
                <w:szCs w:val="20"/>
              </w:rPr>
              <w:t>(2018)</w:t>
            </w:r>
          </w:p>
        </w:tc>
        <w:tc>
          <w:tcPr>
            <w:tcW w:w="790" w:type="dxa"/>
            <w:shd w:val="clear" w:color="auto" w:fill="auto"/>
            <w:vAlign w:val="center"/>
          </w:tcPr>
          <w:p w14:paraId="145EB824" w14:textId="77777777" w:rsidR="006A1B84" w:rsidRDefault="006A1B84" w:rsidP="006A1B84">
            <w:pPr>
              <w:jc w:val="center"/>
              <w:rPr>
                <w:b/>
              </w:rPr>
            </w:pPr>
            <w:r w:rsidRPr="00D03B0C">
              <w:rPr>
                <w:b/>
              </w:rPr>
              <w:t>Year 3</w:t>
            </w:r>
          </w:p>
          <w:p w14:paraId="2397C360" w14:textId="10CAF4D4" w:rsidR="006A1B84" w:rsidRPr="006D2F6B" w:rsidRDefault="006A1B84" w:rsidP="006A1B84">
            <w:pPr>
              <w:jc w:val="center"/>
              <w:rPr>
                <w:b/>
              </w:rPr>
            </w:pPr>
            <w:r w:rsidRPr="00BC5F55">
              <w:rPr>
                <w:sz w:val="20"/>
                <w:szCs w:val="20"/>
              </w:rPr>
              <w:t>(2019)</w:t>
            </w:r>
          </w:p>
        </w:tc>
        <w:tc>
          <w:tcPr>
            <w:tcW w:w="790" w:type="dxa"/>
            <w:shd w:val="clear" w:color="auto" w:fill="auto"/>
            <w:vAlign w:val="center"/>
          </w:tcPr>
          <w:p w14:paraId="2663D623" w14:textId="77777777" w:rsidR="006A1B84" w:rsidRDefault="006A1B84" w:rsidP="006A1B84">
            <w:pPr>
              <w:jc w:val="center"/>
              <w:rPr>
                <w:b/>
              </w:rPr>
            </w:pPr>
            <w:r w:rsidRPr="00D03B0C">
              <w:rPr>
                <w:b/>
              </w:rPr>
              <w:t>Year 4</w:t>
            </w:r>
          </w:p>
          <w:p w14:paraId="102EF8AB" w14:textId="5F1AB9EE" w:rsidR="006A1B84" w:rsidRPr="006D2F6B" w:rsidRDefault="006A1B84" w:rsidP="006A1B84">
            <w:pPr>
              <w:jc w:val="center"/>
              <w:rPr>
                <w:b/>
              </w:rPr>
            </w:pPr>
            <w:r w:rsidRPr="00C94C31">
              <w:rPr>
                <w:sz w:val="20"/>
                <w:szCs w:val="20"/>
              </w:rPr>
              <w:t>(</w:t>
            </w:r>
            <w:r w:rsidRPr="00BC5F55">
              <w:rPr>
                <w:sz w:val="20"/>
                <w:szCs w:val="20"/>
              </w:rPr>
              <w:t>2020)</w:t>
            </w:r>
          </w:p>
        </w:tc>
        <w:tc>
          <w:tcPr>
            <w:tcW w:w="791" w:type="dxa"/>
            <w:shd w:val="clear" w:color="auto" w:fill="auto"/>
            <w:vAlign w:val="center"/>
          </w:tcPr>
          <w:p w14:paraId="1F2DD623" w14:textId="77777777" w:rsidR="006A1B84" w:rsidRDefault="006A1B84" w:rsidP="006A1B84">
            <w:pPr>
              <w:jc w:val="center"/>
              <w:rPr>
                <w:b/>
              </w:rPr>
            </w:pPr>
            <w:r w:rsidRPr="00D03B0C">
              <w:rPr>
                <w:b/>
              </w:rPr>
              <w:t>Year 5</w:t>
            </w:r>
          </w:p>
          <w:p w14:paraId="750673D6" w14:textId="3C7CAEEB" w:rsidR="006A1B84" w:rsidRPr="006D2F6B" w:rsidRDefault="006A1B84" w:rsidP="006A1B84">
            <w:pPr>
              <w:jc w:val="center"/>
              <w:rPr>
                <w:b/>
              </w:rPr>
            </w:pPr>
            <w:r w:rsidRPr="00C94C31">
              <w:rPr>
                <w:sz w:val="20"/>
                <w:szCs w:val="20"/>
              </w:rPr>
              <w:t>(2021)</w:t>
            </w:r>
          </w:p>
        </w:tc>
      </w:tr>
      <w:tr w:rsidR="006E5B4B" w:rsidRPr="006D2F6B" w14:paraId="6BADC38D" w14:textId="77777777" w:rsidTr="006E5B4B">
        <w:trPr>
          <w:jc w:val="center"/>
        </w:trPr>
        <w:tc>
          <w:tcPr>
            <w:tcW w:w="4297" w:type="dxa"/>
            <w:shd w:val="clear" w:color="auto" w:fill="auto"/>
          </w:tcPr>
          <w:p w14:paraId="4C886449" w14:textId="77777777" w:rsidR="006E5B4B" w:rsidRPr="006D2F6B" w:rsidRDefault="006E5B4B" w:rsidP="006E5B4B">
            <w:r>
              <w:t>The percentage of students giving a positive response to the System Survey question “Overall, I am satisfied that the school has High Expectations in all that it does” is consistently at 85 percentage points or higher in each year 2017-2021.</w:t>
            </w:r>
          </w:p>
        </w:tc>
        <w:tc>
          <w:tcPr>
            <w:tcW w:w="790" w:type="dxa"/>
            <w:shd w:val="clear" w:color="auto" w:fill="auto"/>
            <w:vAlign w:val="center"/>
          </w:tcPr>
          <w:p w14:paraId="277C2075" w14:textId="77777777" w:rsidR="006E5B4B" w:rsidRPr="006D2F6B" w:rsidRDefault="006E5B4B" w:rsidP="006E5B4B">
            <w:pPr>
              <w:jc w:val="center"/>
            </w:pPr>
            <w:r>
              <w:t>83.9%</w:t>
            </w:r>
          </w:p>
        </w:tc>
        <w:tc>
          <w:tcPr>
            <w:tcW w:w="790" w:type="dxa"/>
            <w:shd w:val="clear" w:color="auto" w:fill="auto"/>
            <w:vAlign w:val="center"/>
          </w:tcPr>
          <w:p w14:paraId="5FF5FD79" w14:textId="77777777" w:rsidR="006E5B4B" w:rsidRPr="006D2F6B" w:rsidRDefault="006E5B4B" w:rsidP="006E5B4B">
            <w:pPr>
              <w:jc w:val="center"/>
            </w:pPr>
            <w:r>
              <w:t>81.3%</w:t>
            </w:r>
          </w:p>
        </w:tc>
        <w:tc>
          <w:tcPr>
            <w:tcW w:w="790" w:type="dxa"/>
            <w:shd w:val="clear" w:color="auto" w:fill="auto"/>
            <w:vAlign w:val="center"/>
          </w:tcPr>
          <w:p w14:paraId="7B09E40B" w14:textId="77777777" w:rsidR="006E5B4B" w:rsidRPr="006D2F6B" w:rsidRDefault="006E5B4B" w:rsidP="006E5B4B">
            <w:pPr>
              <w:jc w:val="center"/>
            </w:pPr>
            <w:r>
              <w:t>74.1%</w:t>
            </w:r>
          </w:p>
        </w:tc>
        <w:tc>
          <w:tcPr>
            <w:tcW w:w="790" w:type="dxa"/>
            <w:shd w:val="clear" w:color="auto" w:fill="auto"/>
            <w:vAlign w:val="center"/>
          </w:tcPr>
          <w:p w14:paraId="457E7913" w14:textId="77777777" w:rsidR="006E5B4B" w:rsidRPr="006D2F6B" w:rsidRDefault="006E5B4B" w:rsidP="006E5B4B">
            <w:pPr>
              <w:jc w:val="center"/>
            </w:pPr>
            <w:r>
              <w:t>71.0%</w:t>
            </w:r>
          </w:p>
        </w:tc>
        <w:tc>
          <w:tcPr>
            <w:tcW w:w="790" w:type="dxa"/>
            <w:shd w:val="clear" w:color="auto" w:fill="auto"/>
            <w:vAlign w:val="center"/>
          </w:tcPr>
          <w:p w14:paraId="1FF7AA24" w14:textId="77777777" w:rsidR="006E5B4B" w:rsidRPr="006D2F6B" w:rsidRDefault="006E5B4B" w:rsidP="006E5B4B">
            <w:pPr>
              <w:jc w:val="center"/>
            </w:pPr>
          </w:p>
        </w:tc>
        <w:tc>
          <w:tcPr>
            <w:tcW w:w="791" w:type="dxa"/>
            <w:shd w:val="clear" w:color="auto" w:fill="auto"/>
            <w:vAlign w:val="center"/>
          </w:tcPr>
          <w:p w14:paraId="7B46F18E" w14:textId="77777777" w:rsidR="006E5B4B" w:rsidRPr="006D2F6B" w:rsidRDefault="006E5B4B" w:rsidP="006E5B4B">
            <w:pPr>
              <w:jc w:val="center"/>
            </w:pPr>
            <w:r>
              <w:rPr>
                <w:color w:val="00B050"/>
              </w:rPr>
              <w:t>&gt;=85%</w:t>
            </w:r>
          </w:p>
        </w:tc>
      </w:tr>
      <w:tr w:rsidR="006A1B84" w14:paraId="715AAF1C" w14:textId="77777777" w:rsidTr="00221B2E">
        <w:trPr>
          <w:jc w:val="center"/>
        </w:trPr>
        <w:tc>
          <w:tcPr>
            <w:tcW w:w="4297" w:type="dxa"/>
            <w:shd w:val="clear" w:color="auto" w:fill="auto"/>
          </w:tcPr>
          <w:p w14:paraId="49D4D229" w14:textId="77777777" w:rsidR="006A1B84" w:rsidRDefault="006A1B84" w:rsidP="006A1B84">
            <w:r w:rsidRPr="00F266E1">
              <w:t xml:space="preserve">Trend Analysis </w:t>
            </w:r>
            <w:r>
              <w:t>–</w:t>
            </w:r>
            <w:r w:rsidRPr="00F266E1">
              <w:t xml:space="preserve"> Anxiety</w:t>
            </w:r>
          </w:p>
          <w:p w14:paraId="1BB77CFA" w14:textId="048F3F5F" w:rsidR="006A1B84" w:rsidRPr="006D2F6B" w:rsidRDefault="006A1B84" w:rsidP="006A1B84">
            <w:pPr>
              <w:pStyle w:val="PlainText"/>
            </w:pPr>
            <w:r w:rsidRPr="00F266E1">
              <w:t>(Average Response)</w:t>
            </w:r>
          </w:p>
        </w:tc>
        <w:tc>
          <w:tcPr>
            <w:tcW w:w="790" w:type="dxa"/>
            <w:shd w:val="clear" w:color="auto" w:fill="auto"/>
            <w:vAlign w:val="center"/>
          </w:tcPr>
          <w:p w14:paraId="694253E4" w14:textId="674C9E8B" w:rsidR="006A1B84" w:rsidRPr="006D2F6B" w:rsidRDefault="00221B2E" w:rsidP="00221B2E">
            <w:pPr>
              <w:jc w:val="center"/>
            </w:pPr>
            <w:r>
              <w:t>2.0</w:t>
            </w:r>
          </w:p>
        </w:tc>
        <w:tc>
          <w:tcPr>
            <w:tcW w:w="790" w:type="dxa"/>
            <w:shd w:val="clear" w:color="auto" w:fill="auto"/>
            <w:vAlign w:val="center"/>
          </w:tcPr>
          <w:p w14:paraId="30994033" w14:textId="4AE9C026" w:rsidR="006A1B84" w:rsidRPr="006D2F6B" w:rsidRDefault="006A1B84" w:rsidP="00221B2E">
            <w:pPr>
              <w:jc w:val="center"/>
            </w:pPr>
            <w:r>
              <w:t>2.0</w:t>
            </w:r>
          </w:p>
        </w:tc>
        <w:tc>
          <w:tcPr>
            <w:tcW w:w="790" w:type="dxa"/>
            <w:shd w:val="clear" w:color="auto" w:fill="auto"/>
            <w:vAlign w:val="center"/>
          </w:tcPr>
          <w:p w14:paraId="0240AD5D" w14:textId="047D5DEE" w:rsidR="006A1B84" w:rsidRPr="006D2F6B" w:rsidRDefault="006A1B84" w:rsidP="00221B2E">
            <w:pPr>
              <w:jc w:val="center"/>
            </w:pPr>
            <w:r>
              <w:t>2.1</w:t>
            </w:r>
          </w:p>
        </w:tc>
        <w:tc>
          <w:tcPr>
            <w:tcW w:w="790" w:type="dxa"/>
            <w:shd w:val="clear" w:color="auto" w:fill="auto"/>
            <w:vAlign w:val="center"/>
          </w:tcPr>
          <w:p w14:paraId="06476B2E" w14:textId="3B5C8FBD" w:rsidR="006A1B84" w:rsidRPr="006D2F6B" w:rsidRDefault="00E42DA7" w:rsidP="00221B2E">
            <w:pPr>
              <w:jc w:val="center"/>
            </w:pPr>
            <w:r>
              <w:t>2.1</w:t>
            </w:r>
          </w:p>
        </w:tc>
        <w:tc>
          <w:tcPr>
            <w:tcW w:w="790" w:type="dxa"/>
            <w:shd w:val="clear" w:color="auto" w:fill="auto"/>
            <w:vAlign w:val="center"/>
          </w:tcPr>
          <w:p w14:paraId="7CE7857F" w14:textId="77777777" w:rsidR="006A1B84" w:rsidRPr="006D2F6B" w:rsidRDefault="006A1B84" w:rsidP="00221B2E">
            <w:pPr>
              <w:jc w:val="center"/>
            </w:pPr>
          </w:p>
        </w:tc>
        <w:tc>
          <w:tcPr>
            <w:tcW w:w="791" w:type="dxa"/>
            <w:shd w:val="clear" w:color="auto" w:fill="auto"/>
            <w:vAlign w:val="center"/>
          </w:tcPr>
          <w:p w14:paraId="58F95C67" w14:textId="77777777" w:rsidR="006A1B84" w:rsidRPr="006D2F6B" w:rsidRDefault="006A1B84" w:rsidP="00221B2E">
            <w:pPr>
              <w:jc w:val="center"/>
            </w:pPr>
          </w:p>
        </w:tc>
      </w:tr>
      <w:tr w:rsidR="006A1B84" w14:paraId="6DD2C688" w14:textId="77777777" w:rsidTr="00221B2E">
        <w:trPr>
          <w:jc w:val="center"/>
        </w:trPr>
        <w:tc>
          <w:tcPr>
            <w:tcW w:w="4297" w:type="dxa"/>
            <w:shd w:val="clear" w:color="auto" w:fill="auto"/>
          </w:tcPr>
          <w:p w14:paraId="2145AFC0" w14:textId="77777777" w:rsidR="006A1B84" w:rsidRDefault="006A1B84" w:rsidP="006A1B84">
            <w:r>
              <w:t>Trend Analysis - Anxiety</w:t>
            </w:r>
          </w:p>
          <w:p w14:paraId="3EFCC141" w14:textId="09740F4D" w:rsidR="006A1B84" w:rsidRPr="006D2F6B" w:rsidRDefault="006A1B84" w:rsidP="006A1B84">
            <w:r w:rsidRPr="00F266E1">
              <w:t>(% Not and Hardly True)</w:t>
            </w:r>
          </w:p>
        </w:tc>
        <w:tc>
          <w:tcPr>
            <w:tcW w:w="790" w:type="dxa"/>
            <w:shd w:val="clear" w:color="auto" w:fill="auto"/>
            <w:vAlign w:val="center"/>
          </w:tcPr>
          <w:p w14:paraId="018EACAA" w14:textId="5A7808AF" w:rsidR="006A1B84" w:rsidRPr="006D2F6B" w:rsidRDefault="006E5B4B" w:rsidP="00221B2E">
            <w:pPr>
              <w:jc w:val="center"/>
            </w:pPr>
            <w:r>
              <w:t>31.1</w:t>
            </w:r>
            <w:r w:rsidR="006A1B84">
              <w:t>%</w:t>
            </w:r>
          </w:p>
        </w:tc>
        <w:tc>
          <w:tcPr>
            <w:tcW w:w="790" w:type="dxa"/>
            <w:shd w:val="clear" w:color="auto" w:fill="auto"/>
            <w:vAlign w:val="center"/>
          </w:tcPr>
          <w:p w14:paraId="5982A543" w14:textId="3515C304" w:rsidR="006A1B84" w:rsidRPr="006D2F6B" w:rsidRDefault="006E5B4B" w:rsidP="006E5B4B">
            <w:pPr>
              <w:jc w:val="center"/>
            </w:pPr>
            <w:r>
              <w:t>30.4</w:t>
            </w:r>
            <w:r w:rsidR="006A1B84">
              <w:t>%</w:t>
            </w:r>
          </w:p>
        </w:tc>
        <w:tc>
          <w:tcPr>
            <w:tcW w:w="790" w:type="dxa"/>
            <w:shd w:val="clear" w:color="auto" w:fill="auto"/>
            <w:vAlign w:val="center"/>
          </w:tcPr>
          <w:p w14:paraId="040ADB54" w14:textId="73C0593C" w:rsidR="006A1B84" w:rsidRPr="006D2F6B" w:rsidRDefault="006E5B4B" w:rsidP="00221B2E">
            <w:pPr>
              <w:jc w:val="center"/>
            </w:pPr>
            <w:r>
              <w:t>27.9</w:t>
            </w:r>
            <w:r w:rsidR="006A1B84">
              <w:t>%</w:t>
            </w:r>
          </w:p>
        </w:tc>
        <w:tc>
          <w:tcPr>
            <w:tcW w:w="790" w:type="dxa"/>
            <w:shd w:val="clear" w:color="auto" w:fill="auto"/>
            <w:vAlign w:val="center"/>
          </w:tcPr>
          <w:p w14:paraId="2F8CD83E" w14:textId="12858520" w:rsidR="006A1B84" w:rsidRPr="006D2F6B" w:rsidRDefault="006E5B4B" w:rsidP="00221B2E">
            <w:pPr>
              <w:jc w:val="center"/>
            </w:pPr>
            <w:r>
              <w:t>28.1</w:t>
            </w:r>
            <w:r w:rsidR="00E42DA7">
              <w:t>%</w:t>
            </w:r>
          </w:p>
        </w:tc>
        <w:tc>
          <w:tcPr>
            <w:tcW w:w="790" w:type="dxa"/>
            <w:shd w:val="clear" w:color="auto" w:fill="auto"/>
            <w:vAlign w:val="center"/>
          </w:tcPr>
          <w:p w14:paraId="49509B3D" w14:textId="77777777" w:rsidR="006A1B84" w:rsidRPr="006D2F6B" w:rsidRDefault="006A1B84" w:rsidP="00221B2E">
            <w:pPr>
              <w:jc w:val="center"/>
            </w:pPr>
          </w:p>
        </w:tc>
        <w:tc>
          <w:tcPr>
            <w:tcW w:w="791" w:type="dxa"/>
            <w:shd w:val="clear" w:color="auto" w:fill="auto"/>
            <w:vAlign w:val="center"/>
          </w:tcPr>
          <w:p w14:paraId="34604F66" w14:textId="77777777" w:rsidR="006A1B84" w:rsidRPr="006D2F6B" w:rsidRDefault="006A1B84" w:rsidP="00221B2E">
            <w:pPr>
              <w:jc w:val="center"/>
            </w:pPr>
          </w:p>
        </w:tc>
      </w:tr>
      <w:tr w:rsidR="006A1B84" w14:paraId="6BCB7DC1" w14:textId="77777777" w:rsidTr="00221B2E">
        <w:trPr>
          <w:jc w:val="center"/>
        </w:trPr>
        <w:tc>
          <w:tcPr>
            <w:tcW w:w="4297" w:type="dxa"/>
            <w:shd w:val="clear" w:color="auto" w:fill="auto"/>
          </w:tcPr>
          <w:p w14:paraId="2D001E2E" w14:textId="77777777" w:rsidR="006A1B84" w:rsidRDefault="006A1B84" w:rsidP="006A1B84">
            <w:r w:rsidRPr="004A49B2">
              <w:t xml:space="preserve">Trend Analysis </w:t>
            </w:r>
            <w:r>
              <w:t>–</w:t>
            </w:r>
            <w:r w:rsidRPr="004A49B2">
              <w:t xml:space="preserve"> Depression</w:t>
            </w:r>
          </w:p>
          <w:p w14:paraId="086A90F4" w14:textId="789295DD" w:rsidR="006A1B84" w:rsidRPr="006D2F6B" w:rsidRDefault="006A1B84" w:rsidP="006A1B84">
            <w:r w:rsidRPr="004A49B2">
              <w:t>(Average Response)</w:t>
            </w:r>
          </w:p>
        </w:tc>
        <w:tc>
          <w:tcPr>
            <w:tcW w:w="790" w:type="dxa"/>
            <w:shd w:val="clear" w:color="auto" w:fill="auto"/>
            <w:vAlign w:val="center"/>
          </w:tcPr>
          <w:p w14:paraId="7B47A2F3" w14:textId="1928A784" w:rsidR="006A1B84" w:rsidRPr="006D2F6B" w:rsidRDefault="00221B2E" w:rsidP="00221B2E">
            <w:pPr>
              <w:jc w:val="center"/>
            </w:pPr>
            <w:r>
              <w:t>2.0</w:t>
            </w:r>
          </w:p>
        </w:tc>
        <w:tc>
          <w:tcPr>
            <w:tcW w:w="790" w:type="dxa"/>
            <w:shd w:val="clear" w:color="auto" w:fill="auto"/>
            <w:vAlign w:val="center"/>
          </w:tcPr>
          <w:p w14:paraId="06433AF8" w14:textId="60303E62" w:rsidR="006A1B84" w:rsidRPr="006D2F6B" w:rsidRDefault="006A1B84" w:rsidP="00221B2E">
            <w:pPr>
              <w:jc w:val="center"/>
            </w:pPr>
            <w:r>
              <w:t>2.1</w:t>
            </w:r>
          </w:p>
        </w:tc>
        <w:tc>
          <w:tcPr>
            <w:tcW w:w="790" w:type="dxa"/>
            <w:shd w:val="clear" w:color="auto" w:fill="auto"/>
            <w:vAlign w:val="center"/>
          </w:tcPr>
          <w:p w14:paraId="5C39E4C7" w14:textId="35D60EEB" w:rsidR="006A1B84" w:rsidRPr="006D2F6B" w:rsidRDefault="006A1B84" w:rsidP="00221B2E">
            <w:pPr>
              <w:jc w:val="center"/>
            </w:pPr>
            <w:r>
              <w:t>2.4</w:t>
            </w:r>
          </w:p>
        </w:tc>
        <w:tc>
          <w:tcPr>
            <w:tcW w:w="790" w:type="dxa"/>
            <w:shd w:val="clear" w:color="auto" w:fill="auto"/>
            <w:vAlign w:val="center"/>
          </w:tcPr>
          <w:p w14:paraId="340A9856" w14:textId="24CE124C" w:rsidR="006A1B84" w:rsidRPr="006D2F6B" w:rsidRDefault="00E42DA7" w:rsidP="00221B2E">
            <w:pPr>
              <w:jc w:val="center"/>
            </w:pPr>
            <w:r>
              <w:t>2.</w:t>
            </w:r>
            <w:r w:rsidR="00221B2E">
              <w:t>5</w:t>
            </w:r>
          </w:p>
        </w:tc>
        <w:tc>
          <w:tcPr>
            <w:tcW w:w="790" w:type="dxa"/>
            <w:shd w:val="clear" w:color="auto" w:fill="auto"/>
            <w:vAlign w:val="center"/>
          </w:tcPr>
          <w:p w14:paraId="1582E041" w14:textId="77777777" w:rsidR="006A1B84" w:rsidRPr="006D2F6B" w:rsidRDefault="006A1B84" w:rsidP="00221B2E">
            <w:pPr>
              <w:jc w:val="center"/>
            </w:pPr>
          </w:p>
        </w:tc>
        <w:tc>
          <w:tcPr>
            <w:tcW w:w="791" w:type="dxa"/>
            <w:shd w:val="clear" w:color="auto" w:fill="auto"/>
            <w:vAlign w:val="center"/>
          </w:tcPr>
          <w:p w14:paraId="58E1DC41" w14:textId="77777777" w:rsidR="006A1B84" w:rsidRPr="006D2F6B" w:rsidRDefault="006A1B84" w:rsidP="00221B2E">
            <w:pPr>
              <w:jc w:val="center"/>
            </w:pPr>
          </w:p>
        </w:tc>
      </w:tr>
      <w:tr w:rsidR="006A1B84" w14:paraId="2D0BEB07" w14:textId="77777777" w:rsidTr="00221B2E">
        <w:trPr>
          <w:jc w:val="center"/>
        </w:trPr>
        <w:tc>
          <w:tcPr>
            <w:tcW w:w="4297" w:type="dxa"/>
            <w:shd w:val="clear" w:color="auto" w:fill="auto"/>
          </w:tcPr>
          <w:p w14:paraId="700714A0" w14:textId="77777777" w:rsidR="006A1B84" w:rsidRDefault="006A1B84" w:rsidP="006A1B84">
            <w:r w:rsidRPr="004A49B2">
              <w:t xml:space="preserve">Trend Analysis </w:t>
            </w:r>
            <w:r>
              <w:t>–</w:t>
            </w:r>
            <w:r w:rsidRPr="004A49B2">
              <w:t xml:space="preserve"> Depression</w:t>
            </w:r>
          </w:p>
          <w:p w14:paraId="208844DA" w14:textId="5915D5A5" w:rsidR="006A1B84" w:rsidRPr="006D2F6B" w:rsidRDefault="006A1B84" w:rsidP="006A1B84">
            <w:r w:rsidRPr="004A49B2">
              <w:t>(%</w:t>
            </w:r>
            <w:r w:rsidR="00221B2E">
              <w:t xml:space="preserve"> </w:t>
            </w:r>
            <w:r w:rsidR="00221B2E" w:rsidRPr="00221B2E">
              <w:t>Applies Sometimes and Does not Apply</w:t>
            </w:r>
            <w:r w:rsidRPr="004A49B2">
              <w:t>)</w:t>
            </w:r>
          </w:p>
        </w:tc>
        <w:tc>
          <w:tcPr>
            <w:tcW w:w="790" w:type="dxa"/>
            <w:shd w:val="clear" w:color="auto" w:fill="auto"/>
            <w:vAlign w:val="center"/>
          </w:tcPr>
          <w:p w14:paraId="26C61A64" w14:textId="7A7C4D5F" w:rsidR="006A1B84" w:rsidRPr="006D2F6B" w:rsidRDefault="00221B2E" w:rsidP="00221B2E">
            <w:pPr>
              <w:jc w:val="center"/>
            </w:pPr>
            <w:r>
              <w:t>57.3</w:t>
            </w:r>
            <w:r w:rsidR="006A1B84">
              <w:t>%</w:t>
            </w:r>
          </w:p>
        </w:tc>
        <w:tc>
          <w:tcPr>
            <w:tcW w:w="790" w:type="dxa"/>
            <w:shd w:val="clear" w:color="auto" w:fill="auto"/>
            <w:vAlign w:val="center"/>
          </w:tcPr>
          <w:p w14:paraId="18EF34D7" w14:textId="6E34FCA2" w:rsidR="006A1B84" w:rsidRPr="006D2F6B" w:rsidRDefault="00221B2E" w:rsidP="00221B2E">
            <w:pPr>
              <w:jc w:val="center"/>
            </w:pPr>
            <w:r>
              <w:t>58.4</w:t>
            </w:r>
            <w:r w:rsidR="006A1B84">
              <w:t>%</w:t>
            </w:r>
          </w:p>
        </w:tc>
        <w:tc>
          <w:tcPr>
            <w:tcW w:w="790" w:type="dxa"/>
            <w:shd w:val="clear" w:color="auto" w:fill="auto"/>
            <w:vAlign w:val="center"/>
          </w:tcPr>
          <w:p w14:paraId="2BCACCA9" w14:textId="36D35CCE" w:rsidR="006A1B84" w:rsidRPr="006D2F6B" w:rsidRDefault="00221B2E" w:rsidP="00221B2E">
            <w:pPr>
              <w:jc w:val="center"/>
            </w:pPr>
            <w:r>
              <w:t>63.7</w:t>
            </w:r>
            <w:r w:rsidR="006A1B84">
              <w:t>%</w:t>
            </w:r>
          </w:p>
        </w:tc>
        <w:tc>
          <w:tcPr>
            <w:tcW w:w="790" w:type="dxa"/>
            <w:shd w:val="clear" w:color="auto" w:fill="auto"/>
            <w:vAlign w:val="center"/>
          </w:tcPr>
          <w:p w14:paraId="1E1A3DD9" w14:textId="60492546" w:rsidR="006A1B84" w:rsidRPr="006D2F6B" w:rsidRDefault="006E5B4B" w:rsidP="00221B2E">
            <w:pPr>
              <w:jc w:val="center"/>
            </w:pPr>
            <w:r>
              <w:t>54.1</w:t>
            </w:r>
            <w:r w:rsidR="00E42DA7">
              <w:t>%</w:t>
            </w:r>
          </w:p>
        </w:tc>
        <w:tc>
          <w:tcPr>
            <w:tcW w:w="790" w:type="dxa"/>
            <w:shd w:val="clear" w:color="auto" w:fill="auto"/>
            <w:vAlign w:val="center"/>
          </w:tcPr>
          <w:p w14:paraId="6FC36820" w14:textId="77777777" w:rsidR="006A1B84" w:rsidRPr="006D2F6B" w:rsidRDefault="006A1B84" w:rsidP="00221B2E">
            <w:pPr>
              <w:jc w:val="center"/>
            </w:pPr>
          </w:p>
        </w:tc>
        <w:tc>
          <w:tcPr>
            <w:tcW w:w="791" w:type="dxa"/>
            <w:shd w:val="clear" w:color="auto" w:fill="auto"/>
            <w:vAlign w:val="center"/>
          </w:tcPr>
          <w:p w14:paraId="367E799A" w14:textId="77777777" w:rsidR="006A1B84" w:rsidRPr="006D2F6B" w:rsidRDefault="006A1B84" w:rsidP="00221B2E">
            <w:pPr>
              <w:jc w:val="center"/>
            </w:pPr>
          </w:p>
        </w:tc>
      </w:tr>
      <w:tr w:rsidR="006A1B84" w14:paraId="2D57C262" w14:textId="77777777" w:rsidTr="00221B2E">
        <w:trPr>
          <w:jc w:val="center"/>
        </w:trPr>
        <w:tc>
          <w:tcPr>
            <w:tcW w:w="4297" w:type="dxa"/>
            <w:shd w:val="clear" w:color="auto" w:fill="auto"/>
          </w:tcPr>
          <w:p w14:paraId="1502B99C" w14:textId="77777777" w:rsidR="006A1B84" w:rsidRDefault="006A1B84" w:rsidP="006A1B84">
            <w:r w:rsidRPr="004A49B2">
              <w:t xml:space="preserve">Trend Analysis </w:t>
            </w:r>
            <w:r>
              <w:t>–</w:t>
            </w:r>
            <w:r w:rsidRPr="004A49B2">
              <w:t xml:space="preserve"> </w:t>
            </w:r>
            <w:r>
              <w:t>Positive Affect</w:t>
            </w:r>
          </w:p>
          <w:p w14:paraId="7DEB6955" w14:textId="249744F4" w:rsidR="006A1B84" w:rsidRPr="006D2F6B" w:rsidRDefault="006A1B84" w:rsidP="006A1B84">
            <w:r w:rsidRPr="004A49B2">
              <w:t>(Average Response)</w:t>
            </w:r>
          </w:p>
        </w:tc>
        <w:tc>
          <w:tcPr>
            <w:tcW w:w="790" w:type="dxa"/>
            <w:shd w:val="clear" w:color="auto" w:fill="auto"/>
            <w:vAlign w:val="center"/>
          </w:tcPr>
          <w:p w14:paraId="4B34CAEE" w14:textId="440A4000" w:rsidR="006A1B84" w:rsidRPr="006D2F6B" w:rsidRDefault="00E8506E" w:rsidP="00221B2E">
            <w:pPr>
              <w:jc w:val="center"/>
            </w:pPr>
            <w:r>
              <w:t>2.2</w:t>
            </w:r>
          </w:p>
        </w:tc>
        <w:tc>
          <w:tcPr>
            <w:tcW w:w="790" w:type="dxa"/>
            <w:shd w:val="clear" w:color="auto" w:fill="auto"/>
            <w:vAlign w:val="center"/>
          </w:tcPr>
          <w:p w14:paraId="4359D96A" w14:textId="7390DFD4" w:rsidR="006A1B84" w:rsidRPr="006D2F6B" w:rsidRDefault="006A1B84" w:rsidP="00221B2E">
            <w:pPr>
              <w:jc w:val="center"/>
            </w:pPr>
            <w:r>
              <w:t>2.2</w:t>
            </w:r>
          </w:p>
        </w:tc>
        <w:tc>
          <w:tcPr>
            <w:tcW w:w="790" w:type="dxa"/>
            <w:shd w:val="clear" w:color="auto" w:fill="auto"/>
            <w:vAlign w:val="center"/>
          </w:tcPr>
          <w:p w14:paraId="68F67FE3" w14:textId="17E7CDFD" w:rsidR="006A1B84" w:rsidRPr="006D2F6B" w:rsidRDefault="006A1B84" w:rsidP="00221B2E">
            <w:pPr>
              <w:jc w:val="center"/>
            </w:pPr>
            <w:r>
              <w:t>3.8</w:t>
            </w:r>
          </w:p>
        </w:tc>
        <w:tc>
          <w:tcPr>
            <w:tcW w:w="790" w:type="dxa"/>
            <w:shd w:val="clear" w:color="auto" w:fill="auto"/>
            <w:vAlign w:val="center"/>
          </w:tcPr>
          <w:p w14:paraId="53951323" w14:textId="72E87901" w:rsidR="006A1B84" w:rsidRPr="006D2F6B" w:rsidRDefault="00A5506F" w:rsidP="00221B2E">
            <w:pPr>
              <w:jc w:val="center"/>
            </w:pPr>
            <w:r>
              <w:t>3.8</w:t>
            </w:r>
          </w:p>
        </w:tc>
        <w:tc>
          <w:tcPr>
            <w:tcW w:w="790" w:type="dxa"/>
            <w:shd w:val="clear" w:color="auto" w:fill="auto"/>
            <w:vAlign w:val="center"/>
          </w:tcPr>
          <w:p w14:paraId="190C003B" w14:textId="77777777" w:rsidR="006A1B84" w:rsidRPr="006D2F6B" w:rsidRDefault="006A1B84" w:rsidP="00221B2E">
            <w:pPr>
              <w:jc w:val="center"/>
            </w:pPr>
          </w:p>
        </w:tc>
        <w:tc>
          <w:tcPr>
            <w:tcW w:w="791" w:type="dxa"/>
            <w:shd w:val="clear" w:color="auto" w:fill="auto"/>
            <w:vAlign w:val="center"/>
          </w:tcPr>
          <w:p w14:paraId="7C719B17" w14:textId="77777777" w:rsidR="006A1B84" w:rsidRPr="006D2F6B" w:rsidRDefault="006A1B84" w:rsidP="00221B2E">
            <w:pPr>
              <w:jc w:val="center"/>
            </w:pPr>
          </w:p>
        </w:tc>
      </w:tr>
      <w:tr w:rsidR="004B66FC" w14:paraId="2A01C4AA" w14:textId="77777777" w:rsidTr="004B66FC">
        <w:trPr>
          <w:jc w:val="center"/>
        </w:trPr>
        <w:tc>
          <w:tcPr>
            <w:tcW w:w="4297" w:type="dxa"/>
            <w:shd w:val="clear" w:color="auto" w:fill="auto"/>
          </w:tcPr>
          <w:p w14:paraId="32D6340F" w14:textId="77777777" w:rsidR="004B66FC" w:rsidRDefault="004B66FC" w:rsidP="006A1B84">
            <w:r w:rsidRPr="004A49B2">
              <w:t xml:space="preserve">Trend Analysis </w:t>
            </w:r>
            <w:r>
              <w:t>–</w:t>
            </w:r>
            <w:r w:rsidRPr="004A49B2">
              <w:t xml:space="preserve"> </w:t>
            </w:r>
            <w:r>
              <w:t>Positive Affect</w:t>
            </w:r>
          </w:p>
          <w:p w14:paraId="3B6060FB" w14:textId="5E97F26C" w:rsidR="004B66FC" w:rsidRPr="006D2F6B" w:rsidRDefault="004B66FC" w:rsidP="006A1B84">
            <w:r>
              <w:t>(</w:t>
            </w:r>
            <w:r w:rsidRPr="00965DF9">
              <w:t>% Most and All of the time</w:t>
            </w:r>
            <w:r w:rsidRPr="004A49B2">
              <w:t>)</w:t>
            </w:r>
          </w:p>
        </w:tc>
        <w:tc>
          <w:tcPr>
            <w:tcW w:w="790" w:type="dxa"/>
            <w:shd w:val="clear" w:color="auto" w:fill="808080" w:themeFill="background1" w:themeFillShade="80"/>
            <w:vAlign w:val="center"/>
          </w:tcPr>
          <w:p w14:paraId="7B755452" w14:textId="64E86135" w:rsidR="004B66FC" w:rsidRPr="006D2F6B" w:rsidRDefault="004B66FC" w:rsidP="00221B2E">
            <w:pPr>
              <w:jc w:val="center"/>
            </w:pPr>
          </w:p>
        </w:tc>
        <w:tc>
          <w:tcPr>
            <w:tcW w:w="790" w:type="dxa"/>
            <w:shd w:val="clear" w:color="auto" w:fill="auto"/>
            <w:vAlign w:val="center"/>
          </w:tcPr>
          <w:p w14:paraId="5F30D781" w14:textId="7C2152A2" w:rsidR="004B66FC" w:rsidRPr="006D2F6B" w:rsidRDefault="004B66FC" w:rsidP="00221B2E">
            <w:pPr>
              <w:jc w:val="center"/>
            </w:pPr>
            <w:r>
              <w:t>18.7%</w:t>
            </w:r>
          </w:p>
        </w:tc>
        <w:tc>
          <w:tcPr>
            <w:tcW w:w="790" w:type="dxa"/>
            <w:shd w:val="clear" w:color="auto" w:fill="auto"/>
            <w:vAlign w:val="center"/>
          </w:tcPr>
          <w:p w14:paraId="6FC86AAB" w14:textId="256C0764" w:rsidR="004B66FC" w:rsidRPr="006D2F6B" w:rsidRDefault="004B66FC" w:rsidP="00221B2E">
            <w:pPr>
              <w:jc w:val="center"/>
            </w:pPr>
            <w:r>
              <w:t>37.2%</w:t>
            </w:r>
          </w:p>
        </w:tc>
        <w:tc>
          <w:tcPr>
            <w:tcW w:w="790" w:type="dxa"/>
            <w:shd w:val="clear" w:color="auto" w:fill="auto"/>
            <w:vAlign w:val="center"/>
          </w:tcPr>
          <w:p w14:paraId="76B11728" w14:textId="08ED2FE9" w:rsidR="004B66FC" w:rsidRPr="006D2F6B" w:rsidRDefault="004B66FC" w:rsidP="004B66FC">
            <w:pPr>
              <w:jc w:val="center"/>
            </w:pPr>
            <w:r>
              <w:t>34.3%</w:t>
            </w:r>
          </w:p>
        </w:tc>
        <w:tc>
          <w:tcPr>
            <w:tcW w:w="790" w:type="dxa"/>
            <w:shd w:val="clear" w:color="auto" w:fill="auto"/>
            <w:vAlign w:val="center"/>
          </w:tcPr>
          <w:p w14:paraId="02D24F3F" w14:textId="77777777" w:rsidR="004B66FC" w:rsidRPr="006D2F6B" w:rsidRDefault="004B66FC" w:rsidP="00221B2E">
            <w:pPr>
              <w:jc w:val="center"/>
            </w:pPr>
          </w:p>
        </w:tc>
        <w:tc>
          <w:tcPr>
            <w:tcW w:w="791" w:type="dxa"/>
            <w:shd w:val="clear" w:color="auto" w:fill="auto"/>
            <w:vAlign w:val="center"/>
          </w:tcPr>
          <w:p w14:paraId="5936E526" w14:textId="77777777" w:rsidR="004B66FC" w:rsidRPr="006D2F6B" w:rsidRDefault="004B66FC" w:rsidP="00221B2E">
            <w:pPr>
              <w:jc w:val="center"/>
            </w:pPr>
          </w:p>
        </w:tc>
      </w:tr>
      <w:tr w:rsidR="006A1B84" w14:paraId="6E2B74F4" w14:textId="77777777" w:rsidTr="00221B2E">
        <w:trPr>
          <w:jc w:val="center"/>
        </w:trPr>
        <w:tc>
          <w:tcPr>
            <w:tcW w:w="4297" w:type="dxa"/>
            <w:shd w:val="clear" w:color="auto" w:fill="auto"/>
          </w:tcPr>
          <w:p w14:paraId="7E78E19B" w14:textId="77777777" w:rsidR="006A1B84" w:rsidRDefault="006A1B84" w:rsidP="006A1B84">
            <w:r w:rsidRPr="004A49B2">
              <w:t xml:space="preserve">Trend Analysis </w:t>
            </w:r>
            <w:r>
              <w:t>–</w:t>
            </w:r>
            <w:r w:rsidRPr="004A49B2">
              <w:t xml:space="preserve"> Resilience</w:t>
            </w:r>
          </w:p>
          <w:p w14:paraId="134B0C1B" w14:textId="7E73E513" w:rsidR="006A1B84" w:rsidRPr="006D2F6B" w:rsidRDefault="006A1B84" w:rsidP="006A1B84">
            <w:r w:rsidRPr="004A49B2">
              <w:t>(Average Response)</w:t>
            </w:r>
          </w:p>
        </w:tc>
        <w:tc>
          <w:tcPr>
            <w:tcW w:w="790" w:type="dxa"/>
            <w:shd w:val="clear" w:color="auto" w:fill="808080" w:themeFill="background1" w:themeFillShade="80"/>
            <w:vAlign w:val="center"/>
          </w:tcPr>
          <w:p w14:paraId="411C33C9" w14:textId="77777777" w:rsidR="006A1B84" w:rsidRPr="006D2F6B" w:rsidRDefault="006A1B84" w:rsidP="00221B2E">
            <w:pPr>
              <w:jc w:val="center"/>
            </w:pPr>
          </w:p>
        </w:tc>
        <w:tc>
          <w:tcPr>
            <w:tcW w:w="790" w:type="dxa"/>
            <w:shd w:val="clear" w:color="auto" w:fill="auto"/>
            <w:vAlign w:val="center"/>
          </w:tcPr>
          <w:p w14:paraId="71FB86E6" w14:textId="67F0DD66" w:rsidR="006A1B84" w:rsidRPr="006D2F6B" w:rsidRDefault="00221B2E" w:rsidP="00221B2E">
            <w:pPr>
              <w:jc w:val="center"/>
            </w:pPr>
            <w:r>
              <w:t>2.0</w:t>
            </w:r>
          </w:p>
        </w:tc>
        <w:tc>
          <w:tcPr>
            <w:tcW w:w="790" w:type="dxa"/>
            <w:shd w:val="clear" w:color="auto" w:fill="auto"/>
            <w:vAlign w:val="center"/>
          </w:tcPr>
          <w:p w14:paraId="59732070" w14:textId="760A2738" w:rsidR="006A1B84" w:rsidRPr="006D2F6B" w:rsidRDefault="006A1B84" w:rsidP="00221B2E">
            <w:pPr>
              <w:jc w:val="center"/>
            </w:pPr>
            <w:r>
              <w:t>3.</w:t>
            </w:r>
            <w:r w:rsidR="00221B2E">
              <w:t>1</w:t>
            </w:r>
          </w:p>
        </w:tc>
        <w:tc>
          <w:tcPr>
            <w:tcW w:w="790" w:type="dxa"/>
            <w:shd w:val="clear" w:color="auto" w:fill="auto"/>
            <w:vAlign w:val="center"/>
          </w:tcPr>
          <w:p w14:paraId="30B03E55" w14:textId="7DB8EBCF" w:rsidR="006A1B84" w:rsidRPr="006D2F6B" w:rsidRDefault="00A5506F" w:rsidP="00221B2E">
            <w:pPr>
              <w:jc w:val="center"/>
            </w:pPr>
            <w:r>
              <w:t>3.3</w:t>
            </w:r>
          </w:p>
        </w:tc>
        <w:tc>
          <w:tcPr>
            <w:tcW w:w="790" w:type="dxa"/>
            <w:shd w:val="clear" w:color="auto" w:fill="auto"/>
            <w:vAlign w:val="center"/>
          </w:tcPr>
          <w:p w14:paraId="74540DF4" w14:textId="77777777" w:rsidR="006A1B84" w:rsidRPr="006D2F6B" w:rsidRDefault="006A1B84" w:rsidP="00221B2E">
            <w:pPr>
              <w:jc w:val="center"/>
            </w:pPr>
          </w:p>
        </w:tc>
        <w:tc>
          <w:tcPr>
            <w:tcW w:w="791" w:type="dxa"/>
            <w:shd w:val="clear" w:color="auto" w:fill="auto"/>
            <w:vAlign w:val="center"/>
          </w:tcPr>
          <w:p w14:paraId="57A849FE" w14:textId="77777777" w:rsidR="006A1B84" w:rsidRPr="006D2F6B" w:rsidRDefault="006A1B84" w:rsidP="00221B2E">
            <w:pPr>
              <w:jc w:val="center"/>
            </w:pPr>
          </w:p>
        </w:tc>
      </w:tr>
      <w:tr w:rsidR="006A1B84" w14:paraId="3F81BE72" w14:textId="77777777" w:rsidTr="00221B2E">
        <w:trPr>
          <w:jc w:val="center"/>
        </w:trPr>
        <w:tc>
          <w:tcPr>
            <w:tcW w:w="4297" w:type="dxa"/>
            <w:shd w:val="clear" w:color="auto" w:fill="auto"/>
          </w:tcPr>
          <w:p w14:paraId="4FBCA10A" w14:textId="77777777" w:rsidR="006A1B84" w:rsidRDefault="006A1B84" w:rsidP="006A1B84">
            <w:r w:rsidRPr="004A49B2">
              <w:t xml:space="preserve">Trend Analysis </w:t>
            </w:r>
            <w:r>
              <w:t>–</w:t>
            </w:r>
            <w:r w:rsidRPr="004A49B2">
              <w:t xml:space="preserve"> Resilience</w:t>
            </w:r>
          </w:p>
          <w:p w14:paraId="7AC0D0A1" w14:textId="127ADAF8" w:rsidR="006A1B84" w:rsidRPr="006D2F6B" w:rsidRDefault="006A1B84" w:rsidP="006A1B84">
            <w:r w:rsidRPr="004A49B2">
              <w:t>(% Strong)</w:t>
            </w:r>
          </w:p>
        </w:tc>
        <w:tc>
          <w:tcPr>
            <w:tcW w:w="790" w:type="dxa"/>
            <w:shd w:val="clear" w:color="auto" w:fill="808080" w:themeFill="background1" w:themeFillShade="80"/>
            <w:vAlign w:val="center"/>
          </w:tcPr>
          <w:p w14:paraId="5210A0BB" w14:textId="77777777" w:rsidR="006A1B84" w:rsidRPr="006D2F6B" w:rsidRDefault="006A1B84" w:rsidP="00221B2E">
            <w:pPr>
              <w:jc w:val="center"/>
            </w:pPr>
          </w:p>
        </w:tc>
        <w:tc>
          <w:tcPr>
            <w:tcW w:w="790" w:type="dxa"/>
            <w:shd w:val="clear" w:color="auto" w:fill="auto"/>
            <w:vAlign w:val="center"/>
          </w:tcPr>
          <w:p w14:paraId="62F303AB" w14:textId="35C9D79F" w:rsidR="006A1B84" w:rsidRPr="006D2F6B" w:rsidRDefault="006E5B4B" w:rsidP="006E5B4B">
            <w:pPr>
              <w:jc w:val="center"/>
            </w:pPr>
            <w:r>
              <w:t>8.7</w:t>
            </w:r>
            <w:r w:rsidR="006A1B84">
              <w:t>%</w:t>
            </w:r>
          </w:p>
        </w:tc>
        <w:tc>
          <w:tcPr>
            <w:tcW w:w="790" w:type="dxa"/>
            <w:shd w:val="clear" w:color="auto" w:fill="auto"/>
            <w:vAlign w:val="center"/>
          </w:tcPr>
          <w:p w14:paraId="1FE099E1" w14:textId="0F59E4A4" w:rsidR="006A1B84" w:rsidRPr="006D2F6B" w:rsidRDefault="006A1B84" w:rsidP="006E5B4B">
            <w:pPr>
              <w:jc w:val="center"/>
            </w:pPr>
            <w:r>
              <w:t>3</w:t>
            </w:r>
            <w:r w:rsidR="006E5B4B">
              <w:t>6.9</w:t>
            </w:r>
            <w:r>
              <w:t>%</w:t>
            </w:r>
          </w:p>
        </w:tc>
        <w:tc>
          <w:tcPr>
            <w:tcW w:w="790" w:type="dxa"/>
            <w:shd w:val="clear" w:color="auto" w:fill="auto"/>
            <w:vAlign w:val="center"/>
          </w:tcPr>
          <w:p w14:paraId="067C0FA7" w14:textId="07494ABF" w:rsidR="006A1B84" w:rsidRPr="006D2F6B" w:rsidRDefault="006E5B4B" w:rsidP="006E5B4B">
            <w:pPr>
              <w:jc w:val="center"/>
            </w:pPr>
            <w:r>
              <w:t>37.6</w:t>
            </w:r>
            <w:r w:rsidR="00A5506F">
              <w:t>%</w:t>
            </w:r>
          </w:p>
        </w:tc>
        <w:tc>
          <w:tcPr>
            <w:tcW w:w="790" w:type="dxa"/>
            <w:shd w:val="clear" w:color="auto" w:fill="auto"/>
            <w:vAlign w:val="center"/>
          </w:tcPr>
          <w:p w14:paraId="60713502" w14:textId="77777777" w:rsidR="006A1B84" w:rsidRPr="006D2F6B" w:rsidRDefault="006A1B84" w:rsidP="00221B2E">
            <w:pPr>
              <w:jc w:val="center"/>
            </w:pPr>
          </w:p>
        </w:tc>
        <w:tc>
          <w:tcPr>
            <w:tcW w:w="791" w:type="dxa"/>
            <w:shd w:val="clear" w:color="auto" w:fill="auto"/>
            <w:vAlign w:val="center"/>
          </w:tcPr>
          <w:p w14:paraId="720B8888" w14:textId="77777777" w:rsidR="006A1B84" w:rsidRPr="006D2F6B" w:rsidRDefault="006A1B84" w:rsidP="00221B2E">
            <w:pPr>
              <w:jc w:val="center"/>
            </w:pPr>
          </w:p>
        </w:tc>
      </w:tr>
      <w:tr w:rsidR="006A1B84" w14:paraId="639D3E46" w14:textId="77777777" w:rsidTr="00D6113C">
        <w:trPr>
          <w:jc w:val="center"/>
        </w:trPr>
        <w:tc>
          <w:tcPr>
            <w:tcW w:w="4297" w:type="dxa"/>
            <w:shd w:val="clear" w:color="auto" w:fill="auto"/>
          </w:tcPr>
          <w:p w14:paraId="7C14D183" w14:textId="1F189A65" w:rsidR="006A1B84" w:rsidRPr="006D2F6B" w:rsidRDefault="006A1B84" w:rsidP="006A1B84">
            <w:r>
              <w:t>The percentage of students who ranked anxiety levels as needing improvement using the ASCSIMT is reduced from 24 percent in 2016 to 19 percent or lower by 2021.</w:t>
            </w:r>
          </w:p>
        </w:tc>
        <w:tc>
          <w:tcPr>
            <w:tcW w:w="790" w:type="dxa"/>
            <w:shd w:val="clear" w:color="auto" w:fill="auto"/>
            <w:vAlign w:val="center"/>
          </w:tcPr>
          <w:p w14:paraId="45B6972F" w14:textId="0DE7D25C" w:rsidR="006A1B84" w:rsidRPr="006D2F6B" w:rsidRDefault="006A1B84" w:rsidP="00221B2E">
            <w:pPr>
              <w:jc w:val="center"/>
            </w:pPr>
            <w:r>
              <w:t>24%</w:t>
            </w:r>
          </w:p>
        </w:tc>
        <w:tc>
          <w:tcPr>
            <w:tcW w:w="790" w:type="dxa"/>
            <w:shd w:val="clear" w:color="auto" w:fill="auto"/>
            <w:vAlign w:val="center"/>
          </w:tcPr>
          <w:p w14:paraId="08D2C503" w14:textId="117DD9B5" w:rsidR="006A1B84" w:rsidRPr="006D2F6B" w:rsidRDefault="006A1B84" w:rsidP="00221B2E">
            <w:pPr>
              <w:jc w:val="center"/>
            </w:pPr>
            <w:r>
              <w:t>25%</w:t>
            </w:r>
          </w:p>
        </w:tc>
        <w:tc>
          <w:tcPr>
            <w:tcW w:w="790" w:type="dxa"/>
            <w:shd w:val="clear" w:color="auto" w:fill="808080" w:themeFill="background1" w:themeFillShade="80"/>
            <w:vAlign w:val="center"/>
          </w:tcPr>
          <w:p w14:paraId="18DCBCE3" w14:textId="77777777" w:rsidR="006A1B84" w:rsidRPr="006D2F6B" w:rsidRDefault="006A1B84" w:rsidP="00221B2E">
            <w:pPr>
              <w:jc w:val="center"/>
            </w:pPr>
          </w:p>
        </w:tc>
        <w:tc>
          <w:tcPr>
            <w:tcW w:w="790" w:type="dxa"/>
            <w:shd w:val="clear" w:color="auto" w:fill="808080" w:themeFill="background1" w:themeFillShade="80"/>
            <w:vAlign w:val="center"/>
          </w:tcPr>
          <w:p w14:paraId="67471E2A" w14:textId="77777777" w:rsidR="006A1B84" w:rsidRPr="006D2F6B" w:rsidRDefault="006A1B84" w:rsidP="00221B2E">
            <w:pPr>
              <w:jc w:val="center"/>
            </w:pPr>
          </w:p>
        </w:tc>
        <w:tc>
          <w:tcPr>
            <w:tcW w:w="790" w:type="dxa"/>
            <w:shd w:val="clear" w:color="auto" w:fill="auto"/>
            <w:vAlign w:val="center"/>
          </w:tcPr>
          <w:p w14:paraId="2E5D18F6" w14:textId="77777777" w:rsidR="006A1B84" w:rsidRPr="006D2F6B" w:rsidRDefault="006A1B84" w:rsidP="00221B2E">
            <w:pPr>
              <w:jc w:val="center"/>
            </w:pPr>
          </w:p>
        </w:tc>
        <w:tc>
          <w:tcPr>
            <w:tcW w:w="791" w:type="dxa"/>
            <w:shd w:val="clear" w:color="auto" w:fill="auto"/>
            <w:vAlign w:val="center"/>
          </w:tcPr>
          <w:p w14:paraId="449357D4" w14:textId="2415B6C5" w:rsidR="006A1B84" w:rsidRPr="006D2F6B" w:rsidRDefault="006A1B84" w:rsidP="00221B2E">
            <w:pPr>
              <w:jc w:val="center"/>
            </w:pPr>
            <w:r>
              <w:rPr>
                <w:color w:val="00B050"/>
              </w:rPr>
              <w:t>&lt;=19%</w:t>
            </w:r>
          </w:p>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A1B84" w14:paraId="18FB16D9" w14:textId="77777777" w:rsidTr="006E5B4B">
        <w:trPr>
          <w:jc w:val="center"/>
        </w:trPr>
        <w:tc>
          <w:tcPr>
            <w:tcW w:w="4297" w:type="dxa"/>
            <w:shd w:val="clear" w:color="auto" w:fill="auto"/>
          </w:tcPr>
          <w:p w14:paraId="78C0C329" w14:textId="77777777" w:rsidR="006A1B84" w:rsidRPr="006D2F6B" w:rsidRDefault="006A1B84" w:rsidP="006A1B84">
            <w:pPr>
              <w:rPr>
                <w:b/>
              </w:rPr>
            </w:pPr>
            <w:r w:rsidRPr="006D2F6B">
              <w:rPr>
                <w:b/>
              </w:rPr>
              <w:t>Targets or Measures</w:t>
            </w:r>
          </w:p>
        </w:tc>
        <w:tc>
          <w:tcPr>
            <w:tcW w:w="790" w:type="dxa"/>
            <w:shd w:val="clear" w:color="auto" w:fill="auto"/>
            <w:vAlign w:val="center"/>
          </w:tcPr>
          <w:p w14:paraId="3A82B472" w14:textId="77777777" w:rsidR="006A1B84" w:rsidRDefault="006A1B84" w:rsidP="006A1B84">
            <w:pPr>
              <w:jc w:val="center"/>
              <w:rPr>
                <w:b/>
              </w:rPr>
            </w:pPr>
            <w:r w:rsidRPr="00D03B0C">
              <w:rPr>
                <w:b/>
              </w:rPr>
              <w:t>Base</w:t>
            </w:r>
          </w:p>
          <w:p w14:paraId="160BF761" w14:textId="435154AD" w:rsidR="006A1B84" w:rsidRPr="006D2F6B" w:rsidRDefault="006A1B84" w:rsidP="006A1B84">
            <w:pPr>
              <w:jc w:val="center"/>
              <w:rPr>
                <w:b/>
              </w:rPr>
            </w:pPr>
            <w:r w:rsidRPr="00BC5F55">
              <w:rPr>
                <w:sz w:val="20"/>
                <w:szCs w:val="20"/>
              </w:rPr>
              <w:t>(2016)</w:t>
            </w:r>
          </w:p>
        </w:tc>
        <w:tc>
          <w:tcPr>
            <w:tcW w:w="790" w:type="dxa"/>
            <w:shd w:val="clear" w:color="auto" w:fill="auto"/>
            <w:vAlign w:val="center"/>
          </w:tcPr>
          <w:p w14:paraId="4CDEC3D5" w14:textId="77777777" w:rsidR="006A1B84" w:rsidRDefault="006A1B84" w:rsidP="006A1B84">
            <w:pPr>
              <w:jc w:val="center"/>
              <w:rPr>
                <w:b/>
              </w:rPr>
            </w:pPr>
            <w:r w:rsidRPr="00D03B0C">
              <w:rPr>
                <w:b/>
              </w:rPr>
              <w:t>Year 1</w:t>
            </w:r>
          </w:p>
          <w:p w14:paraId="641E04E6" w14:textId="190B97BA" w:rsidR="006A1B84" w:rsidRPr="006D2F6B" w:rsidRDefault="006A1B84" w:rsidP="006A1B84">
            <w:pPr>
              <w:jc w:val="center"/>
              <w:rPr>
                <w:b/>
              </w:rPr>
            </w:pPr>
            <w:r w:rsidRPr="00BC5F55">
              <w:rPr>
                <w:sz w:val="20"/>
                <w:szCs w:val="20"/>
              </w:rPr>
              <w:t>(2017)</w:t>
            </w:r>
          </w:p>
        </w:tc>
        <w:tc>
          <w:tcPr>
            <w:tcW w:w="790" w:type="dxa"/>
            <w:shd w:val="clear" w:color="auto" w:fill="auto"/>
            <w:vAlign w:val="center"/>
          </w:tcPr>
          <w:p w14:paraId="5F8EBB67" w14:textId="77777777" w:rsidR="006A1B84" w:rsidRDefault="006A1B84" w:rsidP="006A1B84">
            <w:pPr>
              <w:jc w:val="center"/>
              <w:rPr>
                <w:b/>
              </w:rPr>
            </w:pPr>
            <w:r w:rsidRPr="00D03B0C">
              <w:rPr>
                <w:b/>
              </w:rPr>
              <w:t>Year 2</w:t>
            </w:r>
          </w:p>
          <w:p w14:paraId="6EAEE263" w14:textId="01B83C9B" w:rsidR="006A1B84" w:rsidRPr="006D2F6B" w:rsidRDefault="006A1B84" w:rsidP="006A1B84">
            <w:pPr>
              <w:jc w:val="center"/>
              <w:rPr>
                <w:b/>
              </w:rPr>
            </w:pPr>
            <w:r w:rsidRPr="00BC5F55">
              <w:rPr>
                <w:sz w:val="20"/>
                <w:szCs w:val="20"/>
              </w:rPr>
              <w:t>(2018)</w:t>
            </w:r>
          </w:p>
        </w:tc>
        <w:tc>
          <w:tcPr>
            <w:tcW w:w="790" w:type="dxa"/>
            <w:shd w:val="clear" w:color="auto" w:fill="auto"/>
            <w:vAlign w:val="center"/>
          </w:tcPr>
          <w:p w14:paraId="7033705A" w14:textId="77777777" w:rsidR="006A1B84" w:rsidRDefault="006A1B84" w:rsidP="006A1B84">
            <w:pPr>
              <w:jc w:val="center"/>
              <w:rPr>
                <w:b/>
              </w:rPr>
            </w:pPr>
            <w:r w:rsidRPr="00D03B0C">
              <w:rPr>
                <w:b/>
              </w:rPr>
              <w:t>Year 3</w:t>
            </w:r>
          </w:p>
          <w:p w14:paraId="462FF350" w14:textId="006A27A8" w:rsidR="006A1B84" w:rsidRPr="006D2F6B" w:rsidRDefault="006A1B84" w:rsidP="006A1B84">
            <w:pPr>
              <w:jc w:val="center"/>
              <w:rPr>
                <w:b/>
              </w:rPr>
            </w:pPr>
            <w:r w:rsidRPr="00BC5F55">
              <w:rPr>
                <w:sz w:val="20"/>
                <w:szCs w:val="20"/>
              </w:rPr>
              <w:t>(2019)</w:t>
            </w:r>
          </w:p>
        </w:tc>
        <w:tc>
          <w:tcPr>
            <w:tcW w:w="790" w:type="dxa"/>
            <w:shd w:val="clear" w:color="auto" w:fill="auto"/>
            <w:vAlign w:val="center"/>
          </w:tcPr>
          <w:p w14:paraId="62B386FC" w14:textId="77777777" w:rsidR="006A1B84" w:rsidRDefault="006A1B84" w:rsidP="006A1B84">
            <w:pPr>
              <w:jc w:val="center"/>
              <w:rPr>
                <w:b/>
              </w:rPr>
            </w:pPr>
            <w:r w:rsidRPr="00D03B0C">
              <w:rPr>
                <w:b/>
              </w:rPr>
              <w:t>Year 4</w:t>
            </w:r>
          </w:p>
          <w:p w14:paraId="38962DF0" w14:textId="1C4E534A" w:rsidR="006A1B84" w:rsidRPr="006D2F6B" w:rsidRDefault="006A1B84" w:rsidP="006A1B84">
            <w:pPr>
              <w:jc w:val="center"/>
              <w:rPr>
                <w:b/>
              </w:rPr>
            </w:pPr>
            <w:r w:rsidRPr="00C94C31">
              <w:rPr>
                <w:sz w:val="20"/>
                <w:szCs w:val="20"/>
              </w:rPr>
              <w:t>(</w:t>
            </w:r>
            <w:r w:rsidRPr="00BC5F55">
              <w:rPr>
                <w:sz w:val="20"/>
                <w:szCs w:val="20"/>
              </w:rPr>
              <w:t>2020)</w:t>
            </w:r>
          </w:p>
        </w:tc>
        <w:tc>
          <w:tcPr>
            <w:tcW w:w="791" w:type="dxa"/>
            <w:shd w:val="clear" w:color="auto" w:fill="auto"/>
            <w:vAlign w:val="center"/>
          </w:tcPr>
          <w:p w14:paraId="75F3F768" w14:textId="77777777" w:rsidR="006A1B84" w:rsidRDefault="006A1B84" w:rsidP="006A1B84">
            <w:pPr>
              <w:jc w:val="center"/>
              <w:rPr>
                <w:b/>
              </w:rPr>
            </w:pPr>
            <w:r w:rsidRPr="00D03B0C">
              <w:rPr>
                <w:b/>
              </w:rPr>
              <w:t>Year 5</w:t>
            </w:r>
          </w:p>
          <w:p w14:paraId="746D1CE9" w14:textId="2B675601" w:rsidR="006A1B84" w:rsidRPr="006D2F6B" w:rsidRDefault="006A1B84" w:rsidP="006A1B84">
            <w:pPr>
              <w:jc w:val="center"/>
              <w:rPr>
                <w:b/>
              </w:rPr>
            </w:pPr>
            <w:r w:rsidRPr="00C94C31">
              <w:rPr>
                <w:sz w:val="20"/>
                <w:szCs w:val="20"/>
              </w:rPr>
              <w:t>(2021)</w:t>
            </w:r>
          </w:p>
        </w:tc>
      </w:tr>
      <w:tr w:rsidR="005E0960" w14:paraId="1A210E0B" w14:textId="77777777" w:rsidTr="00D6113C">
        <w:trPr>
          <w:jc w:val="center"/>
        </w:trPr>
        <w:tc>
          <w:tcPr>
            <w:tcW w:w="4297" w:type="dxa"/>
            <w:shd w:val="clear" w:color="auto" w:fill="auto"/>
          </w:tcPr>
          <w:p w14:paraId="73A85493" w14:textId="4F9F0415" w:rsidR="005E0960" w:rsidRPr="006D2F6B" w:rsidRDefault="005E0960" w:rsidP="005E0960">
            <w:pPr>
              <w:pStyle w:val="PlainText"/>
            </w:pPr>
            <w:r>
              <w:t>The percentage of students who ranked anxiety levels as needing improvement using the ASCSIMT is reduced from 24 percent in 2016 to 19 percent or lower by 2021.</w:t>
            </w:r>
          </w:p>
        </w:tc>
        <w:tc>
          <w:tcPr>
            <w:tcW w:w="790" w:type="dxa"/>
            <w:shd w:val="clear" w:color="auto" w:fill="auto"/>
            <w:vAlign w:val="center"/>
          </w:tcPr>
          <w:p w14:paraId="1BC19220" w14:textId="226C6768" w:rsidR="005E0960" w:rsidRPr="006D2F6B" w:rsidRDefault="005E0960" w:rsidP="00CA02EE">
            <w:pPr>
              <w:jc w:val="center"/>
            </w:pPr>
            <w:r>
              <w:t>24%</w:t>
            </w:r>
          </w:p>
        </w:tc>
        <w:tc>
          <w:tcPr>
            <w:tcW w:w="790" w:type="dxa"/>
            <w:shd w:val="clear" w:color="auto" w:fill="auto"/>
            <w:vAlign w:val="center"/>
          </w:tcPr>
          <w:p w14:paraId="6C0F9FE0" w14:textId="33C7C917" w:rsidR="005E0960" w:rsidRPr="006D2F6B" w:rsidRDefault="005E0960" w:rsidP="00CA02EE">
            <w:pPr>
              <w:jc w:val="center"/>
            </w:pPr>
            <w:r>
              <w:t>25%</w:t>
            </w:r>
          </w:p>
        </w:tc>
        <w:tc>
          <w:tcPr>
            <w:tcW w:w="790" w:type="dxa"/>
            <w:shd w:val="clear" w:color="auto" w:fill="808080" w:themeFill="background1" w:themeFillShade="80"/>
            <w:vAlign w:val="center"/>
          </w:tcPr>
          <w:p w14:paraId="2E7554CE" w14:textId="77777777" w:rsidR="005E0960" w:rsidRPr="006D2F6B" w:rsidRDefault="005E0960" w:rsidP="00CA02EE">
            <w:pPr>
              <w:jc w:val="center"/>
            </w:pPr>
          </w:p>
        </w:tc>
        <w:tc>
          <w:tcPr>
            <w:tcW w:w="790" w:type="dxa"/>
            <w:shd w:val="clear" w:color="auto" w:fill="808080" w:themeFill="background1" w:themeFillShade="80"/>
            <w:vAlign w:val="center"/>
          </w:tcPr>
          <w:p w14:paraId="66432333" w14:textId="77777777" w:rsidR="005E0960" w:rsidRPr="006D2F6B" w:rsidRDefault="005E0960" w:rsidP="00CA02EE">
            <w:pPr>
              <w:jc w:val="center"/>
            </w:pPr>
          </w:p>
        </w:tc>
        <w:tc>
          <w:tcPr>
            <w:tcW w:w="790" w:type="dxa"/>
            <w:shd w:val="clear" w:color="auto" w:fill="auto"/>
            <w:vAlign w:val="center"/>
          </w:tcPr>
          <w:p w14:paraId="38AA367E" w14:textId="77777777" w:rsidR="005E0960" w:rsidRPr="006D2F6B" w:rsidRDefault="005E0960" w:rsidP="00CA02EE">
            <w:pPr>
              <w:jc w:val="center"/>
            </w:pPr>
          </w:p>
        </w:tc>
        <w:tc>
          <w:tcPr>
            <w:tcW w:w="791" w:type="dxa"/>
            <w:shd w:val="clear" w:color="auto" w:fill="auto"/>
            <w:vAlign w:val="center"/>
          </w:tcPr>
          <w:p w14:paraId="74F946E1" w14:textId="127A35B3" w:rsidR="005E0960" w:rsidRPr="006D2F6B" w:rsidRDefault="005E0960" w:rsidP="00CA02EE">
            <w:pPr>
              <w:jc w:val="center"/>
            </w:pPr>
            <w:r>
              <w:rPr>
                <w:color w:val="00B050"/>
              </w:rPr>
              <w:t>&lt;=19%</w:t>
            </w:r>
          </w:p>
        </w:tc>
      </w:tr>
      <w:tr w:rsidR="005E0960" w14:paraId="5C5005AD" w14:textId="77777777" w:rsidTr="00CC24A3">
        <w:trPr>
          <w:jc w:val="center"/>
        </w:trPr>
        <w:tc>
          <w:tcPr>
            <w:tcW w:w="4297" w:type="dxa"/>
            <w:shd w:val="clear" w:color="auto" w:fill="auto"/>
          </w:tcPr>
          <w:p w14:paraId="0124697B" w14:textId="1D2C6943" w:rsidR="005E0960" w:rsidRPr="006D2F6B" w:rsidRDefault="005E0960" w:rsidP="005E0960">
            <w:r>
              <w:t>By 2021, 80 percent or more of those students assessed against the general capability sub-element of “becoming confident, resilient and adaptable” will, usually or always, demonstrate this capacity.</w:t>
            </w:r>
          </w:p>
        </w:tc>
        <w:tc>
          <w:tcPr>
            <w:tcW w:w="790" w:type="dxa"/>
            <w:shd w:val="clear" w:color="auto" w:fill="808080" w:themeFill="background1" w:themeFillShade="80"/>
            <w:vAlign w:val="center"/>
          </w:tcPr>
          <w:p w14:paraId="6CEF50F9" w14:textId="77777777" w:rsidR="005E0960" w:rsidRPr="006D2F6B" w:rsidRDefault="005E0960" w:rsidP="00CA02EE">
            <w:pPr>
              <w:jc w:val="center"/>
            </w:pPr>
          </w:p>
        </w:tc>
        <w:tc>
          <w:tcPr>
            <w:tcW w:w="790" w:type="dxa"/>
            <w:shd w:val="clear" w:color="auto" w:fill="808080" w:themeFill="background1" w:themeFillShade="80"/>
            <w:vAlign w:val="center"/>
          </w:tcPr>
          <w:p w14:paraId="340250A0" w14:textId="77777777" w:rsidR="005E0960" w:rsidRPr="006D2F6B" w:rsidRDefault="005E0960" w:rsidP="00CA02EE">
            <w:pPr>
              <w:jc w:val="center"/>
            </w:pPr>
          </w:p>
        </w:tc>
        <w:tc>
          <w:tcPr>
            <w:tcW w:w="790" w:type="dxa"/>
            <w:shd w:val="clear" w:color="auto" w:fill="808080" w:themeFill="background1" w:themeFillShade="80"/>
            <w:vAlign w:val="center"/>
          </w:tcPr>
          <w:p w14:paraId="57DBEC5B" w14:textId="77777777" w:rsidR="005E0960" w:rsidRPr="006D2F6B" w:rsidRDefault="005E0960" w:rsidP="00CA02EE">
            <w:pPr>
              <w:jc w:val="center"/>
            </w:pPr>
          </w:p>
        </w:tc>
        <w:tc>
          <w:tcPr>
            <w:tcW w:w="790" w:type="dxa"/>
            <w:shd w:val="clear" w:color="auto" w:fill="808080" w:themeFill="background1" w:themeFillShade="80"/>
            <w:vAlign w:val="center"/>
          </w:tcPr>
          <w:p w14:paraId="2B073DEB" w14:textId="77777777" w:rsidR="005E0960" w:rsidRPr="006D2F6B" w:rsidRDefault="005E0960" w:rsidP="00CA02EE">
            <w:pPr>
              <w:jc w:val="center"/>
            </w:pPr>
          </w:p>
        </w:tc>
        <w:tc>
          <w:tcPr>
            <w:tcW w:w="790" w:type="dxa"/>
            <w:shd w:val="clear" w:color="auto" w:fill="auto"/>
            <w:vAlign w:val="center"/>
          </w:tcPr>
          <w:p w14:paraId="4FDF3890" w14:textId="77777777" w:rsidR="005E0960" w:rsidRPr="006D2F6B" w:rsidRDefault="005E0960" w:rsidP="00CA02EE">
            <w:pPr>
              <w:jc w:val="center"/>
            </w:pPr>
          </w:p>
        </w:tc>
        <w:tc>
          <w:tcPr>
            <w:tcW w:w="791" w:type="dxa"/>
            <w:shd w:val="clear" w:color="auto" w:fill="auto"/>
            <w:vAlign w:val="center"/>
          </w:tcPr>
          <w:p w14:paraId="4189BE22" w14:textId="4BCEE750" w:rsidR="005E0960" w:rsidRPr="006D2F6B" w:rsidRDefault="005E0960" w:rsidP="00CA02EE">
            <w:pPr>
              <w:jc w:val="center"/>
            </w:pPr>
            <w:r>
              <w:rPr>
                <w:color w:val="00B050"/>
              </w:rPr>
              <w:t>&gt;=80%</w:t>
            </w: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6DC17791" w14:textId="392B0ED7" w:rsidR="006E5B4B" w:rsidRPr="00481439" w:rsidRDefault="004B66FC" w:rsidP="006E5B4B">
            <w:pPr>
              <w:pStyle w:val="PlainText"/>
              <w:rPr>
                <w:b/>
                <w:bCs/>
              </w:rPr>
            </w:pPr>
            <w:r>
              <w:rPr>
                <w:b/>
                <w:bCs/>
              </w:rPr>
              <w:t>Student s</w:t>
            </w:r>
            <w:r w:rsidRPr="004B66FC">
              <w:rPr>
                <w:b/>
                <w:bCs/>
              </w:rPr>
              <w:t>atisf</w:t>
            </w:r>
            <w:r>
              <w:rPr>
                <w:b/>
                <w:bCs/>
              </w:rPr>
              <w:t xml:space="preserve">action </w:t>
            </w:r>
            <w:r w:rsidRPr="004B66FC">
              <w:rPr>
                <w:b/>
                <w:bCs/>
              </w:rPr>
              <w:t xml:space="preserve">that the school has </w:t>
            </w:r>
            <w:r>
              <w:rPr>
                <w:b/>
                <w:bCs/>
              </w:rPr>
              <w:t>h</w:t>
            </w:r>
            <w:r w:rsidRPr="004B66FC">
              <w:rPr>
                <w:b/>
                <w:bCs/>
              </w:rPr>
              <w:t xml:space="preserve">igh </w:t>
            </w:r>
            <w:r>
              <w:rPr>
                <w:b/>
                <w:bCs/>
              </w:rPr>
              <w:t>e</w:t>
            </w:r>
            <w:r w:rsidRPr="004B66FC">
              <w:rPr>
                <w:b/>
                <w:bCs/>
              </w:rPr>
              <w:t>xpectations</w:t>
            </w:r>
          </w:p>
          <w:p w14:paraId="3EC3F43C" w14:textId="30501EA1" w:rsidR="00BF3A62" w:rsidRDefault="004B66FC" w:rsidP="006E5B4B">
            <w:pPr>
              <w:pStyle w:val="PlainText"/>
              <w:ind w:left="1"/>
              <w:jc w:val="center"/>
              <w:rPr>
                <w:noProof/>
                <w:lang w:eastAsia="en-AU"/>
              </w:rPr>
            </w:pPr>
            <w:r>
              <w:rPr>
                <w:noProof/>
                <w:lang w:eastAsia="en-AU"/>
              </w:rPr>
              <w:drawing>
                <wp:inline distT="0" distB="0" distL="0" distR="0" wp14:anchorId="3409DE52" wp14:editId="4CA6A5F6">
                  <wp:extent cx="2772000" cy="1463579"/>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72000" cy="1463579"/>
                          </a:xfrm>
                          <a:prstGeom prst="rect">
                            <a:avLst/>
                          </a:prstGeom>
                        </pic:spPr>
                      </pic:pic>
                    </a:graphicData>
                  </a:graphic>
                </wp:inline>
              </w:drawing>
            </w:r>
          </w:p>
          <w:p w14:paraId="67BDF5B5" w14:textId="6DB3D8C7" w:rsidR="00BF3A62" w:rsidRPr="00BF3A62" w:rsidRDefault="00BF3A62" w:rsidP="006E5B4B">
            <w:pPr>
              <w:pStyle w:val="PlainText"/>
              <w:ind w:left="1"/>
              <w:jc w:val="center"/>
              <w:rPr>
                <w:noProof/>
                <w:sz w:val="16"/>
                <w:szCs w:val="16"/>
                <w:lang w:eastAsia="en-AU"/>
              </w:rPr>
            </w:pPr>
            <w:r>
              <w:rPr>
                <w:noProof/>
                <w:lang w:eastAsia="en-AU"/>
              </w:rPr>
              <w:drawing>
                <wp:inline distT="0" distB="0" distL="0" distR="0" wp14:anchorId="27902FBF" wp14:editId="618489FA">
                  <wp:extent cx="1620000" cy="1080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20000" cy="108000"/>
                          </a:xfrm>
                          <a:prstGeom prst="rect">
                            <a:avLst/>
                          </a:prstGeom>
                        </pic:spPr>
                      </pic:pic>
                    </a:graphicData>
                  </a:graphic>
                </wp:inline>
              </w:drawing>
            </w:r>
          </w:p>
          <w:p w14:paraId="6688E8BF" w14:textId="56E1F5BE" w:rsidR="006E5B4B" w:rsidRDefault="006E5B4B" w:rsidP="006E5B4B">
            <w:pPr>
              <w:pStyle w:val="PlainText"/>
              <w:ind w:left="1"/>
              <w:jc w:val="center"/>
            </w:pPr>
          </w:p>
          <w:p w14:paraId="3039B5D8" w14:textId="02A9BA80" w:rsidR="004B66FC" w:rsidRDefault="00BF3A62" w:rsidP="006E5B4B">
            <w:pPr>
              <w:pStyle w:val="PlainText"/>
              <w:ind w:left="1"/>
              <w:jc w:val="center"/>
            </w:pPr>
            <w:r>
              <w:rPr>
                <w:noProof/>
                <w:lang w:eastAsia="en-AU"/>
              </w:rPr>
              <w:drawing>
                <wp:inline distT="0" distB="0" distL="0" distR="0" wp14:anchorId="04F91B20" wp14:editId="63923BF7">
                  <wp:extent cx="2772000" cy="8631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72000" cy="863132"/>
                          </a:xfrm>
                          <a:prstGeom prst="rect">
                            <a:avLst/>
                          </a:prstGeom>
                        </pic:spPr>
                      </pic:pic>
                    </a:graphicData>
                  </a:graphic>
                </wp:inline>
              </w:drawing>
            </w:r>
          </w:p>
          <w:p w14:paraId="4FA5EB70" w14:textId="77777777" w:rsidR="006E5B4B" w:rsidRDefault="006E5B4B" w:rsidP="006E5B4B">
            <w:pPr>
              <w:pStyle w:val="PlainText"/>
            </w:pPr>
          </w:p>
          <w:p w14:paraId="68F979FB" w14:textId="265841C7" w:rsidR="006E5B4B" w:rsidRDefault="006E5B4B" w:rsidP="004B66FC">
            <w:pPr>
              <w:pStyle w:val="PlainText"/>
            </w:pPr>
            <w:r>
              <w:t>The 2019 student survey results and Qualtrics trend analysis show</w:t>
            </w:r>
            <w:r w:rsidR="00CA02EE">
              <w:t>:</w:t>
            </w:r>
          </w:p>
          <w:p w14:paraId="7370604B" w14:textId="6EE44D82" w:rsidR="00EB70CE" w:rsidRDefault="002841C7" w:rsidP="002841C7">
            <w:pPr>
              <w:pStyle w:val="PlainText"/>
              <w:numPr>
                <w:ilvl w:val="0"/>
                <w:numId w:val="2"/>
              </w:numPr>
              <w:ind w:left="426" w:hanging="425"/>
            </w:pPr>
            <w:r>
              <w:t xml:space="preserve">that the percentage of students who have indicated overall satisfaction </w:t>
            </w:r>
            <w:r w:rsidRPr="004B66FC">
              <w:t>that the school has high expectations</w:t>
            </w:r>
            <w:r>
              <w:t xml:space="preserve"> by either strongly agreeing or agreeing with </w:t>
            </w:r>
            <w:r w:rsidR="00AC01EB">
              <w:t xml:space="preserve">the </w:t>
            </w:r>
            <w:r>
              <w:t>survey item has decreased to 71.0% following a trend downwards over the last three years.</w:t>
            </w:r>
          </w:p>
          <w:p w14:paraId="0DED5C32" w14:textId="77777777" w:rsidR="002841C7" w:rsidRDefault="002841C7" w:rsidP="00AC01EB">
            <w:pPr>
              <w:pStyle w:val="PlainText"/>
              <w:numPr>
                <w:ilvl w:val="0"/>
                <w:numId w:val="2"/>
              </w:numPr>
              <w:ind w:left="426" w:hanging="425"/>
            </w:pPr>
            <w:r>
              <w:t xml:space="preserve">that the percentage of students who have indicated overall </w:t>
            </w:r>
            <w:r w:rsidRPr="002841C7">
              <w:t>dissatisfaction</w:t>
            </w:r>
            <w:r>
              <w:t xml:space="preserve"> </w:t>
            </w:r>
            <w:r w:rsidRPr="004B66FC">
              <w:t>that the school has high expectations</w:t>
            </w:r>
            <w:r>
              <w:t xml:space="preserve"> by either strongly </w:t>
            </w:r>
            <w:r w:rsidR="00AC01EB">
              <w:t>dis</w:t>
            </w:r>
            <w:r>
              <w:t xml:space="preserve">agreeing or </w:t>
            </w:r>
            <w:r w:rsidR="00AC01EB">
              <w:t>dis</w:t>
            </w:r>
            <w:r>
              <w:t xml:space="preserve">agreeing with </w:t>
            </w:r>
            <w:r w:rsidR="00AC01EB">
              <w:t xml:space="preserve">the </w:t>
            </w:r>
            <w:r>
              <w:t xml:space="preserve">survey item </w:t>
            </w:r>
            <w:r w:rsidR="00AC01EB">
              <w:t>i</w:t>
            </w:r>
            <w:r>
              <w:t>s</w:t>
            </w:r>
            <w:r w:rsidR="00AC01EB">
              <w:t xml:space="preserve"> 4</w:t>
            </w:r>
            <w:r>
              <w:t>.0%</w:t>
            </w:r>
          </w:p>
          <w:p w14:paraId="65F6B192" w14:textId="77777777" w:rsidR="00CA02EE" w:rsidRDefault="00CA02EE" w:rsidP="00CA02EE">
            <w:pPr>
              <w:pStyle w:val="PlainText"/>
            </w:pPr>
          </w:p>
          <w:p w14:paraId="440722DA" w14:textId="550C213A" w:rsidR="00CA02EE" w:rsidRPr="00481439" w:rsidRDefault="00CA02EE" w:rsidP="00CA02EE">
            <w:pPr>
              <w:pStyle w:val="PlainText"/>
              <w:rPr>
                <w:b/>
                <w:bCs/>
              </w:rPr>
            </w:pPr>
            <w:r>
              <w:rPr>
                <w:b/>
                <w:bCs/>
              </w:rPr>
              <w:t>Anxiety</w:t>
            </w:r>
          </w:p>
          <w:p w14:paraId="61876051" w14:textId="77777777" w:rsidR="00CA02EE" w:rsidRDefault="00CA02EE" w:rsidP="00CA02EE">
            <w:pPr>
              <w:pStyle w:val="PlainText"/>
            </w:pPr>
            <w:r>
              <w:t>The Anxiety scale assesses autonomic arousal, skeletal muscle effects, situational anxiety, and subjective experience of anxious affect. Students were asked to use 4-point frequency scales to rate the extent to which they have experienced each state over the past week.</w:t>
            </w:r>
          </w:p>
          <w:p w14:paraId="2186F88A" w14:textId="5A227E71" w:rsidR="00CA02EE" w:rsidRDefault="00C2341C" w:rsidP="00C2341C">
            <w:pPr>
              <w:pStyle w:val="PlainText"/>
              <w:jc w:val="center"/>
            </w:pPr>
            <w:r>
              <w:rPr>
                <w:noProof/>
                <w:lang w:eastAsia="en-AU"/>
              </w:rPr>
              <w:drawing>
                <wp:inline distT="0" distB="0" distL="0" distR="0" wp14:anchorId="7468F5C9" wp14:editId="2C1F73F9">
                  <wp:extent cx="3060000" cy="1572134"/>
                  <wp:effectExtent l="0" t="0" r="7620" b="9525"/>
                  <wp:docPr id="32" name="Picture 32" descr="D:\Rob\Downloads\dashboard-export-03-28-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ob\Downloads\dashboard-export-03-28-pm-2020-07-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000" cy="1572134"/>
                          </a:xfrm>
                          <a:prstGeom prst="rect">
                            <a:avLst/>
                          </a:prstGeom>
                          <a:noFill/>
                          <a:ln>
                            <a:noFill/>
                          </a:ln>
                        </pic:spPr>
                      </pic:pic>
                    </a:graphicData>
                  </a:graphic>
                </wp:inline>
              </w:drawing>
            </w:r>
            <w:r>
              <w:rPr>
                <w:noProof/>
                <w:lang w:eastAsia="en-AU"/>
              </w:rPr>
              <w:drawing>
                <wp:inline distT="0" distB="0" distL="0" distR="0" wp14:anchorId="0CB5DA33" wp14:editId="439C1133">
                  <wp:extent cx="2772000" cy="1186225"/>
                  <wp:effectExtent l="0" t="0" r="9525" b="0"/>
                  <wp:docPr id="33" name="Picture 33" descr="D:\Rob\Downloads\dashboard-export-03-29-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ob\Downloads\dashboard-export-03-29-pm-2020-07-1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r w:rsidR="00D12200">
              <w:t xml:space="preserve"> </w:t>
            </w:r>
            <w:r>
              <w:rPr>
                <w:noProof/>
                <w:lang w:eastAsia="en-AU"/>
              </w:rPr>
              <w:drawing>
                <wp:inline distT="0" distB="0" distL="0" distR="0" wp14:anchorId="280ABDF8" wp14:editId="12CD380C">
                  <wp:extent cx="2772000" cy="1186225"/>
                  <wp:effectExtent l="0" t="0" r="9525" b="0"/>
                  <wp:docPr id="34" name="Picture 34" descr="D:\Rob\Downloads\dashboard-export-03-29-pm-2020-07-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ob\Downloads\dashboard-export-03-29-pm-2020-07-19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p>
          <w:p w14:paraId="340D153A" w14:textId="76C369C6" w:rsidR="00CA02EE" w:rsidRDefault="00CA02EE" w:rsidP="00CA02EE">
            <w:pPr>
              <w:pStyle w:val="PlainText"/>
            </w:pPr>
            <w:r>
              <w:t>The 2019 student survey results and Qualtrics trend analysis for Anxiety show:</w:t>
            </w:r>
          </w:p>
          <w:p w14:paraId="74F42038" w14:textId="6A892B48" w:rsidR="00CA02EE" w:rsidRDefault="00C2341C" w:rsidP="00C2341C">
            <w:pPr>
              <w:pStyle w:val="PlainText"/>
              <w:numPr>
                <w:ilvl w:val="0"/>
                <w:numId w:val="2"/>
              </w:numPr>
              <w:ind w:left="426" w:hanging="425"/>
            </w:pPr>
            <w:r w:rsidRPr="00C2341C">
              <w:t>that the average response to survey item</w:t>
            </w:r>
            <w:r>
              <w:t>s has remained steady at 2</w:t>
            </w:r>
            <w:r w:rsidRPr="00C2341C">
              <w:t>.</w:t>
            </w:r>
            <w:r>
              <w:t>1</w:t>
            </w:r>
          </w:p>
          <w:p w14:paraId="5484EF7E" w14:textId="51F28592" w:rsidR="00CA02EE" w:rsidRDefault="00BF3A62" w:rsidP="00BF3A62">
            <w:pPr>
              <w:pStyle w:val="PlainText"/>
              <w:numPr>
                <w:ilvl w:val="0"/>
                <w:numId w:val="2"/>
              </w:numPr>
              <w:ind w:left="426" w:hanging="425"/>
            </w:pPr>
            <w:r>
              <w:t xml:space="preserve">that the </w:t>
            </w:r>
            <w:r w:rsidR="00CA02EE">
              <w:t xml:space="preserve">overall trend of students </w:t>
            </w:r>
            <w:r>
              <w:t xml:space="preserve">indicating that they are </w:t>
            </w:r>
            <w:r w:rsidR="00CA02EE">
              <w:t xml:space="preserve">hardly or not at all experiencing anxiety </w:t>
            </w:r>
            <w:r w:rsidRPr="00BF3A62">
              <w:t>has re</w:t>
            </w:r>
            <w:r>
              <w:t>mained steady at approximately 2</w:t>
            </w:r>
            <w:r w:rsidRPr="00BF3A62">
              <w:t>8%</w:t>
            </w:r>
          </w:p>
          <w:p w14:paraId="6FEE0B77" w14:textId="77777777" w:rsidR="00CA02EE" w:rsidRDefault="00CA02EE" w:rsidP="00CA02EE">
            <w:pPr>
              <w:pStyle w:val="PlainText"/>
            </w:pPr>
          </w:p>
          <w:p w14:paraId="6EEEDACB" w14:textId="77777777" w:rsidR="00CA02EE" w:rsidRPr="00CA02EE" w:rsidRDefault="00CA02EE" w:rsidP="00CA02EE">
            <w:pPr>
              <w:pStyle w:val="PlainText"/>
              <w:rPr>
                <w:b/>
                <w:bCs/>
              </w:rPr>
            </w:pPr>
            <w:r w:rsidRPr="00CA02EE">
              <w:rPr>
                <w:b/>
                <w:bCs/>
              </w:rPr>
              <w:lastRenderedPageBreak/>
              <w:t>Depression</w:t>
            </w:r>
          </w:p>
          <w:p w14:paraId="59A78987" w14:textId="49EED97A" w:rsidR="00CA02EE" w:rsidRDefault="00CA02EE" w:rsidP="00CA02EE">
            <w:pPr>
              <w:pStyle w:val="PlainText"/>
            </w:pPr>
            <w:r>
              <w:t>The Depression scale assesses dysphoria, hopelessness, devaluation of life, self-deprecation, lack of interest, anhedonia, and inertia. Students were asked to use 4-point frequency scales to rate the extent to which they have experienced each state over the past week.</w:t>
            </w:r>
          </w:p>
          <w:p w14:paraId="0417F73D" w14:textId="43431AB5" w:rsidR="00CA02EE" w:rsidRDefault="00D12200" w:rsidP="00D12200">
            <w:pPr>
              <w:pStyle w:val="PlainText"/>
              <w:jc w:val="center"/>
            </w:pPr>
            <w:r>
              <w:rPr>
                <w:noProof/>
                <w:lang w:eastAsia="en-AU"/>
              </w:rPr>
              <w:drawing>
                <wp:inline distT="0" distB="0" distL="0" distR="0" wp14:anchorId="27C3E296" wp14:editId="5C9358D0">
                  <wp:extent cx="3060000" cy="1572134"/>
                  <wp:effectExtent l="0" t="0" r="7620" b="9525"/>
                  <wp:docPr id="35" name="Picture 35" descr="D:\Rob\Downloads\dashboard-export-03-41-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ob\Downloads\dashboard-export-03-41-pm-2020-07-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000" cy="1572134"/>
                          </a:xfrm>
                          <a:prstGeom prst="rect">
                            <a:avLst/>
                          </a:prstGeom>
                          <a:noFill/>
                          <a:ln>
                            <a:noFill/>
                          </a:ln>
                        </pic:spPr>
                      </pic:pic>
                    </a:graphicData>
                  </a:graphic>
                </wp:inline>
              </w:drawing>
            </w:r>
          </w:p>
          <w:p w14:paraId="267482C1" w14:textId="2743FDC3" w:rsidR="00CA02EE" w:rsidRDefault="00D12200" w:rsidP="00CA02EE">
            <w:pPr>
              <w:pStyle w:val="PlainText"/>
            </w:pPr>
            <w:r>
              <w:rPr>
                <w:noProof/>
                <w:lang w:eastAsia="en-AU"/>
              </w:rPr>
              <w:drawing>
                <wp:inline distT="0" distB="0" distL="0" distR="0" wp14:anchorId="2E281B42" wp14:editId="246C49E1">
                  <wp:extent cx="2772000" cy="1186225"/>
                  <wp:effectExtent l="0" t="0" r="9525" b="0"/>
                  <wp:docPr id="36" name="Picture 36" descr="D:\Rob\Downloads\dashboard-export-03-42-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ob\Downloads\dashboard-export-03-42-pm-2020-07-1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r>
              <w:t xml:space="preserve"> </w:t>
            </w:r>
            <w:r>
              <w:rPr>
                <w:noProof/>
                <w:lang w:eastAsia="en-AU"/>
              </w:rPr>
              <w:drawing>
                <wp:inline distT="0" distB="0" distL="0" distR="0" wp14:anchorId="42034C87" wp14:editId="1A0F5AFE">
                  <wp:extent cx="2772000" cy="1186225"/>
                  <wp:effectExtent l="0" t="0" r="9525" b="0"/>
                  <wp:docPr id="37" name="Picture 37" descr="D:\Rob\Downloads\dashboard-export-03-43-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ob\Downloads\dashboard-export-03-43-pm-2020-07-1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p>
          <w:p w14:paraId="5EC8E44D" w14:textId="576E38A0" w:rsidR="00CA02EE" w:rsidRDefault="00CA02EE" w:rsidP="00CA02EE">
            <w:pPr>
              <w:pStyle w:val="PlainText"/>
            </w:pPr>
            <w:r>
              <w:t xml:space="preserve">The 2019 student survey results and Qualtrics trend analysis for </w:t>
            </w:r>
            <w:r w:rsidR="00E53E82">
              <w:t>Depression</w:t>
            </w:r>
            <w:r>
              <w:t xml:space="preserve"> show:</w:t>
            </w:r>
          </w:p>
          <w:p w14:paraId="3B755053" w14:textId="01EFD51B" w:rsidR="00E4700A" w:rsidRDefault="00E4700A" w:rsidP="00E4700A">
            <w:pPr>
              <w:pStyle w:val="PlainText"/>
              <w:numPr>
                <w:ilvl w:val="0"/>
                <w:numId w:val="2"/>
              </w:numPr>
              <w:ind w:left="426" w:hanging="425"/>
            </w:pPr>
            <w:r>
              <w:t xml:space="preserve">that the average response to survey items has increased slightly to </w:t>
            </w:r>
            <w:r w:rsidR="00E53E82">
              <w:t>2.5</w:t>
            </w:r>
          </w:p>
          <w:p w14:paraId="30ACA4A4" w14:textId="03C611A8" w:rsidR="00E53E82" w:rsidRDefault="00E4700A" w:rsidP="00E4700A">
            <w:pPr>
              <w:pStyle w:val="PlainText"/>
              <w:numPr>
                <w:ilvl w:val="0"/>
                <w:numId w:val="2"/>
              </w:numPr>
              <w:ind w:left="426" w:hanging="425"/>
            </w:pPr>
            <w:r>
              <w:t xml:space="preserve">that the percentage of students who have indicated </w:t>
            </w:r>
            <w:r w:rsidR="00E53E82">
              <w:t xml:space="preserve">that depression does not apply or applies sometimes to them </w:t>
            </w:r>
            <w:r>
              <w:t xml:space="preserve">has </w:t>
            </w:r>
            <w:r w:rsidR="00E53E82">
              <w:t xml:space="preserve">decreased to 54.1% </w:t>
            </w:r>
            <w:r>
              <w:t>after an increasing trend over the last three years.</w:t>
            </w:r>
          </w:p>
          <w:p w14:paraId="2C1201D1" w14:textId="77777777" w:rsidR="00CA02EE" w:rsidRDefault="00CA02EE" w:rsidP="00CA02EE">
            <w:pPr>
              <w:pStyle w:val="PlainText"/>
            </w:pPr>
          </w:p>
          <w:p w14:paraId="02C07C29" w14:textId="6A74B697" w:rsidR="00CA02EE" w:rsidRPr="00481439" w:rsidRDefault="00CA02EE" w:rsidP="00CA02EE">
            <w:pPr>
              <w:pStyle w:val="PlainText"/>
              <w:rPr>
                <w:b/>
                <w:bCs/>
              </w:rPr>
            </w:pPr>
            <w:r>
              <w:rPr>
                <w:b/>
                <w:bCs/>
              </w:rPr>
              <w:t>Positive Affect</w:t>
            </w:r>
          </w:p>
          <w:p w14:paraId="2D67E9FE" w14:textId="3825525B" w:rsidR="00CA02EE" w:rsidRDefault="00CA02EE" w:rsidP="00CA02EE">
            <w:pPr>
              <w:pStyle w:val="PlainText"/>
            </w:pPr>
            <w:r>
              <w:t>Positive Affect refers to one's propensity to experience positive emotions and interact with others and with life's challenges in a positive way. This survey asks students to rate terms on a scale of 1 to 4 to indicate the extent to which the respondent agrees that this applies to them.</w:t>
            </w:r>
          </w:p>
          <w:p w14:paraId="0688787E" w14:textId="45154E57" w:rsidR="00CA02EE" w:rsidRDefault="00D12200" w:rsidP="00D12200">
            <w:pPr>
              <w:pStyle w:val="PlainText"/>
              <w:jc w:val="center"/>
            </w:pPr>
            <w:r>
              <w:rPr>
                <w:noProof/>
                <w:lang w:eastAsia="en-AU"/>
              </w:rPr>
              <w:drawing>
                <wp:inline distT="0" distB="0" distL="0" distR="0" wp14:anchorId="334F35B4" wp14:editId="14F9C87C">
                  <wp:extent cx="3060000" cy="1572144"/>
                  <wp:effectExtent l="0" t="0" r="7620" b="9525"/>
                  <wp:docPr id="38" name="Picture 38" descr="D:\Rob\Downloads\dashboard-export-03-45-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ob\Downloads\dashboard-export-03-45-pm-2020-07-1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000" cy="1572144"/>
                          </a:xfrm>
                          <a:prstGeom prst="rect">
                            <a:avLst/>
                          </a:prstGeom>
                          <a:noFill/>
                          <a:ln>
                            <a:noFill/>
                          </a:ln>
                        </pic:spPr>
                      </pic:pic>
                    </a:graphicData>
                  </a:graphic>
                </wp:inline>
              </w:drawing>
            </w:r>
          </w:p>
          <w:p w14:paraId="3C831B44" w14:textId="06E01B5C" w:rsidR="00CA02EE" w:rsidRDefault="00D12200" w:rsidP="00CA02EE">
            <w:pPr>
              <w:pStyle w:val="PlainText"/>
            </w:pPr>
            <w:r>
              <w:rPr>
                <w:noProof/>
                <w:lang w:eastAsia="en-AU"/>
              </w:rPr>
              <w:drawing>
                <wp:inline distT="0" distB="0" distL="0" distR="0" wp14:anchorId="1FF9A46E" wp14:editId="40379522">
                  <wp:extent cx="2772834" cy="1186601"/>
                  <wp:effectExtent l="0" t="0" r="8890" b="0"/>
                  <wp:docPr id="39" name="Picture 39" descr="D:\Rob\Downloads\dashboard-export-03-45-pm-2020-07-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ob\Downloads\dashboard-export-03-45-pm-2020-07-19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72834" cy="1186601"/>
                          </a:xfrm>
                          <a:prstGeom prst="rect">
                            <a:avLst/>
                          </a:prstGeom>
                          <a:noFill/>
                          <a:ln>
                            <a:noFill/>
                          </a:ln>
                        </pic:spPr>
                      </pic:pic>
                    </a:graphicData>
                  </a:graphic>
                </wp:inline>
              </w:drawing>
            </w:r>
            <w:r w:rsidR="00E4700A">
              <w:t xml:space="preserve"> </w:t>
            </w:r>
            <w:r w:rsidR="00E4700A">
              <w:rPr>
                <w:noProof/>
                <w:lang w:eastAsia="en-AU"/>
              </w:rPr>
              <w:drawing>
                <wp:inline distT="0" distB="0" distL="0" distR="0" wp14:anchorId="0ED20F9F" wp14:editId="5EEE774F">
                  <wp:extent cx="2772000" cy="1186244"/>
                  <wp:effectExtent l="0" t="0" r="9525" b="0"/>
                  <wp:docPr id="40" name="Picture 40" descr="D:\Rob\Downloads\dashboard-export-03-46-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ob\Downloads\dashboard-export-03-46-pm-2020-07-1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72000" cy="1186244"/>
                          </a:xfrm>
                          <a:prstGeom prst="rect">
                            <a:avLst/>
                          </a:prstGeom>
                          <a:noFill/>
                          <a:ln>
                            <a:noFill/>
                          </a:ln>
                        </pic:spPr>
                      </pic:pic>
                    </a:graphicData>
                  </a:graphic>
                </wp:inline>
              </w:drawing>
            </w:r>
          </w:p>
          <w:p w14:paraId="0CB9E0F7" w14:textId="267A56EE" w:rsidR="00CA02EE" w:rsidRDefault="00CA02EE" w:rsidP="00CA02EE">
            <w:pPr>
              <w:pStyle w:val="PlainText"/>
            </w:pPr>
            <w:r>
              <w:t>The 2019 student survey results and Qualtrics trend analysis for Positive Affect show:</w:t>
            </w:r>
          </w:p>
          <w:p w14:paraId="032E0725" w14:textId="759CE3C1" w:rsidR="00E53E82" w:rsidRDefault="00E53E82" w:rsidP="00E53E82">
            <w:pPr>
              <w:pStyle w:val="PlainText"/>
              <w:numPr>
                <w:ilvl w:val="0"/>
                <w:numId w:val="2"/>
              </w:numPr>
              <w:ind w:left="426" w:hanging="425"/>
            </w:pPr>
            <w:r>
              <w:t>that the average response to survey items has remained steady at 3.8</w:t>
            </w:r>
          </w:p>
          <w:p w14:paraId="5FD71763" w14:textId="19D39C3A" w:rsidR="00CA02EE" w:rsidRDefault="00E53E82" w:rsidP="00E53E82">
            <w:pPr>
              <w:pStyle w:val="PlainText"/>
              <w:numPr>
                <w:ilvl w:val="0"/>
                <w:numId w:val="2"/>
              </w:numPr>
              <w:ind w:left="426" w:hanging="425"/>
            </w:pPr>
            <w:r>
              <w:t xml:space="preserve">that the percentage of students who have indicated positive affect by indicating either most </w:t>
            </w:r>
            <w:proofErr w:type="gramStart"/>
            <w:r>
              <w:t>and</w:t>
            </w:r>
            <w:proofErr w:type="gramEnd"/>
            <w:r>
              <w:t xml:space="preserve"> all of the time to survey items has decreased to 34.3%.</w:t>
            </w:r>
          </w:p>
          <w:p w14:paraId="48324E6D" w14:textId="452FFC66" w:rsidR="00CA02EE" w:rsidRPr="00CA02EE" w:rsidRDefault="00CA02EE" w:rsidP="00CA02EE">
            <w:pPr>
              <w:pStyle w:val="PlainText"/>
              <w:rPr>
                <w:b/>
                <w:bCs/>
              </w:rPr>
            </w:pPr>
            <w:r w:rsidRPr="00CA02EE">
              <w:rPr>
                <w:b/>
                <w:bCs/>
              </w:rPr>
              <w:lastRenderedPageBreak/>
              <w:t>Resilience</w:t>
            </w:r>
          </w:p>
          <w:p w14:paraId="4CF7861C" w14:textId="6833A379" w:rsidR="00CA02EE" w:rsidRDefault="00CA02EE" w:rsidP="00CA02EE">
            <w:pPr>
              <w:pStyle w:val="PlainText"/>
            </w:pPr>
            <w:r w:rsidRPr="00CA02EE">
              <w:t>Resilience is generally thought of as a "positive adaptation" after a stressful or adverse situation</w:t>
            </w:r>
            <w:r>
              <w:t xml:space="preserve">. </w:t>
            </w:r>
          </w:p>
          <w:p w14:paraId="4EE0CA32" w14:textId="63471CCE" w:rsidR="00CA02EE" w:rsidRDefault="00E4700A" w:rsidP="00E4700A">
            <w:pPr>
              <w:pStyle w:val="PlainText"/>
              <w:jc w:val="center"/>
            </w:pPr>
            <w:r>
              <w:rPr>
                <w:noProof/>
                <w:lang w:eastAsia="en-AU"/>
              </w:rPr>
              <w:drawing>
                <wp:inline distT="0" distB="0" distL="0" distR="0" wp14:anchorId="1AD90FC5" wp14:editId="00C92B36">
                  <wp:extent cx="3060000" cy="1572142"/>
                  <wp:effectExtent l="0" t="0" r="7620" b="9525"/>
                  <wp:docPr id="41" name="Picture 41" descr="D:\Rob\Downloads\dashboard-export-03-47-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ob\Downloads\dashboard-export-03-47-pm-2020-07-1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60000" cy="1572142"/>
                          </a:xfrm>
                          <a:prstGeom prst="rect">
                            <a:avLst/>
                          </a:prstGeom>
                          <a:noFill/>
                          <a:ln>
                            <a:noFill/>
                          </a:ln>
                        </pic:spPr>
                      </pic:pic>
                    </a:graphicData>
                  </a:graphic>
                </wp:inline>
              </w:drawing>
            </w:r>
          </w:p>
          <w:p w14:paraId="20B9BAD4" w14:textId="7EBA46A5" w:rsidR="00CA02EE" w:rsidRDefault="00E4700A" w:rsidP="00CA02EE">
            <w:pPr>
              <w:pStyle w:val="PlainText"/>
            </w:pPr>
            <w:r>
              <w:rPr>
                <w:noProof/>
                <w:lang w:eastAsia="en-AU"/>
              </w:rPr>
              <w:drawing>
                <wp:inline distT="0" distB="0" distL="0" distR="0" wp14:anchorId="6D343837" wp14:editId="61818741">
                  <wp:extent cx="2772000" cy="1186225"/>
                  <wp:effectExtent l="0" t="0" r="9525" b="0"/>
                  <wp:docPr id="42" name="Picture 42" descr="D:\Rob\Downloads\dashboard-export-03-48-pm-2020-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ob\Downloads\dashboard-export-03-48-pm-2020-07-19.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72000" cy="1186225"/>
                          </a:xfrm>
                          <a:prstGeom prst="rect">
                            <a:avLst/>
                          </a:prstGeom>
                          <a:noFill/>
                          <a:ln>
                            <a:noFill/>
                          </a:ln>
                        </pic:spPr>
                      </pic:pic>
                    </a:graphicData>
                  </a:graphic>
                </wp:inline>
              </w:drawing>
            </w:r>
            <w:r>
              <w:t xml:space="preserve"> </w:t>
            </w:r>
            <w:r>
              <w:rPr>
                <w:noProof/>
                <w:lang w:eastAsia="en-AU"/>
              </w:rPr>
              <w:drawing>
                <wp:inline distT="0" distB="0" distL="0" distR="0" wp14:anchorId="1AF9531B" wp14:editId="1830ADF1">
                  <wp:extent cx="2772000" cy="1186224"/>
                  <wp:effectExtent l="0" t="0" r="9525" b="0"/>
                  <wp:docPr id="43" name="Picture 43" descr="D:\Rob\Downloads\dashboard-export-03-48-pm-2020-07-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ob\Downloads\dashboard-export-03-48-pm-2020-07-19 (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72000" cy="1186224"/>
                          </a:xfrm>
                          <a:prstGeom prst="rect">
                            <a:avLst/>
                          </a:prstGeom>
                          <a:noFill/>
                          <a:ln>
                            <a:noFill/>
                          </a:ln>
                        </pic:spPr>
                      </pic:pic>
                    </a:graphicData>
                  </a:graphic>
                </wp:inline>
              </w:drawing>
            </w:r>
          </w:p>
          <w:p w14:paraId="1041289E" w14:textId="6DC95714" w:rsidR="00CA02EE" w:rsidRDefault="00CA02EE" w:rsidP="00CA02EE">
            <w:pPr>
              <w:pStyle w:val="PlainText"/>
            </w:pPr>
            <w:r>
              <w:t xml:space="preserve">The 2019 student survey results and Qualtrics trend analysis for </w:t>
            </w:r>
            <w:r w:rsidRPr="00CA02EE">
              <w:t>Resilience</w:t>
            </w:r>
            <w:r>
              <w:t xml:space="preserve"> show:</w:t>
            </w:r>
          </w:p>
          <w:p w14:paraId="4DF75E00" w14:textId="5C80D336" w:rsidR="00E53E82" w:rsidRDefault="00E53E82" w:rsidP="00E53E82">
            <w:pPr>
              <w:pStyle w:val="PlainText"/>
              <w:numPr>
                <w:ilvl w:val="0"/>
                <w:numId w:val="2"/>
              </w:numPr>
              <w:ind w:left="426" w:hanging="425"/>
            </w:pPr>
            <w:r>
              <w:t>that the average response to survey items has increased to 3.3</w:t>
            </w:r>
          </w:p>
          <w:p w14:paraId="17DDC188" w14:textId="3BFF73B0" w:rsidR="00CA02EE" w:rsidRDefault="00983079" w:rsidP="00983079">
            <w:pPr>
              <w:pStyle w:val="PlainText"/>
              <w:numPr>
                <w:ilvl w:val="0"/>
                <w:numId w:val="2"/>
              </w:numPr>
              <w:ind w:left="426" w:hanging="425"/>
            </w:pPr>
            <w:r>
              <w:t>that the percentage of students who have indicated positive resilience by either strongly agreeing or agreeing with survey items has slightly increased to 37.6% continuing an increasing trend over the last three years.</w:t>
            </w:r>
          </w:p>
        </w:tc>
      </w:tr>
    </w:tbl>
    <w:p w14:paraId="15EFB8FB" w14:textId="77777777" w:rsidR="00E4700A" w:rsidRDefault="00E4700A" w:rsidP="00E4700A">
      <w:pPr>
        <w:pStyle w:val="BodyText"/>
      </w:pPr>
    </w:p>
    <w:p w14:paraId="529C3E95" w14:textId="0BE20FDE"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E4700A">
        <w:trPr>
          <w:trHeight w:val="223"/>
          <w:jc w:val="center"/>
        </w:trPr>
        <w:tc>
          <w:tcPr>
            <w:tcW w:w="9027" w:type="dxa"/>
            <w:shd w:val="clear" w:color="auto" w:fill="auto"/>
          </w:tcPr>
          <w:p w14:paraId="51F1092F" w14:textId="5974C691" w:rsidR="00CA26FB" w:rsidRPr="00CA26FB" w:rsidRDefault="005B24CA" w:rsidP="00CA26FB">
            <w:pPr>
              <w:pStyle w:val="BodyText"/>
              <w:rPr>
                <w:b/>
              </w:rPr>
            </w:pPr>
            <w:r w:rsidRPr="005B24CA">
              <w:rPr>
                <w:b/>
              </w:rPr>
              <w:t>Student Forum will plan and deliver student-led projects and events</w:t>
            </w:r>
          </w:p>
          <w:p w14:paraId="26FA3FCB" w14:textId="2201569D" w:rsidR="00CA26FB" w:rsidRDefault="006708CF" w:rsidP="005C428B">
            <w:pPr>
              <w:pStyle w:val="ListBullet"/>
            </w:pPr>
            <w:r>
              <w:t xml:space="preserve">Student Forum representatives under the leadership of the School Captains and Student Leadership Group identified Student Action Teams to organise and deliver events and projects including: Valentine’s Day fundraiser, Easter hunt, Running Festival canteen (snow cones), Silent Disco, Environment Awareness assembly presentation, Lunchtime sport (twice a week during terms 2 &amp; 3), 5 Ways Week, Multicultural Day and National Day of Action </w:t>
            </w:r>
            <w:r w:rsidR="00EE2F21">
              <w:t>against Bullying and Violence.</w:t>
            </w:r>
            <w:r>
              <w:t xml:space="preserve"> </w:t>
            </w:r>
          </w:p>
          <w:p w14:paraId="696E21EA" w14:textId="77777777" w:rsidR="00CA26FB" w:rsidRDefault="00CA26FB" w:rsidP="00CA26FB">
            <w:pPr>
              <w:pStyle w:val="ListBullet"/>
              <w:numPr>
                <w:ilvl w:val="0"/>
                <w:numId w:val="0"/>
              </w:numPr>
              <w:ind w:left="360" w:hanging="360"/>
            </w:pPr>
          </w:p>
          <w:p w14:paraId="68999E2D" w14:textId="7C14EDA7" w:rsidR="005B24CA" w:rsidRPr="00CA26FB" w:rsidRDefault="005B24CA" w:rsidP="005B24CA">
            <w:pPr>
              <w:pStyle w:val="BodyText"/>
              <w:rPr>
                <w:b/>
              </w:rPr>
            </w:pPr>
            <w:r w:rsidRPr="005B24CA">
              <w:rPr>
                <w:b/>
              </w:rPr>
              <w:t>Pilot the Year 8 Seek Program and trial assessment of targeted General Capabilities as part of the Cluster Contemporary Literacies Project</w:t>
            </w:r>
          </w:p>
          <w:p w14:paraId="2B214FF3" w14:textId="3804E163" w:rsidR="00991912" w:rsidRDefault="00991912" w:rsidP="005B24CA">
            <w:pPr>
              <w:pStyle w:val="ListBullet"/>
            </w:pPr>
            <w:r>
              <w:t>School leaders and teachers in the SEEK Program established as a Professional Learning Team</w:t>
            </w:r>
          </w:p>
          <w:p w14:paraId="16923ED5" w14:textId="7055EAE5" w:rsidR="00EE2F21" w:rsidRDefault="00EE2F21" w:rsidP="005B24CA">
            <w:pPr>
              <w:pStyle w:val="ListBullet"/>
            </w:pPr>
            <w:r>
              <w:t>Commencement of the first class in the Year 8 Seek Program</w:t>
            </w:r>
          </w:p>
          <w:p w14:paraId="7BB8087B" w14:textId="77777777" w:rsidR="009131DB" w:rsidRDefault="00EE2F21" w:rsidP="005B24CA">
            <w:pPr>
              <w:pStyle w:val="ListBullet"/>
            </w:pPr>
            <w:r>
              <w:t xml:space="preserve">Regular and ongoing </w:t>
            </w:r>
            <w:r w:rsidR="009131DB">
              <w:t>feedback from students (every 5 weeks) collected and used to inform effective implementation</w:t>
            </w:r>
          </w:p>
          <w:p w14:paraId="1167F593" w14:textId="77777777" w:rsidR="00371903" w:rsidRDefault="00991912" w:rsidP="005B24CA">
            <w:pPr>
              <w:pStyle w:val="ListBullet"/>
            </w:pPr>
            <w:r>
              <w:t xml:space="preserve">Decision to </w:t>
            </w:r>
            <w:r w:rsidR="00371903">
              <w:t>expand program by adding a Year 9 SEEK class in 2020.</w:t>
            </w:r>
          </w:p>
          <w:p w14:paraId="62C988AA" w14:textId="159F8489" w:rsidR="00991912" w:rsidRDefault="00371903" w:rsidP="005B24CA">
            <w:pPr>
              <w:pStyle w:val="ListBullet"/>
            </w:pPr>
            <w:r>
              <w:t>Two staff members identified for 2020 and they completed professional learning in Project Based Learning and planned and developed the full year interdisciplinary mapping of curriculum for the Year 9 SEEK class.</w:t>
            </w:r>
          </w:p>
          <w:p w14:paraId="23AC38B0" w14:textId="177F9F77" w:rsidR="00371903" w:rsidRDefault="00371903" w:rsidP="005B24CA">
            <w:pPr>
              <w:pStyle w:val="ListBullet"/>
            </w:pPr>
            <w:r>
              <w:t>Parent and student information sessions</w:t>
            </w:r>
            <w:r w:rsidR="00FB0CC1">
              <w:t xml:space="preserve"> held that resulted in successful enrolment of a Year 8 and Year 9 class in 2020. </w:t>
            </w:r>
          </w:p>
          <w:p w14:paraId="51D6DB0B" w14:textId="30003772" w:rsidR="00CC24A3" w:rsidRDefault="00CC24A3" w:rsidP="00CC24A3">
            <w:pPr>
              <w:pStyle w:val="ListBullet"/>
            </w:pPr>
            <w:r>
              <w:t xml:space="preserve">Seek Project PLT engaged in the cluster Contemporary Literacies Project, attending a meeting each term that provided professional learning opportunities to build innovative pedagogies, </w:t>
            </w:r>
            <w:r>
              <w:lastRenderedPageBreak/>
              <w:t>share resources, teaching tools and approaches and connect with transition schools.</w:t>
            </w:r>
            <w:r>
              <w:t xml:space="preserve"> This included work to develop </w:t>
            </w:r>
            <w:r w:rsidR="003F47DF">
              <w:t xml:space="preserve">and trial </w:t>
            </w:r>
            <w:r>
              <w:t xml:space="preserve">measurement tools </w:t>
            </w:r>
            <w:r w:rsidR="003F47DF">
              <w:t>for general capabilities, particularly Critical and Creative Thinking and Personal and Social Capability.</w:t>
            </w:r>
          </w:p>
          <w:p w14:paraId="4B776A63" w14:textId="77777777" w:rsidR="005B24CA" w:rsidRDefault="005B24CA" w:rsidP="005B24CA">
            <w:pPr>
              <w:pStyle w:val="ListBullet"/>
              <w:numPr>
                <w:ilvl w:val="0"/>
                <w:numId w:val="0"/>
              </w:numPr>
              <w:ind w:left="360" w:hanging="360"/>
            </w:pPr>
          </w:p>
          <w:p w14:paraId="0F94A4E2" w14:textId="28F4291C" w:rsidR="005B24CA" w:rsidRPr="00CA26FB" w:rsidRDefault="005B24CA" w:rsidP="005B24CA">
            <w:pPr>
              <w:pStyle w:val="BodyText"/>
              <w:rPr>
                <w:b/>
              </w:rPr>
            </w:pPr>
            <w:r w:rsidRPr="005B24CA">
              <w:rPr>
                <w:b/>
              </w:rPr>
              <w:t>Record and track student engagement in extra-curricular activities</w:t>
            </w:r>
          </w:p>
          <w:p w14:paraId="1E7D8853" w14:textId="77777777" w:rsidR="00281B51" w:rsidRDefault="00281B51" w:rsidP="005B24CA">
            <w:pPr>
              <w:pStyle w:val="ListBullet"/>
            </w:pPr>
            <w:r>
              <w:t>Program, learning area and school event staff have monitored student engagement trends</w:t>
            </w:r>
          </w:p>
          <w:p w14:paraId="333FB6EE" w14:textId="77777777" w:rsidR="00281B51" w:rsidRDefault="00281B51" w:rsidP="005B24CA">
            <w:pPr>
              <w:pStyle w:val="ListBullet"/>
            </w:pPr>
            <w:r>
              <w:t>Increase in the number of lunch time and after school clubs and activities as well as a marked increase in student numbers and engagement.</w:t>
            </w:r>
          </w:p>
          <w:p w14:paraId="548629D9" w14:textId="57013E29" w:rsidR="005B24CA" w:rsidRDefault="00281B51" w:rsidP="005B24CA">
            <w:pPr>
              <w:pStyle w:val="ListBullet"/>
            </w:pPr>
            <w:r>
              <w:t xml:space="preserve">Tracking of student </w:t>
            </w:r>
            <w:r w:rsidR="00BB5627">
              <w:t xml:space="preserve">participation in most </w:t>
            </w:r>
            <w:r>
              <w:t xml:space="preserve">extracurricular activities </w:t>
            </w:r>
            <w:r w:rsidR="00BB5627">
              <w:t xml:space="preserve">being </w:t>
            </w:r>
            <w:r>
              <w:t xml:space="preserve">recorded in </w:t>
            </w:r>
            <w:proofErr w:type="spellStart"/>
            <w:r>
              <w:t>Sentral</w:t>
            </w:r>
            <w:proofErr w:type="spellEnd"/>
            <w:r w:rsidR="00BB5627">
              <w:t>.</w:t>
            </w:r>
          </w:p>
          <w:p w14:paraId="3A004911" w14:textId="77777777" w:rsidR="005B24CA" w:rsidRDefault="005B24CA" w:rsidP="005B24CA">
            <w:pPr>
              <w:pStyle w:val="ListBullet"/>
              <w:numPr>
                <w:ilvl w:val="0"/>
                <w:numId w:val="0"/>
              </w:numPr>
              <w:ind w:left="360" w:hanging="360"/>
            </w:pPr>
          </w:p>
          <w:p w14:paraId="6F21730C" w14:textId="3DD64882" w:rsidR="005B24CA" w:rsidRPr="00CA26FB" w:rsidRDefault="005B24CA" w:rsidP="005B24CA">
            <w:pPr>
              <w:pStyle w:val="BodyText"/>
              <w:rPr>
                <w:b/>
              </w:rPr>
            </w:pPr>
            <w:r w:rsidRPr="005B24CA">
              <w:rPr>
                <w:b/>
              </w:rPr>
              <w:t>Finalise and implement the LHS Social &amp; Emotional Learning (SEL) Plan</w:t>
            </w:r>
          </w:p>
          <w:p w14:paraId="1A5D0A71" w14:textId="2F5D2309" w:rsidR="00B62E68" w:rsidRDefault="005C428B" w:rsidP="005B24CA">
            <w:pPr>
              <w:pStyle w:val="ListBullet"/>
            </w:pPr>
            <w:r>
              <w:t xml:space="preserve">Lyneham High School staff </w:t>
            </w:r>
            <w:r w:rsidR="00205D41">
              <w:t xml:space="preserve">introduced to </w:t>
            </w:r>
            <w:r w:rsidR="00B62E68">
              <w:t xml:space="preserve">Be You Program </w:t>
            </w:r>
            <w:r w:rsidR="00BB5627">
              <w:t xml:space="preserve">in a staff meeting (term 4) with an option to complete </w:t>
            </w:r>
            <w:r w:rsidR="00205D41">
              <w:t xml:space="preserve">online </w:t>
            </w:r>
            <w:r w:rsidR="00BB5627">
              <w:t xml:space="preserve">professional learning </w:t>
            </w:r>
            <w:r w:rsidR="00B62E68">
              <w:t>modules</w:t>
            </w:r>
          </w:p>
          <w:p w14:paraId="7F642E12" w14:textId="2315E23E" w:rsidR="00205D41" w:rsidRDefault="00205D41" w:rsidP="00205D41">
            <w:pPr>
              <w:pStyle w:val="ListBullet"/>
            </w:pPr>
            <w:r>
              <w:t>S</w:t>
            </w:r>
            <w:r>
              <w:t>tudents participate in HIVE session</w:t>
            </w:r>
            <w:r>
              <w:t>s</w:t>
            </w:r>
            <w:r>
              <w:t xml:space="preserve"> </w:t>
            </w:r>
            <w:r>
              <w:t xml:space="preserve">that support aspects of </w:t>
            </w:r>
            <w:r>
              <w:t>Social and Emotional Learning</w:t>
            </w:r>
          </w:p>
          <w:p w14:paraId="5E8254B0" w14:textId="3EEAD4F7" w:rsidR="005B24CA" w:rsidRDefault="00BB5627" w:rsidP="00A414BE">
            <w:pPr>
              <w:pStyle w:val="ListBullet"/>
            </w:pPr>
            <w:r>
              <w:t>Teaching Personal and Social Responsibility (TPSR) is being trialled by the Health and PE Faculty in class to support students self-regulate and reframe behaviour</w:t>
            </w:r>
          </w:p>
          <w:p w14:paraId="51F8CC10" w14:textId="4C4F7BF1" w:rsidR="00A414BE" w:rsidRDefault="003F47DF" w:rsidP="00514E03">
            <w:pPr>
              <w:pStyle w:val="ListBullet"/>
            </w:pPr>
            <w:r>
              <w:t>The</w:t>
            </w:r>
            <w:r w:rsidR="00677D5D">
              <w:t xml:space="preserve"> P</w:t>
            </w:r>
            <w:r>
              <w:t xml:space="preserve">ersonal and </w:t>
            </w:r>
            <w:r w:rsidR="00677D5D">
              <w:t>S</w:t>
            </w:r>
            <w:r>
              <w:t xml:space="preserve">ocial </w:t>
            </w:r>
            <w:r w:rsidR="00677D5D">
              <w:t>C</w:t>
            </w:r>
            <w:r>
              <w:t>apabilit</w:t>
            </w:r>
            <w:r w:rsidR="00677D5D">
              <w:t>y section</w:t>
            </w:r>
            <w:r w:rsidR="00B402F0">
              <w:t xml:space="preserve"> of the semester report </w:t>
            </w:r>
            <w:r>
              <w:t>is based on student reflections of their own behaviours and learning, collected via a</w:t>
            </w:r>
            <w:r>
              <w:t xml:space="preserve"> </w:t>
            </w:r>
            <w:r>
              <w:t xml:space="preserve">student survey and imported into their final report. This page provides </w:t>
            </w:r>
            <w:r w:rsidR="00B402F0">
              <w:t xml:space="preserve">parents </w:t>
            </w:r>
            <w:r>
              <w:t xml:space="preserve">with an opportunity to see how </w:t>
            </w:r>
            <w:r w:rsidR="00B402F0">
              <w:t xml:space="preserve">their </w:t>
            </w:r>
            <w:r>
              <w:t>child views</w:t>
            </w:r>
            <w:r>
              <w:t xml:space="preserve"> </w:t>
            </w:r>
            <w:r>
              <w:t>their social and emotional learning at Lyneham High School and possibly prompt discussions in relation to work habits</w:t>
            </w:r>
            <w:r>
              <w:t xml:space="preserve"> </w:t>
            </w:r>
            <w:r>
              <w:t>assessed by their teachers in individual classes.</w:t>
            </w:r>
          </w:p>
          <w:p w14:paraId="0F04C5CB" w14:textId="77777777" w:rsidR="00205D41" w:rsidRDefault="00205D41" w:rsidP="005B24CA">
            <w:pPr>
              <w:pStyle w:val="ListBullet"/>
              <w:numPr>
                <w:ilvl w:val="0"/>
                <w:numId w:val="0"/>
              </w:numPr>
              <w:ind w:left="360" w:hanging="360"/>
            </w:pPr>
          </w:p>
          <w:p w14:paraId="630A4F08" w14:textId="4495116C" w:rsidR="005B24CA" w:rsidRPr="00CA26FB" w:rsidRDefault="005B24CA" w:rsidP="005B24CA">
            <w:pPr>
              <w:pStyle w:val="BodyText"/>
              <w:rPr>
                <w:b/>
              </w:rPr>
            </w:pPr>
            <w:r w:rsidRPr="005B24CA">
              <w:rPr>
                <w:b/>
              </w:rPr>
              <w:t>Implement strategies to build Cultural Integrity within the school community</w:t>
            </w:r>
          </w:p>
          <w:p w14:paraId="1D86DADF" w14:textId="294EB343" w:rsidR="005B24CA" w:rsidRDefault="00A61B60" w:rsidP="005B24CA">
            <w:pPr>
              <w:pStyle w:val="ListBullet"/>
            </w:pPr>
            <w:r>
              <w:t>Whole staff Professional Learning Day including visits to d</w:t>
            </w:r>
            <w:r w:rsidRPr="00A61B60">
              <w:t>evelop teacher learning about Aboriginal and Torres Strait Islander history and culture through experienc</w:t>
            </w:r>
            <w:r>
              <w:t xml:space="preserve">e, </w:t>
            </w:r>
            <w:r w:rsidR="00631581" w:rsidRPr="00631581">
              <w:t xml:space="preserve">confidence in creating opportunities for student learning of Aboriginal and Torres Strait Islander history and culture within their </w:t>
            </w:r>
            <w:r w:rsidR="00631581">
              <w:t xml:space="preserve">learning area / </w:t>
            </w:r>
            <w:r w:rsidR="00631581" w:rsidRPr="00631581">
              <w:t>classes</w:t>
            </w:r>
            <w:r w:rsidR="00631581">
              <w:t xml:space="preserve"> and </w:t>
            </w:r>
            <w:r w:rsidR="007905DE">
              <w:t xml:space="preserve">increased knowledge of </w:t>
            </w:r>
            <w:r w:rsidR="00631581" w:rsidRPr="00631581">
              <w:t xml:space="preserve">the </w:t>
            </w:r>
            <w:r w:rsidR="007905DE">
              <w:t xml:space="preserve">community </w:t>
            </w:r>
            <w:r w:rsidR="00631581" w:rsidRPr="00631581">
              <w:t xml:space="preserve">resources </w:t>
            </w:r>
            <w:r w:rsidR="007905DE">
              <w:t>avail</w:t>
            </w:r>
            <w:r w:rsidR="00631581" w:rsidRPr="00631581">
              <w:t xml:space="preserve">able within close proximity of LHS to support </w:t>
            </w:r>
            <w:r w:rsidR="007905DE">
              <w:t xml:space="preserve">learning about </w:t>
            </w:r>
            <w:r w:rsidR="00631581" w:rsidRPr="00631581">
              <w:t xml:space="preserve">Aboriginal and Torres Strait Islander </w:t>
            </w:r>
            <w:r w:rsidR="007905DE">
              <w:t>history and culture.</w:t>
            </w:r>
          </w:p>
          <w:p w14:paraId="4B3FDFB7" w14:textId="14E1E389" w:rsidR="007905DE" w:rsidRPr="009925BF" w:rsidRDefault="007905DE" w:rsidP="005B24CA">
            <w:pPr>
              <w:pStyle w:val="ListBullet"/>
            </w:pPr>
            <w:r>
              <w:t xml:space="preserve">Cluster initiative to employ a shared Indigenous Education Officer to strengthen </w:t>
            </w:r>
            <w:r>
              <w:rPr>
                <w:rFonts w:ascii="Calibri" w:hAnsi="Calibri" w:cs="Calibri"/>
                <w:color w:val="000000"/>
              </w:rPr>
              <w:t xml:space="preserve">connection and engagement with our </w:t>
            </w:r>
            <w:r w:rsidRPr="00A61B60">
              <w:t xml:space="preserve">Aboriginal and Torres Strait Islander </w:t>
            </w:r>
            <w:r>
              <w:rPr>
                <w:rFonts w:ascii="Calibri" w:hAnsi="Calibri" w:cs="Calibri"/>
                <w:color w:val="000000"/>
              </w:rPr>
              <w:t>students and families</w:t>
            </w:r>
          </w:p>
          <w:p w14:paraId="38E2C248" w14:textId="55FE55E7" w:rsidR="009925BF" w:rsidRDefault="009925BF" w:rsidP="005B24CA">
            <w:pPr>
              <w:pStyle w:val="ListBullet"/>
            </w:pPr>
            <w:r>
              <w:t xml:space="preserve">Initial consultation with the community to inform an artist’s brief for </w:t>
            </w:r>
            <w:r w:rsidR="00A414BE">
              <w:t>an</w:t>
            </w:r>
            <w:r>
              <w:t xml:space="preserve"> </w:t>
            </w:r>
            <w:r w:rsidRPr="00631581">
              <w:t>Aboriginal and Torres Strait Islander</w:t>
            </w:r>
            <w:r>
              <w:t xml:space="preserve"> mural to </w:t>
            </w:r>
            <w:proofErr w:type="gramStart"/>
            <w:r>
              <w:t>be located in</w:t>
            </w:r>
            <w:proofErr w:type="gramEnd"/>
            <w:r>
              <w:t xml:space="preserve"> the school canteen</w:t>
            </w:r>
            <w:r w:rsidR="00A414BE">
              <w:t>.</w:t>
            </w:r>
          </w:p>
          <w:p w14:paraId="4F19C6D9" w14:textId="5A583F43" w:rsidR="00937D6F" w:rsidRPr="00CA26FB" w:rsidRDefault="00937D6F" w:rsidP="005B24CA">
            <w:pPr>
              <w:pStyle w:val="ListBullet"/>
              <w:numPr>
                <w:ilvl w:val="0"/>
                <w:numId w:val="0"/>
              </w:numPr>
            </w:pP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E4700A">
        <w:trPr>
          <w:trHeight w:val="116"/>
          <w:jc w:val="center"/>
        </w:trPr>
        <w:tc>
          <w:tcPr>
            <w:tcW w:w="9027" w:type="dxa"/>
            <w:shd w:val="clear" w:color="auto" w:fill="auto"/>
          </w:tcPr>
          <w:p w14:paraId="2C31C526" w14:textId="77777777" w:rsidR="00BB5627" w:rsidRDefault="00BB5627" w:rsidP="00932E67">
            <w:pPr>
              <w:pStyle w:val="ListBullet"/>
            </w:pPr>
            <w:r w:rsidRPr="00BB5627">
              <w:t>Lyneham High School has been identified to commence the implementation of the Positive Behaviours for Learning (PBL) framework in 2020</w:t>
            </w:r>
            <w:r>
              <w:t>.</w:t>
            </w:r>
          </w:p>
          <w:p w14:paraId="0B88EEFB" w14:textId="20529F80" w:rsidR="00937D6F" w:rsidRDefault="00E22138" w:rsidP="00BB5627">
            <w:pPr>
              <w:pStyle w:val="ListBullet"/>
            </w:pPr>
            <w:r>
              <w:t xml:space="preserve">Investigate the capacity of </w:t>
            </w:r>
            <w:proofErr w:type="spellStart"/>
            <w:r>
              <w:t>Sentral</w:t>
            </w:r>
            <w:proofErr w:type="spellEnd"/>
            <w:r>
              <w:t xml:space="preserve"> to report on student engagement in extracurricular activities in an efficient way to measurably track progress towards our school plan action</w:t>
            </w:r>
          </w:p>
          <w:p w14:paraId="1CBDA7E7" w14:textId="79820F31" w:rsidR="00B402F0" w:rsidRDefault="00B402F0" w:rsidP="00BB5627">
            <w:pPr>
              <w:pStyle w:val="ListBullet"/>
            </w:pPr>
            <w:r>
              <w:t>Track semester data relating to student self-reflection of the Personal and Social Capa</w:t>
            </w:r>
            <w:bookmarkStart w:id="0" w:name="_GoBack"/>
            <w:bookmarkEnd w:id="0"/>
            <w:r>
              <w:t>bilities</w:t>
            </w:r>
          </w:p>
          <w:p w14:paraId="4D0D0527" w14:textId="42907C25" w:rsidR="00E22138" w:rsidRDefault="00455264" w:rsidP="00BB5627">
            <w:pPr>
              <w:pStyle w:val="ListBullet"/>
            </w:pPr>
            <w:r>
              <w:t xml:space="preserve">Develop a more strategic school plan to develop Cultural Integrity at Lyneham High School through priorities that align with the ED Cultural Integrity Continuum. </w:t>
            </w:r>
            <w:r w:rsidR="00E22138">
              <w:t xml:space="preserve"> </w:t>
            </w:r>
          </w:p>
        </w:tc>
      </w:tr>
    </w:tbl>
    <w:p w14:paraId="5D03B15F" w14:textId="6E05D114" w:rsidR="00EB70CE" w:rsidRDefault="00EB70CE" w:rsidP="00EB70CE">
      <w:pPr>
        <w:rPr>
          <w:b/>
        </w:rPr>
      </w:pPr>
    </w:p>
    <w:sectPr w:rsidR="00EB70CE" w:rsidSect="00C77B0A">
      <w:headerReference w:type="default" r:id="rId32"/>
      <w:footerReference w:type="default" r:id="rId33"/>
      <w:head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8267" w14:textId="77777777" w:rsidR="005C428B" w:rsidRDefault="005C428B" w:rsidP="00CA0BAD">
      <w:pPr>
        <w:spacing w:after="0" w:line="240" w:lineRule="auto"/>
      </w:pPr>
      <w:r>
        <w:separator/>
      </w:r>
    </w:p>
  </w:endnote>
  <w:endnote w:type="continuationSeparator" w:id="0">
    <w:p w14:paraId="594D6260" w14:textId="77777777" w:rsidR="005C428B" w:rsidRDefault="005C428B"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4104E185" w:rsidR="005C428B" w:rsidRPr="00BF488D" w:rsidRDefault="005C428B"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Friday, 24 July 2020</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BF488D">
              <w:rPr>
                <w:rFonts w:ascii="Arial" w:hAnsi="Arial" w:cs="Arial"/>
                <w:noProof/>
                <w:color w:val="808080" w:themeColor="background1" w:themeShade="80"/>
                <w:sz w:val="20"/>
                <w:szCs w:val="20"/>
              </w:rPr>
              <w:fldChar w:fldCharType="end"/>
            </w:r>
          </w:p>
        </w:sdtContent>
      </w:sdt>
      <w:p w14:paraId="15A7ACBA" w14:textId="77777777" w:rsidR="005C428B" w:rsidRPr="008679D5" w:rsidRDefault="005C428B"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7A20" w14:textId="77777777" w:rsidR="005C428B" w:rsidRDefault="005C428B" w:rsidP="00CA0BAD">
      <w:pPr>
        <w:spacing w:after="0" w:line="240" w:lineRule="auto"/>
      </w:pPr>
      <w:r>
        <w:separator/>
      </w:r>
    </w:p>
  </w:footnote>
  <w:footnote w:type="continuationSeparator" w:id="0">
    <w:p w14:paraId="01D53A7A" w14:textId="77777777" w:rsidR="005C428B" w:rsidRDefault="005C428B"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5C428B" w:rsidRDefault="005C428B"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5C428B" w:rsidRDefault="005C428B"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4AF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1"/>
  </w:num>
  <w:num w:numId="2">
    <w:abstractNumId w:val="10"/>
  </w:num>
  <w:num w:numId="3">
    <w:abstractNumId w:val="15"/>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945"/>
    <w:rsid w:val="000031B5"/>
    <w:rsid w:val="00004973"/>
    <w:rsid w:val="00035734"/>
    <w:rsid w:val="00044FD5"/>
    <w:rsid w:val="00045EB0"/>
    <w:rsid w:val="000514B2"/>
    <w:rsid w:val="00057DAD"/>
    <w:rsid w:val="0008285E"/>
    <w:rsid w:val="0008713C"/>
    <w:rsid w:val="000F7E7C"/>
    <w:rsid w:val="00107AE2"/>
    <w:rsid w:val="00115AA9"/>
    <w:rsid w:val="001239B9"/>
    <w:rsid w:val="00127C5E"/>
    <w:rsid w:val="00132917"/>
    <w:rsid w:val="00161E50"/>
    <w:rsid w:val="00163579"/>
    <w:rsid w:val="00183DE5"/>
    <w:rsid w:val="001B0774"/>
    <w:rsid w:val="001B26EA"/>
    <w:rsid w:val="001B2E33"/>
    <w:rsid w:val="001B684D"/>
    <w:rsid w:val="001E3032"/>
    <w:rsid w:val="001F5655"/>
    <w:rsid w:val="00200DF4"/>
    <w:rsid w:val="00205D41"/>
    <w:rsid w:val="002145F7"/>
    <w:rsid w:val="00221B2E"/>
    <w:rsid w:val="00223832"/>
    <w:rsid w:val="0024781C"/>
    <w:rsid w:val="00266E77"/>
    <w:rsid w:val="00271528"/>
    <w:rsid w:val="00281B51"/>
    <w:rsid w:val="00282D2C"/>
    <w:rsid w:val="002841C7"/>
    <w:rsid w:val="002C226E"/>
    <w:rsid w:val="002D31FE"/>
    <w:rsid w:val="002F2C6F"/>
    <w:rsid w:val="002F4184"/>
    <w:rsid w:val="00300F72"/>
    <w:rsid w:val="00316B12"/>
    <w:rsid w:val="00324B03"/>
    <w:rsid w:val="00334BBF"/>
    <w:rsid w:val="00342B3F"/>
    <w:rsid w:val="00361F02"/>
    <w:rsid w:val="00365890"/>
    <w:rsid w:val="00365A1C"/>
    <w:rsid w:val="00371903"/>
    <w:rsid w:val="00373DC0"/>
    <w:rsid w:val="00377F0F"/>
    <w:rsid w:val="003920D8"/>
    <w:rsid w:val="003B5E3D"/>
    <w:rsid w:val="003B60AC"/>
    <w:rsid w:val="003C2864"/>
    <w:rsid w:val="003C69DC"/>
    <w:rsid w:val="003E1EFB"/>
    <w:rsid w:val="003F47DF"/>
    <w:rsid w:val="00425BCA"/>
    <w:rsid w:val="00435AB7"/>
    <w:rsid w:val="00435C6B"/>
    <w:rsid w:val="00436626"/>
    <w:rsid w:val="00454F4E"/>
    <w:rsid w:val="00455264"/>
    <w:rsid w:val="00461D07"/>
    <w:rsid w:val="0046769E"/>
    <w:rsid w:val="00481439"/>
    <w:rsid w:val="00481BD2"/>
    <w:rsid w:val="00492440"/>
    <w:rsid w:val="004B66FC"/>
    <w:rsid w:val="004C32E2"/>
    <w:rsid w:val="004C6CE0"/>
    <w:rsid w:val="004D00F4"/>
    <w:rsid w:val="004D5E45"/>
    <w:rsid w:val="005176E7"/>
    <w:rsid w:val="00520A86"/>
    <w:rsid w:val="00557F65"/>
    <w:rsid w:val="005611F4"/>
    <w:rsid w:val="0057672E"/>
    <w:rsid w:val="005770DC"/>
    <w:rsid w:val="0058339C"/>
    <w:rsid w:val="0059350F"/>
    <w:rsid w:val="005A4749"/>
    <w:rsid w:val="005B24CA"/>
    <w:rsid w:val="005C428B"/>
    <w:rsid w:val="005C7432"/>
    <w:rsid w:val="005E0960"/>
    <w:rsid w:val="005E76E4"/>
    <w:rsid w:val="005F3B55"/>
    <w:rsid w:val="006018A2"/>
    <w:rsid w:val="00607AE5"/>
    <w:rsid w:val="00610A38"/>
    <w:rsid w:val="00631581"/>
    <w:rsid w:val="00631663"/>
    <w:rsid w:val="0066643F"/>
    <w:rsid w:val="006708CF"/>
    <w:rsid w:val="00674E1D"/>
    <w:rsid w:val="00677D5D"/>
    <w:rsid w:val="006830C3"/>
    <w:rsid w:val="006A1B84"/>
    <w:rsid w:val="006A31D6"/>
    <w:rsid w:val="006A5062"/>
    <w:rsid w:val="006C49A4"/>
    <w:rsid w:val="006C527A"/>
    <w:rsid w:val="006D2F6B"/>
    <w:rsid w:val="006E1C68"/>
    <w:rsid w:val="006E5B4B"/>
    <w:rsid w:val="007268AD"/>
    <w:rsid w:val="007347A7"/>
    <w:rsid w:val="007375B4"/>
    <w:rsid w:val="00752390"/>
    <w:rsid w:val="007905DE"/>
    <w:rsid w:val="007A1952"/>
    <w:rsid w:val="007A66C5"/>
    <w:rsid w:val="007B0189"/>
    <w:rsid w:val="007D407C"/>
    <w:rsid w:val="007F7DDE"/>
    <w:rsid w:val="008016D0"/>
    <w:rsid w:val="00804BA2"/>
    <w:rsid w:val="00807EDD"/>
    <w:rsid w:val="00820582"/>
    <w:rsid w:val="008300DD"/>
    <w:rsid w:val="00837137"/>
    <w:rsid w:val="008446B7"/>
    <w:rsid w:val="00846E51"/>
    <w:rsid w:val="008679D5"/>
    <w:rsid w:val="00896B58"/>
    <w:rsid w:val="008A01DA"/>
    <w:rsid w:val="008A2BDA"/>
    <w:rsid w:val="008B00DC"/>
    <w:rsid w:val="008D5E7A"/>
    <w:rsid w:val="00903459"/>
    <w:rsid w:val="009131DB"/>
    <w:rsid w:val="00915ADE"/>
    <w:rsid w:val="0093034C"/>
    <w:rsid w:val="0093040B"/>
    <w:rsid w:val="00932E67"/>
    <w:rsid w:val="00937D6F"/>
    <w:rsid w:val="00940976"/>
    <w:rsid w:val="009511EE"/>
    <w:rsid w:val="0095180F"/>
    <w:rsid w:val="00960F64"/>
    <w:rsid w:val="00982E16"/>
    <w:rsid w:val="00983079"/>
    <w:rsid w:val="00991912"/>
    <w:rsid w:val="009925BF"/>
    <w:rsid w:val="00993ABC"/>
    <w:rsid w:val="00997CD0"/>
    <w:rsid w:val="009B454E"/>
    <w:rsid w:val="009B7107"/>
    <w:rsid w:val="009E0124"/>
    <w:rsid w:val="009E2D26"/>
    <w:rsid w:val="00A03AB8"/>
    <w:rsid w:val="00A112C4"/>
    <w:rsid w:val="00A15098"/>
    <w:rsid w:val="00A1525D"/>
    <w:rsid w:val="00A414BE"/>
    <w:rsid w:val="00A5506F"/>
    <w:rsid w:val="00A61B60"/>
    <w:rsid w:val="00A76870"/>
    <w:rsid w:val="00A967A3"/>
    <w:rsid w:val="00AB3505"/>
    <w:rsid w:val="00AC01EB"/>
    <w:rsid w:val="00AC6EC8"/>
    <w:rsid w:val="00AD7D38"/>
    <w:rsid w:val="00AE1CAD"/>
    <w:rsid w:val="00AE2FBD"/>
    <w:rsid w:val="00AE3C70"/>
    <w:rsid w:val="00AE7B83"/>
    <w:rsid w:val="00AE7F09"/>
    <w:rsid w:val="00AF0BBA"/>
    <w:rsid w:val="00B06296"/>
    <w:rsid w:val="00B10319"/>
    <w:rsid w:val="00B36AF4"/>
    <w:rsid w:val="00B37645"/>
    <w:rsid w:val="00B402F0"/>
    <w:rsid w:val="00B41802"/>
    <w:rsid w:val="00B53B59"/>
    <w:rsid w:val="00B62E68"/>
    <w:rsid w:val="00B734D8"/>
    <w:rsid w:val="00BB5627"/>
    <w:rsid w:val="00BE4D12"/>
    <w:rsid w:val="00BF3A62"/>
    <w:rsid w:val="00C0648C"/>
    <w:rsid w:val="00C06492"/>
    <w:rsid w:val="00C22A2F"/>
    <w:rsid w:val="00C2341C"/>
    <w:rsid w:val="00C30FCA"/>
    <w:rsid w:val="00C36B48"/>
    <w:rsid w:val="00C430CD"/>
    <w:rsid w:val="00C63CC4"/>
    <w:rsid w:val="00C77B0A"/>
    <w:rsid w:val="00C80CD8"/>
    <w:rsid w:val="00C91C8E"/>
    <w:rsid w:val="00CA02EE"/>
    <w:rsid w:val="00CA0BAD"/>
    <w:rsid w:val="00CA26FB"/>
    <w:rsid w:val="00CC151E"/>
    <w:rsid w:val="00CC24A3"/>
    <w:rsid w:val="00CE48E7"/>
    <w:rsid w:val="00CF3F40"/>
    <w:rsid w:val="00D03B0C"/>
    <w:rsid w:val="00D12200"/>
    <w:rsid w:val="00D21886"/>
    <w:rsid w:val="00D56F59"/>
    <w:rsid w:val="00D6113C"/>
    <w:rsid w:val="00D66148"/>
    <w:rsid w:val="00D731BD"/>
    <w:rsid w:val="00D95EC3"/>
    <w:rsid w:val="00DA09ED"/>
    <w:rsid w:val="00DA4480"/>
    <w:rsid w:val="00DB037A"/>
    <w:rsid w:val="00DD43EA"/>
    <w:rsid w:val="00DE43E6"/>
    <w:rsid w:val="00DE75EB"/>
    <w:rsid w:val="00DF0245"/>
    <w:rsid w:val="00DF695B"/>
    <w:rsid w:val="00DF6DD0"/>
    <w:rsid w:val="00E061B8"/>
    <w:rsid w:val="00E14A54"/>
    <w:rsid w:val="00E22138"/>
    <w:rsid w:val="00E36EA2"/>
    <w:rsid w:val="00E41523"/>
    <w:rsid w:val="00E42DA7"/>
    <w:rsid w:val="00E434FA"/>
    <w:rsid w:val="00E4700A"/>
    <w:rsid w:val="00E53E82"/>
    <w:rsid w:val="00E66734"/>
    <w:rsid w:val="00E81BC3"/>
    <w:rsid w:val="00E8506E"/>
    <w:rsid w:val="00E95EBB"/>
    <w:rsid w:val="00EA1B8A"/>
    <w:rsid w:val="00EB412B"/>
    <w:rsid w:val="00EB70CE"/>
    <w:rsid w:val="00EC04CE"/>
    <w:rsid w:val="00EE2F21"/>
    <w:rsid w:val="00EE370F"/>
    <w:rsid w:val="00EF2574"/>
    <w:rsid w:val="00F05C79"/>
    <w:rsid w:val="00F45011"/>
    <w:rsid w:val="00F536D7"/>
    <w:rsid w:val="00F87A19"/>
    <w:rsid w:val="00FA6811"/>
    <w:rsid w:val="00FA6A61"/>
    <w:rsid w:val="00FB0CC1"/>
    <w:rsid w:val="00FB31F0"/>
    <w:rsid w:val="00FE0DDC"/>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FFDA"/>
  <w15:docId w15:val="{DD0F3C7E-77E0-4D64-BBCB-3E5BC880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F0DDC"/>
    <w:rsid w:val="00272300"/>
    <w:rsid w:val="003D1F1C"/>
    <w:rsid w:val="006024C5"/>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8AD4-E031-4911-BD89-5402734B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Emanuel, Rob</cp:lastModifiedBy>
  <cp:revision>2</cp:revision>
  <cp:lastPrinted>2018-11-20T01:48:00Z</cp:lastPrinted>
  <dcterms:created xsi:type="dcterms:W3CDTF">2020-07-24T04:59:00Z</dcterms:created>
  <dcterms:modified xsi:type="dcterms:W3CDTF">2020-07-24T04:59:00Z</dcterms:modified>
</cp:coreProperties>
</file>