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2C8586B7" w:rsidR="00FE1945" w:rsidRPr="00563A3D" w:rsidRDefault="004B7B1A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Isabella Plains Early Childhood School</w:t>
          </w:r>
        </w:p>
      </w:sdtContent>
    </w:sdt>
    <w:p w14:paraId="63330FCF" w14:textId="2786F21C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4B7B1A">
            <w:t>Tuggeranong</w:t>
          </w:r>
        </w:sdtContent>
      </w:sdt>
    </w:p>
    <w:p w14:paraId="38F253B0" w14:textId="02F4661B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4B7B1A">
        <w:t>2</w:t>
      </w:r>
      <w:r w:rsidR="00C4276A">
        <w:t>1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440F4EBF" w:rsidR="00B10319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 xml:space="preserve">for </w:t>
      </w:r>
      <w:r w:rsidR="00C4276A">
        <w:t>2021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</w:t>
      </w:r>
      <w:r w:rsidR="005B79D4" w:rsidRPr="00132917">
        <w:t>changes,</w:t>
      </w:r>
      <w:r w:rsidR="00DA4480" w:rsidRPr="00132917">
        <w:t xml:space="preserve"> or risks to delivery of improvement for student learning.</w:t>
      </w:r>
    </w:p>
    <w:p w14:paraId="4C974366" w14:textId="3692FEF4" w:rsidR="00132917" w:rsidRPr="0058339C" w:rsidRDefault="00161842" w:rsidP="0058339C">
      <w:pPr>
        <w:pStyle w:val="BodyText"/>
      </w:pPr>
      <w:r>
        <w:t>In 2021, the school engaged with Director School Improvement and Education Support Office as part of an accelerated school improvement process.  This was in response to significant disruptions in 2020 including COVID-19</w:t>
      </w:r>
      <w:r w:rsidR="00DE6ED8">
        <w:t xml:space="preserve"> and an</w:t>
      </w:r>
      <w:r>
        <w:t xml:space="preserve"> increase in children presenting with significant complex needs </w:t>
      </w:r>
      <w:r w:rsidR="00DE6ED8">
        <w:t>leading to low staff morale.</w:t>
      </w:r>
      <w:r>
        <w:t xml:space="preserve">  </w:t>
      </w:r>
      <w:r w:rsidR="00DE6ED8">
        <w:t xml:space="preserve">The main two focus areas in 2021 were maximising growth in reading for all children and enhancing children and staff wellbeing.  </w:t>
      </w:r>
      <w:r>
        <w:t xml:space="preserve">Further complexities in 2021 related to COVID-19 and significant changes to the school leadership proved disruptive to the school’s improvement agenda.  Despite this, significant achievements were made in addressing each of the schools’ strategic priorities however </w:t>
      </w:r>
      <w:r w:rsidR="00DF2006">
        <w:t>some</w:t>
      </w:r>
      <w:r>
        <w:t xml:space="preserve"> actions were not progressed.  </w:t>
      </w:r>
      <w:r w:rsidR="00AE2FBD"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0E4AE3ED" w14:textId="4A7593C4" w:rsidR="00846E51" w:rsidRPr="00132917" w:rsidRDefault="00300F72" w:rsidP="00132917">
      <w:pPr>
        <w:pStyle w:val="BodyText"/>
      </w:pPr>
      <w:r w:rsidRPr="00132917">
        <w:t>In 20</w:t>
      </w:r>
      <w:r w:rsidR="00835824">
        <w:t>2</w:t>
      </w:r>
      <w:r w:rsidR="00C4276A">
        <w:t>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Priority </w:t>
      </w:r>
      <w:r w:rsidR="00835824">
        <w:t>2</w:t>
      </w:r>
      <w:r w:rsidRPr="00132917">
        <w:t xml:space="preserve"> (see reporting for detail):</w:t>
      </w:r>
    </w:p>
    <w:p w14:paraId="6C00F605" w14:textId="404BADC8" w:rsidR="000C11A7" w:rsidRPr="00DE6ED8" w:rsidRDefault="000C11A7" w:rsidP="000C11A7">
      <w:pPr>
        <w:pStyle w:val="ListBullet"/>
      </w:pPr>
      <w:r w:rsidRPr="00673F0E">
        <w:rPr>
          <w:rFonts w:cstheme="minorHAnsi"/>
        </w:rPr>
        <w:t xml:space="preserve">Implement Positive Behaviours (PBL) for Learning across the school </w:t>
      </w:r>
    </w:p>
    <w:p w14:paraId="3256B503" w14:textId="6FBB85EF" w:rsidR="00DE6ED8" w:rsidRPr="00673F0E" w:rsidRDefault="00DE6ED8" w:rsidP="000C11A7">
      <w:pPr>
        <w:pStyle w:val="ListBullet"/>
      </w:pPr>
      <w:r>
        <w:rPr>
          <w:rFonts w:cstheme="minorHAnsi"/>
        </w:rPr>
        <w:t>A whole school focus on wellbeing (children and staff) and significant adjustments for children with complex needs.</w:t>
      </w:r>
    </w:p>
    <w:p w14:paraId="4237A615" w14:textId="77777777" w:rsidR="00300F72" w:rsidRPr="00300F72" w:rsidRDefault="00300F72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14162F1A" w14:textId="77C605E6" w:rsidR="00300F72" w:rsidRPr="00132917" w:rsidRDefault="00300F72" w:rsidP="00132917">
      <w:pPr>
        <w:pStyle w:val="BodyText"/>
      </w:pPr>
      <w:r w:rsidRPr="00132917">
        <w:t>In 20</w:t>
      </w:r>
      <w:r w:rsidR="00775F5F">
        <w:t>2</w:t>
      </w:r>
      <w:r w:rsidR="00161842">
        <w:t>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2244B7">
        <w:t>1</w:t>
      </w:r>
      <w:r w:rsidRPr="00132917">
        <w:t xml:space="preserve"> (see reporting for detail):</w:t>
      </w:r>
    </w:p>
    <w:p w14:paraId="383000D5" w14:textId="77777777" w:rsidR="000C11A7" w:rsidRPr="00287C8E" w:rsidRDefault="000C11A7" w:rsidP="00287C8E">
      <w:pPr>
        <w:pStyle w:val="ListBullet"/>
        <w:rPr>
          <w:rFonts w:cstheme="minorHAnsi"/>
        </w:rPr>
      </w:pPr>
      <w:r w:rsidRPr="00287C8E">
        <w:rPr>
          <w:rFonts w:cstheme="minorHAnsi"/>
        </w:rPr>
        <w:t>Establish shared beliefs and understanding about the teaching of reading at IPECS</w:t>
      </w:r>
    </w:p>
    <w:p w14:paraId="249CB81C" w14:textId="77777777" w:rsidR="000C11A7" w:rsidRPr="00287C8E" w:rsidRDefault="000C11A7" w:rsidP="00287C8E">
      <w:pPr>
        <w:pStyle w:val="ListBullet"/>
        <w:rPr>
          <w:rFonts w:cstheme="minorHAnsi"/>
        </w:rPr>
      </w:pPr>
      <w:r w:rsidRPr="00287C8E">
        <w:rPr>
          <w:rFonts w:cstheme="minorHAnsi"/>
        </w:rPr>
        <w:t>Build teacher capacity to collect, analyse and use student data to inform teaching and measure progress</w:t>
      </w:r>
    </w:p>
    <w:p w14:paraId="2B4FBDA6" w14:textId="3F18B4CE" w:rsidR="000C11A7" w:rsidRPr="00287C8E" w:rsidRDefault="000C11A7" w:rsidP="00287C8E">
      <w:pPr>
        <w:pStyle w:val="ListBullet"/>
        <w:rPr>
          <w:rFonts w:cstheme="minorHAnsi"/>
        </w:rPr>
      </w:pPr>
      <w:r w:rsidRPr="00287C8E">
        <w:rPr>
          <w:rFonts w:cstheme="minorHAnsi"/>
        </w:rPr>
        <w:t>Embed the readers workshop model across all classes in K-2 (to reflect the belief statement)</w:t>
      </w:r>
    </w:p>
    <w:p w14:paraId="2D2B5AFA" w14:textId="77777777" w:rsidR="000C11A7" w:rsidRPr="00287C8E" w:rsidRDefault="000C11A7" w:rsidP="00287C8E">
      <w:pPr>
        <w:pStyle w:val="ListBullet"/>
        <w:rPr>
          <w:rFonts w:cstheme="minorHAnsi"/>
        </w:rPr>
      </w:pPr>
      <w:r w:rsidRPr="00287C8E">
        <w:rPr>
          <w:rFonts w:cstheme="minorHAnsi"/>
        </w:rPr>
        <w:t>Build pedagogical content knowledge of teaching reading (David Hornsby phonological awareness)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6B398A53" w14:textId="5AF31E87" w:rsidR="00300F72" w:rsidRDefault="00300F72" w:rsidP="00132917">
      <w:pPr>
        <w:pStyle w:val="BodyText"/>
      </w:pPr>
      <w:r w:rsidRPr="00132917">
        <w:t>In 20</w:t>
      </w:r>
      <w:r w:rsidR="00775F5F">
        <w:t>2</w:t>
      </w:r>
      <w:r w:rsidR="000C11A7">
        <w:t>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0C11A7">
        <w:t>1</w:t>
      </w:r>
      <w:r w:rsidRPr="00132917">
        <w:t xml:space="preserve"> (see reporting for detail):</w:t>
      </w:r>
    </w:p>
    <w:p w14:paraId="59777CE8" w14:textId="2BA971D7" w:rsidR="00300F72" w:rsidRPr="001B26EA" w:rsidRDefault="00DE6ED8" w:rsidP="005B69CB">
      <w:pPr>
        <w:pStyle w:val="ListBullet"/>
      </w:pPr>
      <w:r>
        <w:lastRenderedPageBreak/>
        <w:t>Audit of ILP processes and analysis of ILP and NCCD data to inform a review of ILP processes and procedures in 2022</w:t>
      </w:r>
    </w:p>
    <w:p w14:paraId="2B93A716" w14:textId="0A6ED895" w:rsidR="00B10319" w:rsidRDefault="004D5E45" w:rsidP="001B2E33">
      <w:pPr>
        <w:pStyle w:val="Heading1"/>
      </w:pPr>
      <w:r>
        <w:t>Reporting against our priorities</w:t>
      </w:r>
    </w:p>
    <w:p w14:paraId="60F6F987" w14:textId="77777777" w:rsidR="006A3A81" w:rsidRPr="000F0410" w:rsidRDefault="00837137" w:rsidP="006A3A81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6A3A81">
        <w:t>Maximise growth in learning for all children</w:t>
      </w:r>
    </w:p>
    <w:p w14:paraId="255A28BA" w14:textId="7DCFA201" w:rsidR="004D5E45" w:rsidRPr="00837137" w:rsidRDefault="006D2F6B" w:rsidP="006A3A81">
      <w:pPr>
        <w:pStyle w:val="Heading2"/>
        <w:tabs>
          <w:tab w:val="clear" w:pos="2410"/>
          <w:tab w:val="left" w:pos="1276"/>
        </w:tabs>
        <w:ind w:left="1276" w:hanging="1276"/>
      </w:pPr>
      <w:r w:rsidRPr="00837137">
        <w:t>Targets or measures</w:t>
      </w:r>
    </w:p>
    <w:p w14:paraId="316A5283" w14:textId="3EB9DCE7" w:rsidR="006A3A81" w:rsidRDefault="006A3A81" w:rsidP="006A3A81">
      <w:pPr>
        <w:pStyle w:val="BodyText"/>
      </w:pPr>
      <w:r>
        <w:t>By the end of 2022:</w:t>
      </w:r>
    </w:p>
    <w:p w14:paraId="3DDAA50B" w14:textId="1F3797D7" w:rsidR="006A3A81" w:rsidRPr="00F17D8E" w:rsidRDefault="00F17D8E" w:rsidP="00F17D8E">
      <w:pPr>
        <w:pStyle w:val="ListBullet"/>
      </w:pPr>
      <w:r w:rsidRPr="00F17D8E">
        <w:t>75% of preschool children will achieve one year of growth on oral language skills</w:t>
      </w:r>
    </w:p>
    <w:p w14:paraId="6A0AE05C" w14:textId="77777777" w:rsidR="00F17D8E" w:rsidRPr="00F17D8E" w:rsidRDefault="00F17D8E" w:rsidP="00F17D8E">
      <w:pPr>
        <w:pStyle w:val="ListBullet"/>
      </w:pPr>
      <w:r w:rsidRPr="00F17D8E">
        <w:t>81% of K-2 children will be reading at or above reading benchmark</w:t>
      </w:r>
    </w:p>
    <w:p w14:paraId="3F693964" w14:textId="77777777" w:rsidR="00F17D8E" w:rsidRPr="00F17D8E" w:rsidRDefault="00F17D8E" w:rsidP="00F17D8E">
      <w:pPr>
        <w:pStyle w:val="ListBullet"/>
      </w:pPr>
      <w:r w:rsidRPr="00F17D8E">
        <w:t>60% of children will achieve the grade level outcomes in writing</w:t>
      </w:r>
    </w:p>
    <w:p w14:paraId="3A8F86FE" w14:textId="2A4B55C2" w:rsidR="006A3A81" w:rsidRPr="00F17D8E" w:rsidRDefault="00F17D8E" w:rsidP="00F17D8E">
      <w:pPr>
        <w:pStyle w:val="ListBullet"/>
      </w:pPr>
      <w:r w:rsidRPr="00F17D8E">
        <w:t>85% of year two children and 78% of year one children achieve a C grade or higher in English</w:t>
      </w:r>
    </w:p>
    <w:p w14:paraId="2725C3C3" w14:textId="096B6EC0" w:rsidR="00F17D8E" w:rsidRPr="00F17D8E" w:rsidRDefault="00F17D8E" w:rsidP="00F17D8E">
      <w:pPr>
        <w:pStyle w:val="ListBullet"/>
      </w:pPr>
      <w:r w:rsidRPr="00F17D8E">
        <w:t>73% of kindergarten children will achieve expected growth or high growth in reading in BASE (PIPS) at the end of kindergarten</w:t>
      </w:r>
    </w:p>
    <w:p w14:paraId="2676BEA9" w14:textId="79847943" w:rsidR="00F17D8E" w:rsidRPr="00F17D8E" w:rsidRDefault="00F17D8E" w:rsidP="00F17D8E">
      <w:pPr>
        <w:pStyle w:val="ListBullet"/>
      </w:pPr>
      <w:r w:rsidRPr="00F17D8E">
        <w:t>75% of staff will report that they get quality feedback on their performance</w:t>
      </w:r>
    </w:p>
    <w:p w14:paraId="76869FEB" w14:textId="6A2D0469" w:rsidR="00F17D8E" w:rsidRPr="00F17D8E" w:rsidRDefault="00F17D8E" w:rsidP="00F17D8E">
      <w:pPr>
        <w:pStyle w:val="ListBullet"/>
      </w:pPr>
      <w:r w:rsidRPr="00F17D8E">
        <w:t>62% of staff will report that there is effective communication amongst all staff</w:t>
      </w:r>
    </w:p>
    <w:p w14:paraId="4D8209B9" w14:textId="5C0F20C3" w:rsidR="00F17D8E" w:rsidRPr="00F17D8E" w:rsidRDefault="00F17D8E" w:rsidP="00F17D8E">
      <w:pPr>
        <w:pStyle w:val="ListBullet"/>
      </w:pPr>
      <w:r w:rsidRPr="00F17D8E">
        <w:t xml:space="preserve">81% of staff will report that staff are well supported at this school. </w:t>
      </w:r>
    </w:p>
    <w:p w14:paraId="4CCF8818" w14:textId="4E20C11B" w:rsidR="00F17D8E" w:rsidRPr="00F17D8E" w:rsidRDefault="00F17D8E" w:rsidP="00F17D8E">
      <w:pPr>
        <w:pStyle w:val="ListBullet"/>
      </w:pPr>
      <w:r w:rsidRPr="00F17D8E">
        <w:t xml:space="preserve">Increase the staff confidence interval regarding Learning walk and talks </w:t>
      </w:r>
    </w:p>
    <w:p w14:paraId="599D1049" w14:textId="21CACB77" w:rsidR="00F17D8E" w:rsidRPr="00F17D8E" w:rsidRDefault="00F17D8E" w:rsidP="00F17D8E">
      <w:pPr>
        <w:pStyle w:val="ListBullet"/>
      </w:pPr>
      <w:r w:rsidRPr="00F17D8E">
        <w:t xml:space="preserve">increase the staff confidence interval regarding spirals of inquiry </w:t>
      </w:r>
    </w:p>
    <w:p w14:paraId="74686665" w14:textId="400F30AA" w:rsidR="00F17D8E" w:rsidRPr="00F17D8E" w:rsidRDefault="00F17D8E" w:rsidP="00F17D8E">
      <w:pPr>
        <w:pStyle w:val="ListBullet"/>
      </w:pPr>
      <w:r w:rsidRPr="00F17D8E">
        <w:t xml:space="preserve">Increase the staff confidence interval regarding data analysis </w:t>
      </w:r>
    </w:p>
    <w:p w14:paraId="1319DBFF" w14:textId="0AA42E80" w:rsidR="004D5E45" w:rsidRPr="00373DC0" w:rsidRDefault="004D5E45" w:rsidP="00837137">
      <w:pPr>
        <w:pStyle w:val="BodyText"/>
      </w:pPr>
      <w:r w:rsidRPr="00373DC0">
        <w:t>In 20</w:t>
      </w:r>
      <w:r w:rsidR="006A3A81">
        <w:t>2</w:t>
      </w:r>
      <w:r w:rsidR="00C4276A">
        <w:t>1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</w:t>
      </w:r>
      <w:r w:rsidR="00923FC7">
        <w:t>:</w:t>
      </w:r>
    </w:p>
    <w:p w14:paraId="159CB0F5" w14:textId="450FDA20" w:rsidR="0030111C" w:rsidRPr="00FE24C7" w:rsidRDefault="00FE24C7" w:rsidP="00FE24C7">
      <w:pPr>
        <w:pStyle w:val="ListBullet"/>
      </w:pPr>
      <w:r w:rsidRPr="00FE24C7">
        <w:t>Establish</w:t>
      </w:r>
      <w:r w:rsidR="00C64183">
        <w:t>ed</w:t>
      </w:r>
      <w:r w:rsidRPr="00FE24C7">
        <w:t xml:space="preserve"> shared beliefs and understanding about the teaching of reading at IPECS</w:t>
      </w:r>
    </w:p>
    <w:p w14:paraId="3F3A7E05" w14:textId="2524427A" w:rsidR="00FE24C7" w:rsidRPr="00FE24C7" w:rsidRDefault="00FE24C7" w:rsidP="00FE24C7">
      <w:pPr>
        <w:pStyle w:val="ListBullet"/>
      </w:pPr>
      <w:r w:rsidRPr="00FE24C7">
        <w:rPr>
          <w:rFonts w:cstheme="minorHAnsi"/>
        </w:rPr>
        <w:t>Buil</w:t>
      </w:r>
      <w:r w:rsidR="00C64183">
        <w:rPr>
          <w:rFonts w:cstheme="minorHAnsi"/>
        </w:rPr>
        <w:t>t</w:t>
      </w:r>
      <w:r w:rsidRPr="00FE24C7">
        <w:rPr>
          <w:rFonts w:cstheme="minorHAnsi"/>
        </w:rPr>
        <w:t xml:space="preserve"> teacher capacity to collect, analyse and use student data to inform teaching and measure progress</w:t>
      </w:r>
    </w:p>
    <w:p w14:paraId="420CBED2" w14:textId="4AA87A49" w:rsidR="00FE24C7" w:rsidRPr="00FE24C7" w:rsidRDefault="00FE24C7" w:rsidP="00FE24C7">
      <w:pPr>
        <w:pStyle w:val="ListBullet"/>
      </w:pPr>
      <w:r w:rsidRPr="00FE24C7">
        <w:rPr>
          <w:rFonts w:cstheme="minorHAnsi"/>
        </w:rPr>
        <w:t>Embed</w:t>
      </w:r>
      <w:r w:rsidR="00C64183">
        <w:rPr>
          <w:rFonts w:cstheme="minorHAnsi"/>
        </w:rPr>
        <w:t>ded</w:t>
      </w:r>
      <w:r w:rsidRPr="00FE24C7">
        <w:rPr>
          <w:rFonts w:cstheme="minorHAnsi"/>
        </w:rPr>
        <w:t xml:space="preserve"> the readers workshop model across all classes in K-</w:t>
      </w:r>
      <w:r w:rsidR="00C64183" w:rsidRPr="00FE24C7">
        <w:rPr>
          <w:rFonts w:cstheme="minorHAnsi"/>
        </w:rPr>
        <w:t>2 (</w:t>
      </w:r>
      <w:r w:rsidRPr="00FE24C7">
        <w:rPr>
          <w:rFonts w:cstheme="minorHAnsi"/>
        </w:rPr>
        <w:t>to reflect the belief statement)</w:t>
      </w:r>
    </w:p>
    <w:p w14:paraId="588A0A05" w14:textId="435B9271" w:rsidR="00FE24C7" w:rsidRPr="00FE24C7" w:rsidRDefault="00FE24C7" w:rsidP="00FE24C7">
      <w:pPr>
        <w:pStyle w:val="ListBullet"/>
      </w:pPr>
      <w:r w:rsidRPr="00FE24C7">
        <w:rPr>
          <w:rFonts w:cstheme="minorHAnsi"/>
          <w:color w:val="000000"/>
        </w:rPr>
        <w:t>Buil</w:t>
      </w:r>
      <w:r w:rsidR="00C64183">
        <w:rPr>
          <w:rFonts w:cstheme="minorHAnsi"/>
          <w:color w:val="000000"/>
        </w:rPr>
        <w:t>t</w:t>
      </w:r>
      <w:r w:rsidRPr="00FE24C7">
        <w:rPr>
          <w:rFonts w:cstheme="minorHAnsi"/>
          <w:color w:val="000000"/>
        </w:rPr>
        <w:t xml:space="preserve"> pedagogical content knowledge of teaching reading</w:t>
      </w:r>
      <w:r w:rsidR="003A2393">
        <w:rPr>
          <w:rFonts w:cstheme="minorHAnsi"/>
          <w:color w:val="000000"/>
        </w:rPr>
        <w:t xml:space="preserve"> (David Hornsby phonological awareness)</w:t>
      </w:r>
    </w:p>
    <w:p w14:paraId="5B77FB90" w14:textId="77777777" w:rsidR="00FE24C7" w:rsidRDefault="00FE24C7" w:rsidP="007C704B">
      <w:pPr>
        <w:pStyle w:val="ListBullet"/>
        <w:numPr>
          <w:ilvl w:val="0"/>
          <w:numId w:val="0"/>
        </w:numPr>
      </w:pPr>
    </w:p>
    <w:p w14:paraId="48014FA4" w14:textId="57791719" w:rsidR="0030111C" w:rsidRPr="00997CD0" w:rsidRDefault="006A3A81" w:rsidP="007C704B">
      <w:pPr>
        <w:pStyle w:val="ListBullet"/>
        <w:numPr>
          <w:ilvl w:val="0"/>
          <w:numId w:val="0"/>
        </w:numPr>
        <w:rPr>
          <w:noProof/>
        </w:rPr>
      </w:pPr>
      <w:r>
        <w:t>Below is our p</w:t>
      </w:r>
      <w:r w:rsidRPr="00997CD0">
        <w:t xml:space="preserve">rogress towards </w:t>
      </w:r>
      <w:r>
        <w:t xml:space="preserve">our </w:t>
      </w:r>
      <w:r w:rsidRPr="00997CD0">
        <w:t>five-year targets with an emphasis on the accumulation and</w:t>
      </w:r>
      <w:r w:rsidR="00C46F91">
        <w:t xml:space="preserve"> </w:t>
      </w:r>
      <w:r w:rsidRPr="00997CD0">
        <w:t xml:space="preserve">analysis of evidence over the term of </w:t>
      </w:r>
      <w:r>
        <w:t>our</w:t>
      </w:r>
      <w:r w:rsidRPr="00997CD0">
        <w:t xml:space="preserve"> plan.</w:t>
      </w:r>
      <w:r w:rsidRPr="002F4184">
        <w:rPr>
          <w:noProof/>
        </w:rPr>
        <w:t xml:space="preserve"> </w:t>
      </w:r>
    </w:p>
    <w:p w14:paraId="1C7AF96A" w14:textId="77777777" w:rsidR="006A3A81" w:rsidRPr="00C0648C" w:rsidRDefault="006A3A81" w:rsidP="007C704B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A3A81" w14:paraId="6578744D" w14:textId="77777777" w:rsidTr="00B876A2">
        <w:trPr>
          <w:tblHeader/>
          <w:jc w:val="center"/>
        </w:trPr>
        <w:tc>
          <w:tcPr>
            <w:tcW w:w="4297" w:type="dxa"/>
            <w:shd w:val="clear" w:color="auto" w:fill="auto"/>
          </w:tcPr>
          <w:p w14:paraId="34BF1639" w14:textId="77777777" w:rsidR="006A3A81" w:rsidRPr="00D03B0C" w:rsidRDefault="006A3A81" w:rsidP="00EA69A3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21C463D2" w14:textId="77777777" w:rsidR="006A3A81" w:rsidRPr="00D03B0C" w:rsidRDefault="006A3A81" w:rsidP="00EA69A3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06364456" w14:textId="77777777" w:rsidR="006A3A81" w:rsidRPr="00D03B0C" w:rsidRDefault="006A3A81" w:rsidP="00EA69A3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6AE850EF" w14:textId="77777777" w:rsidR="006A3A81" w:rsidRPr="00D03B0C" w:rsidRDefault="006A3A81" w:rsidP="00EA69A3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6D75DBC7" w14:textId="77777777" w:rsidR="006A3A81" w:rsidRPr="00D03B0C" w:rsidRDefault="006A3A81" w:rsidP="00EA69A3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5D7D6457" w14:textId="77777777" w:rsidR="006A3A81" w:rsidRPr="00D03B0C" w:rsidRDefault="006A3A81" w:rsidP="00EA69A3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2E7F51F8" w14:textId="77777777" w:rsidR="006A3A81" w:rsidRPr="00D03B0C" w:rsidRDefault="006A3A81" w:rsidP="00EA69A3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6A3A81" w14:paraId="5A849760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5912ACAD" w14:textId="40FB8E43" w:rsidR="006A3A81" w:rsidRPr="00D03B0C" w:rsidRDefault="00F17D8E" w:rsidP="00EA69A3">
            <w:pPr>
              <w:pStyle w:val="PlainText"/>
            </w:pPr>
            <w:bookmarkStart w:id="0" w:name="_Hlk59085051"/>
            <w:r>
              <w:rPr>
                <w:bCs/>
              </w:rPr>
              <w:t xml:space="preserve">By 2022, 75% of preschool children will </w:t>
            </w:r>
            <w:r w:rsidRPr="00695749">
              <w:rPr>
                <w:bCs/>
              </w:rPr>
              <w:t>achiev</w:t>
            </w:r>
            <w:r>
              <w:rPr>
                <w:bCs/>
              </w:rPr>
              <w:t>e</w:t>
            </w:r>
            <w:r w:rsidRPr="00695749">
              <w:rPr>
                <w:bCs/>
              </w:rPr>
              <w:t xml:space="preserve"> one year of growth</w:t>
            </w:r>
            <w:r>
              <w:rPr>
                <w:bCs/>
              </w:rPr>
              <w:t xml:space="preserve"> on oral language skills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C77489B" w14:textId="03102023" w:rsidR="006A3A81" w:rsidRPr="00D03B0C" w:rsidRDefault="00B1229B" w:rsidP="00EA69A3">
            <w:pPr>
              <w:jc w:val="center"/>
            </w:pPr>
            <w:r>
              <w:t>61%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7294164" w14:textId="77777777" w:rsidR="006A3A81" w:rsidRPr="00D03B0C" w:rsidRDefault="006A3A81" w:rsidP="00EA69A3">
            <w:pPr>
              <w:jc w:val="center"/>
            </w:pPr>
            <w:r>
              <w:t>65%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4BE866D" w14:textId="77777777" w:rsidR="006A3A81" w:rsidRPr="00D03B0C" w:rsidRDefault="006A3A81" w:rsidP="00EA69A3">
            <w:pPr>
              <w:jc w:val="center"/>
            </w:pPr>
            <w:r>
              <w:t>58%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C37C90E" w14:textId="69E691AB" w:rsidR="006A3A81" w:rsidRPr="00D03B0C" w:rsidRDefault="00BD165F" w:rsidP="00EA69A3">
            <w:pPr>
              <w:jc w:val="center"/>
            </w:pPr>
            <w:r>
              <w:t>54%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3290689" w14:textId="68D2CA64" w:rsidR="006A3A81" w:rsidRPr="00D03B0C" w:rsidRDefault="00B876A2" w:rsidP="00EA69A3">
            <w:pPr>
              <w:jc w:val="center"/>
            </w:pPr>
            <w:r>
              <w:t>53%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7EC97B3" w14:textId="77777777" w:rsidR="006A3A81" w:rsidRPr="00D03B0C" w:rsidRDefault="006A3A81" w:rsidP="00EA69A3">
            <w:pPr>
              <w:jc w:val="center"/>
            </w:pPr>
          </w:p>
        </w:tc>
      </w:tr>
      <w:tr w:rsidR="006A3A81" w14:paraId="6D99C115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2BB0268D" w14:textId="18AF1F04" w:rsidR="006A3A81" w:rsidRPr="00D03B0C" w:rsidRDefault="00F17D8E" w:rsidP="00EA69A3">
            <w:r>
              <w:rPr>
                <w:bCs/>
              </w:rPr>
              <w:t xml:space="preserve">By 2022, 81% </w:t>
            </w:r>
            <w:r>
              <w:t>of K-2 children will be reading at or above reading benchmark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FC3BF8C" w14:textId="5E343968" w:rsidR="006A3A81" w:rsidRPr="00D03B0C" w:rsidRDefault="00B1229B" w:rsidP="00EA69A3">
            <w:pPr>
              <w:jc w:val="center"/>
            </w:pPr>
            <w:r>
              <w:t>76%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3982CE9" w14:textId="77777777" w:rsidR="006A3A81" w:rsidRPr="00D03B0C" w:rsidRDefault="006A3A81" w:rsidP="00EA69A3">
            <w:pPr>
              <w:jc w:val="center"/>
            </w:pPr>
            <w:r>
              <w:t>89%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FFFB252" w14:textId="77777777" w:rsidR="006A3A81" w:rsidRPr="00D03B0C" w:rsidRDefault="006A3A81" w:rsidP="00EA69A3">
            <w:pPr>
              <w:jc w:val="center"/>
            </w:pPr>
            <w:r>
              <w:t>64%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F68DF29" w14:textId="74C8AC27" w:rsidR="006A3A81" w:rsidRPr="00D03B0C" w:rsidRDefault="009904CF" w:rsidP="00EA69A3">
            <w:pPr>
              <w:jc w:val="center"/>
            </w:pPr>
            <w:r>
              <w:t>70%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5460CF9" w14:textId="1BA3168E" w:rsidR="006A3A81" w:rsidRPr="00D03B0C" w:rsidRDefault="00B876A2" w:rsidP="00EA69A3">
            <w:pPr>
              <w:jc w:val="center"/>
            </w:pPr>
            <w:r>
              <w:t>54%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B6C8792" w14:textId="77777777" w:rsidR="006A3A81" w:rsidRPr="00D03B0C" w:rsidRDefault="006A3A81" w:rsidP="00EA69A3">
            <w:pPr>
              <w:jc w:val="center"/>
            </w:pPr>
          </w:p>
        </w:tc>
      </w:tr>
      <w:tr w:rsidR="006A3A81" w14:paraId="4F0CBAFC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18AE79DD" w14:textId="77777777" w:rsidR="00F17D8E" w:rsidRDefault="00F17D8E" w:rsidP="00F17D8E">
            <w:pPr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48185A">
              <w:rPr>
                <w:bCs/>
              </w:rPr>
              <w:t>By 2022, 60%</w:t>
            </w:r>
            <w:r w:rsidRPr="0048185A">
              <w:rPr>
                <w:rFonts w:ascii="Calibri" w:eastAsia="Calibri" w:hAnsi="Calibri" w:cs="Calibri"/>
                <w:bCs/>
                <w:color w:val="000000"/>
                <w:lang w:eastAsia="en-AU"/>
              </w:rPr>
              <w:t xml:space="preserve"> of children</w:t>
            </w:r>
            <w:r>
              <w:rPr>
                <w:rFonts w:ascii="Calibri" w:eastAsia="Calibri" w:hAnsi="Calibri" w:cs="Calibri"/>
                <w:color w:val="000000"/>
                <w:lang w:eastAsia="en-AU"/>
              </w:rPr>
              <w:t xml:space="preserve"> will achieve</w:t>
            </w:r>
            <w:r w:rsidRPr="00462C51">
              <w:rPr>
                <w:rFonts w:ascii="Calibri" w:eastAsia="Calibri" w:hAnsi="Calibri" w:cs="Calibri"/>
                <w:color w:val="000000"/>
                <w:lang w:eastAsia="en-AU"/>
              </w:rPr>
              <w:t xml:space="preserve"> the grade level outcomes </w:t>
            </w:r>
            <w:r>
              <w:rPr>
                <w:rFonts w:ascii="Calibri" w:eastAsia="Calibri" w:hAnsi="Calibri" w:cs="Calibri"/>
                <w:color w:val="000000"/>
                <w:lang w:eastAsia="en-AU"/>
              </w:rPr>
              <w:t>in writing</w:t>
            </w:r>
          </w:p>
          <w:p w14:paraId="3E9122B0" w14:textId="467BDBDD" w:rsidR="006A3A81" w:rsidRDefault="006A3A81" w:rsidP="00F17D8E"/>
        </w:tc>
        <w:tc>
          <w:tcPr>
            <w:tcW w:w="790" w:type="dxa"/>
            <w:shd w:val="clear" w:color="auto" w:fill="auto"/>
            <w:vAlign w:val="center"/>
          </w:tcPr>
          <w:p w14:paraId="60EC8EAE" w14:textId="77777777" w:rsidR="006A3A81" w:rsidRPr="00D03B0C" w:rsidRDefault="006A3A81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E2A93C2" w14:textId="77777777" w:rsidR="006A3A81" w:rsidRDefault="006A3A81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2735E8D" w14:textId="77777777" w:rsidR="006A3A81" w:rsidRDefault="006A3A81" w:rsidP="00EA69A3">
            <w:r>
              <w:t>K: 46%</w:t>
            </w:r>
          </w:p>
          <w:p w14:paraId="4EFF48C6" w14:textId="77777777" w:rsidR="006A3A81" w:rsidRDefault="006A3A81" w:rsidP="00EA69A3">
            <w:r>
              <w:t>1: 55%</w:t>
            </w:r>
          </w:p>
          <w:p w14:paraId="3297B005" w14:textId="17594E17" w:rsidR="006A3A81" w:rsidRPr="00D03B0C" w:rsidRDefault="006A3A81" w:rsidP="00EA69A3">
            <w:r>
              <w:t>2: 55%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0486C5D" w14:textId="43F56321" w:rsidR="006A3A81" w:rsidRPr="00D03B0C" w:rsidRDefault="00637C91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571D644" w14:textId="5DCB65E8" w:rsidR="006A3A81" w:rsidRPr="00D03B0C" w:rsidRDefault="00B876A2" w:rsidP="00EA69A3">
            <w:pPr>
              <w:jc w:val="center"/>
            </w:pPr>
            <w:r>
              <w:t>NA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B35EE89" w14:textId="77777777" w:rsidR="006A3A81" w:rsidRPr="00D03B0C" w:rsidRDefault="006A3A81" w:rsidP="00EA69A3">
            <w:pPr>
              <w:jc w:val="center"/>
            </w:pPr>
          </w:p>
        </w:tc>
      </w:tr>
      <w:bookmarkEnd w:id="0"/>
      <w:tr w:rsidR="006A3A81" w14:paraId="79A716E9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366E3EBF" w14:textId="597EA1EB" w:rsidR="006A3A81" w:rsidRDefault="00754F97" w:rsidP="00EA69A3">
            <w:r w:rsidRPr="0048185A">
              <w:rPr>
                <w:bCs/>
              </w:rPr>
              <w:t>By 2022</w:t>
            </w:r>
            <w:r>
              <w:rPr>
                <w:b/>
              </w:rPr>
              <w:t xml:space="preserve">, </w:t>
            </w:r>
            <w:r>
              <w:rPr>
                <w:bCs/>
              </w:rPr>
              <w:t>85</w:t>
            </w:r>
            <w:r w:rsidRPr="005050D7">
              <w:rPr>
                <w:bCs/>
              </w:rPr>
              <w:t xml:space="preserve">% of year </w:t>
            </w:r>
            <w:r>
              <w:rPr>
                <w:bCs/>
              </w:rPr>
              <w:t>one</w:t>
            </w:r>
            <w:r w:rsidRPr="005050D7">
              <w:rPr>
                <w:bCs/>
              </w:rPr>
              <w:t xml:space="preserve"> children and </w:t>
            </w:r>
            <w:r>
              <w:rPr>
                <w:bCs/>
              </w:rPr>
              <w:t>78</w:t>
            </w:r>
            <w:r w:rsidRPr="005050D7">
              <w:rPr>
                <w:bCs/>
              </w:rPr>
              <w:t>% of year one children</w:t>
            </w:r>
            <w:r w:rsidRPr="00695749">
              <w:rPr>
                <w:bCs/>
              </w:rPr>
              <w:t xml:space="preserve"> achiev</w:t>
            </w:r>
            <w:r>
              <w:rPr>
                <w:bCs/>
              </w:rPr>
              <w:t>e</w:t>
            </w:r>
            <w:r w:rsidRPr="00695749">
              <w:rPr>
                <w:bCs/>
              </w:rPr>
              <w:t xml:space="preserve"> a C grade or higher in English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007D061" w14:textId="0ECCE191" w:rsidR="006A3A81" w:rsidRDefault="00754F97" w:rsidP="00EA69A3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1: </w:t>
            </w:r>
            <w:r w:rsidR="00B1229B">
              <w:t>73</w:t>
            </w:r>
            <w:r w:rsidR="006A3A81">
              <w:t>%</w:t>
            </w:r>
          </w:p>
          <w:p w14:paraId="321098F8" w14:textId="77777777" w:rsidR="00754F97" w:rsidRDefault="00754F97" w:rsidP="00EA69A3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2:</w:t>
            </w:r>
          </w:p>
          <w:p w14:paraId="3E6A0020" w14:textId="2CE248AA" w:rsidR="00754F97" w:rsidRDefault="00B1229B" w:rsidP="00EA69A3">
            <w:pPr>
              <w:jc w:val="center"/>
            </w:pPr>
            <w:r>
              <w:t>80</w:t>
            </w:r>
            <w:r w:rsidR="00754F97">
              <w:t>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609FB41" w14:textId="77777777" w:rsidR="00754F97" w:rsidRDefault="00754F97" w:rsidP="00EA69A3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1:</w:t>
            </w:r>
          </w:p>
          <w:p w14:paraId="3B138225" w14:textId="77777777" w:rsidR="006A3A81" w:rsidRDefault="006A3A81" w:rsidP="00EA69A3">
            <w:pPr>
              <w:jc w:val="center"/>
            </w:pPr>
            <w:r>
              <w:t>60%</w:t>
            </w:r>
          </w:p>
          <w:p w14:paraId="0393A432" w14:textId="692F8AC5" w:rsidR="00754F97" w:rsidRDefault="00754F97" w:rsidP="00EA69A3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2: 69%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FD0BD68" w14:textId="77777777" w:rsidR="00754F97" w:rsidRDefault="00754F97" w:rsidP="00754F97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1:</w:t>
            </w:r>
          </w:p>
          <w:p w14:paraId="70C463D4" w14:textId="77777777" w:rsidR="006A3A81" w:rsidRDefault="006A3A81" w:rsidP="00EA69A3">
            <w:pPr>
              <w:jc w:val="center"/>
            </w:pPr>
            <w:r>
              <w:t>76%</w:t>
            </w:r>
          </w:p>
          <w:p w14:paraId="49DB1F32" w14:textId="77777777" w:rsidR="00754F97" w:rsidRDefault="00754F97" w:rsidP="00EA69A3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2:</w:t>
            </w:r>
          </w:p>
          <w:p w14:paraId="520EBA1A" w14:textId="09997592" w:rsidR="00754F97" w:rsidRPr="00D03B0C" w:rsidRDefault="00754F97" w:rsidP="00EA69A3">
            <w:pPr>
              <w:jc w:val="center"/>
            </w:pPr>
            <w:r>
              <w:t>83%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5FEFD0B" w14:textId="77777777" w:rsidR="00754F97" w:rsidRDefault="00754F97" w:rsidP="00754F97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1:</w:t>
            </w:r>
          </w:p>
          <w:p w14:paraId="477CB3AE" w14:textId="77777777" w:rsidR="006A3A81" w:rsidRDefault="002213FA" w:rsidP="00EA69A3">
            <w:pPr>
              <w:jc w:val="center"/>
            </w:pPr>
            <w:r>
              <w:t>86%</w:t>
            </w:r>
          </w:p>
          <w:p w14:paraId="374CE8B9" w14:textId="77777777" w:rsidR="00754F97" w:rsidRDefault="00754F97" w:rsidP="00EA69A3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2:</w:t>
            </w:r>
          </w:p>
          <w:p w14:paraId="1A064A2B" w14:textId="2C52483F" w:rsidR="00754F97" w:rsidRPr="00D03B0C" w:rsidRDefault="00754F97" w:rsidP="00EA69A3">
            <w:pPr>
              <w:jc w:val="center"/>
            </w:pPr>
            <w:r>
              <w:t>85%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23E8D06" w14:textId="77777777" w:rsidR="00754F97" w:rsidRDefault="00754F97" w:rsidP="00754F97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1:</w:t>
            </w:r>
          </w:p>
          <w:p w14:paraId="6D9EE5C3" w14:textId="77777777" w:rsidR="006A3A81" w:rsidRDefault="00B876A2" w:rsidP="00EA69A3">
            <w:pPr>
              <w:jc w:val="center"/>
            </w:pPr>
            <w:r>
              <w:t>63%</w:t>
            </w:r>
          </w:p>
          <w:p w14:paraId="004E914E" w14:textId="77777777" w:rsidR="00754F97" w:rsidRDefault="00754F97" w:rsidP="00EA69A3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2:</w:t>
            </w:r>
          </w:p>
          <w:p w14:paraId="7E581B79" w14:textId="6C4534B1" w:rsidR="00754F97" w:rsidRPr="00D03B0C" w:rsidRDefault="00754F97" w:rsidP="00EA69A3">
            <w:pPr>
              <w:jc w:val="center"/>
            </w:pPr>
            <w:r>
              <w:t>87%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522F895" w14:textId="77777777" w:rsidR="006A3A81" w:rsidRPr="00D03B0C" w:rsidRDefault="006A3A81" w:rsidP="00EA69A3">
            <w:pPr>
              <w:jc w:val="center"/>
            </w:pPr>
          </w:p>
        </w:tc>
      </w:tr>
      <w:tr w:rsidR="006A3A81" w14:paraId="4DA07285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44155A3B" w14:textId="592DD7DC" w:rsidR="006A3A81" w:rsidRDefault="00A42A82" w:rsidP="00EA69A3">
            <w:pPr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0F4522">
              <w:rPr>
                <w:color w:val="000000" w:themeColor="text1"/>
              </w:rPr>
              <w:lastRenderedPageBreak/>
              <w:t xml:space="preserve">By 2022, 73% of kindergarten children will achieve expected growth or high growth in </w:t>
            </w:r>
            <w:r w:rsidRPr="00812634">
              <w:rPr>
                <w:color w:val="000000" w:themeColor="text1"/>
              </w:rPr>
              <w:t>reading</w:t>
            </w:r>
            <w:r w:rsidRPr="000F4522">
              <w:rPr>
                <w:b/>
                <w:bCs/>
                <w:color w:val="000000" w:themeColor="text1"/>
              </w:rPr>
              <w:t xml:space="preserve"> </w:t>
            </w:r>
            <w:r w:rsidRPr="000F4522">
              <w:rPr>
                <w:color w:val="000000" w:themeColor="text1"/>
              </w:rPr>
              <w:t>in BASE (PIPS) at the end of kindergarten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2335723" w14:textId="71BD83CC" w:rsidR="006A3A81" w:rsidRDefault="00B1229B" w:rsidP="00EA69A3">
            <w:pPr>
              <w:jc w:val="center"/>
            </w:pPr>
            <w:r>
              <w:t>61</w:t>
            </w:r>
            <w:r w:rsidR="006A3A81">
              <w:t>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6A29B0E" w14:textId="77777777" w:rsidR="006A3A81" w:rsidRDefault="006A3A81" w:rsidP="00EA69A3">
            <w:pPr>
              <w:jc w:val="center"/>
            </w:pPr>
            <w:r>
              <w:t>69%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7232A8D" w14:textId="77777777" w:rsidR="006A3A81" w:rsidRDefault="006A3A81" w:rsidP="00EA69A3">
            <w:pPr>
              <w:jc w:val="center"/>
            </w:pPr>
            <w:r>
              <w:t>61%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B24321E" w14:textId="57D9B03E" w:rsidR="006A3A81" w:rsidRPr="00D03B0C" w:rsidRDefault="00241ED2" w:rsidP="00EA69A3">
            <w:pPr>
              <w:jc w:val="center"/>
            </w:pPr>
            <w:r>
              <w:t>32%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6A35765" w14:textId="61004672" w:rsidR="006A3A81" w:rsidRPr="00D03B0C" w:rsidRDefault="00241ED2" w:rsidP="00EA69A3">
            <w:pPr>
              <w:jc w:val="center"/>
            </w:pPr>
            <w:r>
              <w:t>41%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35C7926" w14:textId="77777777" w:rsidR="006A3A81" w:rsidRPr="00D03B0C" w:rsidRDefault="006A3A81" w:rsidP="00EA69A3">
            <w:pPr>
              <w:jc w:val="center"/>
            </w:pPr>
          </w:p>
        </w:tc>
      </w:tr>
    </w:tbl>
    <w:p w14:paraId="48E45112" w14:textId="0E788474" w:rsidR="007C704B" w:rsidRDefault="007C704B" w:rsidP="007C704B">
      <w:pPr>
        <w:pStyle w:val="ListBullet"/>
        <w:numPr>
          <w:ilvl w:val="0"/>
          <w:numId w:val="0"/>
        </w:numPr>
      </w:pPr>
    </w:p>
    <w:p w14:paraId="42F626CD" w14:textId="42DD8FD9" w:rsidR="006A3A81" w:rsidRPr="008A01DA" w:rsidRDefault="006A3A81" w:rsidP="007C704B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A3A81" w14:paraId="22595351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783B6ACC" w14:textId="77777777" w:rsidR="006A3A81" w:rsidRPr="006D2F6B" w:rsidRDefault="006A3A81" w:rsidP="00EA69A3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A7D1CA2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CC02487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0246394C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B10BB73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2BF41661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4E0B4B6C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A3A81" w14:paraId="0F9E84BC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57DDFF2D" w14:textId="28CAFDFC" w:rsidR="006A3A81" w:rsidRPr="002F238B" w:rsidRDefault="00A42A82" w:rsidP="00EA69A3">
            <w:pPr>
              <w:pStyle w:val="PlainText"/>
              <w:rPr>
                <w:color w:val="000000" w:themeColor="text1"/>
              </w:rPr>
            </w:pPr>
            <w:r w:rsidRPr="00A42A82">
              <w:rPr>
                <w:color w:val="000000" w:themeColor="text1"/>
              </w:rPr>
              <w:t>By 2022, 75% of staff will report that they get quality feedback on their performance.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A933663" w14:textId="4FEFE989" w:rsidR="006A3A81" w:rsidRPr="006D2F6B" w:rsidRDefault="00B1229B" w:rsidP="00EA69A3">
            <w:pPr>
              <w:jc w:val="center"/>
            </w:pPr>
            <w:r>
              <w:t>69</w:t>
            </w:r>
            <w:r w:rsidR="006A3A81">
              <w:t>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C9A7A62" w14:textId="77777777" w:rsidR="006A3A81" w:rsidRPr="006D2F6B" w:rsidRDefault="006A3A81" w:rsidP="00EA69A3">
            <w:pPr>
              <w:jc w:val="center"/>
            </w:pPr>
            <w:r>
              <w:t>84%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D55FCB5" w14:textId="77777777" w:rsidR="006A3A81" w:rsidRPr="006D2F6B" w:rsidRDefault="006A3A81" w:rsidP="00EA69A3">
            <w:pPr>
              <w:jc w:val="center"/>
            </w:pPr>
            <w:r>
              <w:t>55%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6CC9660" w14:textId="0F5B74D2" w:rsidR="006A3A81" w:rsidRPr="006D2F6B" w:rsidRDefault="006A524F" w:rsidP="00EA69A3">
            <w:pPr>
              <w:jc w:val="center"/>
            </w:pPr>
            <w:r>
              <w:t>81%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1B1CCEC" w14:textId="4E5E13D3" w:rsidR="006A3A81" w:rsidRPr="006D2F6B" w:rsidRDefault="009A1453" w:rsidP="00EA69A3">
            <w:pPr>
              <w:jc w:val="center"/>
            </w:pPr>
            <w:r>
              <w:t>62%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D0F50E0" w14:textId="77777777" w:rsidR="006A3A81" w:rsidRPr="006D2F6B" w:rsidRDefault="006A3A81" w:rsidP="00EA69A3">
            <w:pPr>
              <w:jc w:val="center"/>
            </w:pPr>
          </w:p>
        </w:tc>
      </w:tr>
      <w:tr w:rsidR="00754F97" w14:paraId="45192E3E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4BA6F543" w14:textId="720FD9C3" w:rsidR="00754F97" w:rsidRPr="00A42A82" w:rsidRDefault="00754F97" w:rsidP="00EA69A3">
            <w:pPr>
              <w:pStyle w:val="PlainText"/>
              <w:rPr>
                <w:color w:val="000000" w:themeColor="text1"/>
              </w:rPr>
            </w:pPr>
            <w:r w:rsidRPr="000F4522">
              <w:rPr>
                <w:color w:val="000000" w:themeColor="text1"/>
              </w:rPr>
              <w:t xml:space="preserve">By 2022, 62% of staff will report that </w:t>
            </w:r>
            <w:r w:rsidRPr="000F4522">
              <w:rPr>
                <w:i/>
                <w:iCs/>
                <w:color w:val="000000" w:themeColor="text1"/>
              </w:rPr>
              <w:t>there is effective communication amongst all staff</w:t>
            </w:r>
            <w:r w:rsidRPr="000F4522">
              <w:rPr>
                <w:color w:val="000000" w:themeColor="text1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F1BE76D" w14:textId="0786372B" w:rsidR="00754F97" w:rsidRDefault="00AA21C0" w:rsidP="00EA69A3">
            <w:pPr>
              <w:jc w:val="center"/>
            </w:pPr>
            <w:r>
              <w:t>50%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C8A2381" w14:textId="59C0E5D2" w:rsidR="00754F97" w:rsidRDefault="00AA21C0" w:rsidP="00EA69A3">
            <w:pPr>
              <w:jc w:val="center"/>
            </w:pPr>
            <w:r>
              <w:t>44%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80DCB5" w14:textId="0F2E2835" w:rsidR="00754F97" w:rsidRDefault="00AA21C0" w:rsidP="00EA69A3">
            <w:pPr>
              <w:jc w:val="center"/>
            </w:pPr>
            <w:r>
              <w:t>48%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CA00B94" w14:textId="08FAFD77" w:rsidR="00754F97" w:rsidRDefault="00AA21C0" w:rsidP="00EA69A3">
            <w:pPr>
              <w:jc w:val="center"/>
            </w:pPr>
            <w:r>
              <w:t>70%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2E92852" w14:textId="03885912" w:rsidR="00754F97" w:rsidRDefault="00AA21C0" w:rsidP="00EA69A3">
            <w:pPr>
              <w:jc w:val="center"/>
            </w:pPr>
            <w:r>
              <w:t>NA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5BCBFDC" w14:textId="77777777" w:rsidR="00754F97" w:rsidRPr="006D2F6B" w:rsidRDefault="00754F97" w:rsidP="00EA69A3">
            <w:pPr>
              <w:jc w:val="center"/>
            </w:pPr>
          </w:p>
        </w:tc>
      </w:tr>
      <w:tr w:rsidR="00754F97" w14:paraId="2CADCA46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274DF976" w14:textId="1B6CB77D" w:rsidR="00754F97" w:rsidRPr="000F4522" w:rsidRDefault="00754F97" w:rsidP="00EA69A3">
            <w:pPr>
              <w:pStyle w:val="PlainText"/>
              <w:rPr>
                <w:color w:val="000000" w:themeColor="text1"/>
              </w:rPr>
            </w:pPr>
            <w:r w:rsidRPr="0048185A">
              <w:rPr>
                <w:bCs/>
              </w:rPr>
              <w:t>By 2022</w:t>
            </w:r>
            <w:r>
              <w:rPr>
                <w:b/>
              </w:rPr>
              <w:t xml:space="preserve">, </w:t>
            </w:r>
            <w:r>
              <w:rPr>
                <w:bCs/>
              </w:rPr>
              <w:t xml:space="preserve">81% of staff will report that </w:t>
            </w:r>
            <w:r>
              <w:rPr>
                <w:bCs/>
                <w:i/>
                <w:iCs/>
              </w:rPr>
              <w:t>staff are well supported at this school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567E859" w14:textId="08C1E3FC" w:rsidR="00754F97" w:rsidRDefault="00AA21C0" w:rsidP="00EA69A3">
            <w:pPr>
              <w:jc w:val="center"/>
            </w:pPr>
            <w:r>
              <w:t>69%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E499F49" w14:textId="1BE95048" w:rsidR="00754F97" w:rsidRDefault="00AA21C0" w:rsidP="00EA69A3">
            <w:pPr>
              <w:jc w:val="center"/>
            </w:pPr>
            <w:r>
              <w:t>70%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9707E39" w14:textId="3DABD8A6" w:rsidR="00754F97" w:rsidRDefault="00AA21C0" w:rsidP="00EA69A3">
            <w:pPr>
              <w:jc w:val="center"/>
            </w:pPr>
            <w:r>
              <w:t>65%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BA72E38" w14:textId="129FEB53" w:rsidR="00754F97" w:rsidRDefault="00AA21C0" w:rsidP="00EA69A3">
            <w:pPr>
              <w:jc w:val="center"/>
            </w:pPr>
            <w:r>
              <w:t>89%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7A4E831" w14:textId="6FDC1158" w:rsidR="00754F97" w:rsidRDefault="00AA21C0" w:rsidP="00EA69A3">
            <w:pPr>
              <w:jc w:val="center"/>
            </w:pPr>
            <w:r>
              <w:t>NA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C6C9570" w14:textId="77777777" w:rsidR="00754F97" w:rsidRPr="006D2F6B" w:rsidRDefault="00754F97" w:rsidP="00EA69A3">
            <w:pPr>
              <w:jc w:val="center"/>
            </w:pPr>
          </w:p>
        </w:tc>
      </w:tr>
    </w:tbl>
    <w:p w14:paraId="497F407C" w14:textId="7CB34C3B" w:rsidR="006A3A81" w:rsidRPr="008A01DA" w:rsidRDefault="006A3A81" w:rsidP="007C704B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A3A81" w14:paraId="14E086CD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31D9B6FB" w14:textId="77777777" w:rsidR="006A3A81" w:rsidRPr="006D2F6B" w:rsidRDefault="006A3A81" w:rsidP="00EA69A3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084D7E2C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1FEE204C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0D59D3F0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4A2446E0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6CBFCB0D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14DD9D19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A3A81" w14:paraId="05569340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04A01B3A" w14:textId="77777777" w:rsidR="006A3A81" w:rsidRPr="006D2F6B" w:rsidRDefault="006A3A81" w:rsidP="00EA69A3">
            <w:pPr>
              <w:pStyle w:val="PlainText"/>
            </w:pPr>
            <w:r>
              <w:t xml:space="preserve">Learning </w:t>
            </w:r>
            <w:proofErr w:type="gramStart"/>
            <w:r>
              <w:t>walk</w:t>
            </w:r>
            <w:proofErr w:type="gramEnd"/>
            <w:r>
              <w:t xml:space="preserve"> and talks (staff confidence interval)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D412EC1" w14:textId="77777777" w:rsidR="006A3A81" w:rsidRPr="006D2F6B" w:rsidRDefault="006A3A81" w:rsidP="00EA69A3">
            <w:pPr>
              <w:jc w:val="center"/>
            </w:pPr>
            <w:r>
              <w:t>1.8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8AB5BD0" w14:textId="77777777" w:rsidR="006A3A81" w:rsidRPr="006D2F6B" w:rsidRDefault="006A3A81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0EDE8CC" w14:textId="77777777" w:rsidR="006A3A81" w:rsidRPr="006D2F6B" w:rsidRDefault="006A3A81" w:rsidP="00EA69A3">
            <w:pPr>
              <w:jc w:val="center"/>
            </w:pPr>
            <w:r>
              <w:t>2.4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208905C" w14:textId="36527628" w:rsidR="006A3A81" w:rsidRPr="006D2F6B" w:rsidRDefault="00743A2D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D96E061" w14:textId="48CA4EE8" w:rsidR="006A3A81" w:rsidRPr="006D2F6B" w:rsidRDefault="00C4276A" w:rsidP="00EA69A3">
            <w:pPr>
              <w:jc w:val="center"/>
            </w:pPr>
            <w:r>
              <w:t>NA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02ACF12" w14:textId="77777777" w:rsidR="006A3A81" w:rsidRPr="006D2F6B" w:rsidRDefault="006A3A81" w:rsidP="00EA69A3">
            <w:pPr>
              <w:jc w:val="center"/>
            </w:pPr>
          </w:p>
        </w:tc>
      </w:tr>
      <w:tr w:rsidR="006A3A81" w14:paraId="4ECAF280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655BAA15" w14:textId="77777777" w:rsidR="006A3A81" w:rsidRPr="006D2F6B" w:rsidRDefault="006A3A81" w:rsidP="00EA69A3">
            <w:r>
              <w:t>Spirals of inquiry (staff confidence interval)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898D9CF" w14:textId="77777777" w:rsidR="006A3A81" w:rsidRPr="006D2F6B" w:rsidRDefault="006A3A81" w:rsidP="00EA69A3">
            <w:pPr>
              <w:jc w:val="center"/>
            </w:pPr>
            <w:r>
              <w:t>1.5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E8964A" w14:textId="77777777" w:rsidR="006A3A81" w:rsidRPr="006D2F6B" w:rsidRDefault="006A3A81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7DA88A5" w14:textId="77777777" w:rsidR="006A3A81" w:rsidRPr="006D2F6B" w:rsidRDefault="006A3A81" w:rsidP="00EA69A3">
            <w:pPr>
              <w:jc w:val="center"/>
            </w:pPr>
            <w:r>
              <w:t>1.9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5B91436" w14:textId="4B31569A" w:rsidR="006A3A81" w:rsidRPr="006D2F6B" w:rsidRDefault="00743A2D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8490F3D" w14:textId="43728196" w:rsidR="006A3A81" w:rsidRPr="006D2F6B" w:rsidRDefault="00C4276A" w:rsidP="00EA69A3">
            <w:pPr>
              <w:jc w:val="center"/>
            </w:pPr>
            <w:r>
              <w:t>NA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5DA9D22" w14:textId="77777777" w:rsidR="006A3A81" w:rsidRPr="006D2F6B" w:rsidRDefault="006A3A81" w:rsidP="00EA69A3">
            <w:pPr>
              <w:jc w:val="center"/>
            </w:pPr>
          </w:p>
        </w:tc>
      </w:tr>
      <w:tr w:rsidR="006A3A81" w14:paraId="7894F5B0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5AC5E779" w14:textId="77777777" w:rsidR="006A3A81" w:rsidRDefault="006A3A81" w:rsidP="00EA69A3">
            <w:r>
              <w:t>Data analysis (staff confidence interval)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54DF807" w14:textId="77777777" w:rsidR="006A3A81" w:rsidRPr="006D2F6B" w:rsidRDefault="006A3A81" w:rsidP="00EA69A3">
            <w:pPr>
              <w:jc w:val="center"/>
            </w:pPr>
            <w:r>
              <w:t>2.3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B311409" w14:textId="77777777" w:rsidR="006A3A81" w:rsidRPr="006D2F6B" w:rsidRDefault="006A3A81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4DA81E6" w14:textId="77777777" w:rsidR="006A3A81" w:rsidRPr="006D2F6B" w:rsidRDefault="006A3A81" w:rsidP="00EA69A3">
            <w:pPr>
              <w:jc w:val="center"/>
            </w:pPr>
            <w:r>
              <w:t>2.6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DB62C39" w14:textId="6DE840F2" w:rsidR="006A3A81" w:rsidRPr="006D2F6B" w:rsidRDefault="00743A2D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0CB4E1E" w14:textId="72299FF2" w:rsidR="006A3A81" w:rsidRPr="006D2F6B" w:rsidRDefault="00C4276A" w:rsidP="00EA69A3">
            <w:pPr>
              <w:jc w:val="center"/>
            </w:pPr>
            <w:r>
              <w:t>NA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2808C58" w14:textId="77777777" w:rsidR="006A3A81" w:rsidRPr="006D2F6B" w:rsidRDefault="006A3A81" w:rsidP="00EA69A3">
            <w:pPr>
              <w:jc w:val="center"/>
            </w:pPr>
          </w:p>
        </w:tc>
      </w:tr>
    </w:tbl>
    <w:p w14:paraId="139DE5A0" w14:textId="65D24D6F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A1453">
        <w:trPr>
          <w:trHeight w:val="3328"/>
          <w:jc w:val="center"/>
        </w:trPr>
        <w:tc>
          <w:tcPr>
            <w:tcW w:w="9027" w:type="dxa"/>
            <w:shd w:val="clear" w:color="auto" w:fill="auto"/>
          </w:tcPr>
          <w:p w14:paraId="64E8B64D" w14:textId="5A4F9AB8" w:rsidR="00161E50" w:rsidRDefault="006762AF" w:rsidP="00E67955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There has been a decrease of 16% of K-2 to children who have achieved at or above the reading benchmark</w:t>
            </w:r>
          </w:p>
          <w:p w14:paraId="3AEF6055" w14:textId="6BA4D0D9" w:rsidR="00B1229B" w:rsidRDefault="00B1229B" w:rsidP="00E67955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There has been a slight decrease in the percentage of preschool children </w:t>
            </w:r>
            <w:r w:rsidRPr="00695749">
              <w:rPr>
                <w:bCs/>
              </w:rPr>
              <w:t>achiev</w:t>
            </w:r>
            <w:r>
              <w:rPr>
                <w:bCs/>
              </w:rPr>
              <w:t>ing</w:t>
            </w:r>
            <w:r w:rsidRPr="00695749">
              <w:rPr>
                <w:bCs/>
              </w:rPr>
              <w:t xml:space="preserve"> one year of growth</w:t>
            </w:r>
            <w:r>
              <w:rPr>
                <w:bCs/>
              </w:rPr>
              <w:t xml:space="preserve"> on oral language skills</w:t>
            </w:r>
          </w:p>
          <w:p w14:paraId="5B166590" w14:textId="77777777" w:rsidR="006762AF" w:rsidRDefault="006762AF" w:rsidP="006762AF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There has been a decrease of 23% of year 1 children who have achieved a C grade or higher in English and a slight increase of year 2 of children who achieved a C grade or higher in English</w:t>
            </w:r>
          </w:p>
          <w:p w14:paraId="390ACF45" w14:textId="23C1B52B" w:rsidR="006762AF" w:rsidRDefault="006762AF" w:rsidP="006762AF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There has been an increase </w:t>
            </w:r>
            <w:r w:rsidR="00AA21C0">
              <w:t>of</w:t>
            </w:r>
            <w:r>
              <w:t xml:space="preserve"> 9% of children in kindergarten who have achieved average or better growth in PIPS reading</w:t>
            </w:r>
            <w:r w:rsidR="00AA21C0">
              <w:t xml:space="preserve"> </w:t>
            </w:r>
          </w:p>
          <w:p w14:paraId="7BC1569B" w14:textId="77777777" w:rsidR="006762AF" w:rsidRDefault="006762AF" w:rsidP="006762AF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There has been </w:t>
            </w:r>
            <w:r w:rsidR="00666736">
              <w:t>a</w:t>
            </w:r>
            <w:r>
              <w:t xml:space="preserve"> decrease of 19% of staff who </w:t>
            </w:r>
            <w:r w:rsidR="00666736">
              <w:t>indicate that they strongly agree/agree that “Staff get quality feedback on their performance”</w:t>
            </w:r>
          </w:p>
          <w:p w14:paraId="31CC976A" w14:textId="6E55EFE8" w:rsidR="00763D05" w:rsidRDefault="00763D05" w:rsidP="006762AF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Staff confidence interval data has not been collected for the last two years due to disruptions to these processes resulting from the pandemic</w:t>
            </w:r>
            <w:r w:rsidR="00834592">
              <w:t xml:space="preserve"> and associated lockdowns</w:t>
            </w:r>
          </w:p>
          <w:p w14:paraId="2DFB70DA" w14:textId="3B3C74E9" w:rsidR="00763D05" w:rsidRDefault="00763D05" w:rsidP="006762AF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Some school perception data is not available to report on as statements referred to in targets were not surveyed in the 2021 School Satisfaction Survey</w:t>
            </w:r>
          </w:p>
        </w:tc>
      </w:tr>
    </w:tbl>
    <w:p w14:paraId="113E7E85" w14:textId="4F5C2BC8" w:rsidR="002F4184" w:rsidRDefault="00937D6F" w:rsidP="002F4184">
      <w:pPr>
        <w:pStyle w:val="Heading3"/>
      </w:pPr>
      <w:r>
        <w:t>Our achievements for this priority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592" w14:paraId="3E06A1E2" w14:textId="77777777" w:rsidTr="00834592">
        <w:tc>
          <w:tcPr>
            <w:tcW w:w="9016" w:type="dxa"/>
          </w:tcPr>
          <w:p w14:paraId="719B094E" w14:textId="77777777" w:rsidR="00834592" w:rsidRPr="00282F57" w:rsidRDefault="00834592" w:rsidP="00780B0A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282F57">
              <w:t>Narrowing the strategic focus to reading only- improve reading outcomes for all children</w:t>
            </w:r>
          </w:p>
          <w:p w14:paraId="63C0DDC9" w14:textId="77777777" w:rsidR="00834592" w:rsidRPr="00282F57" w:rsidRDefault="00834592" w:rsidP="00780B0A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282F57">
              <w:t>Streamlined the assessment database to reflect new narrow agenda</w:t>
            </w:r>
          </w:p>
          <w:p w14:paraId="790949F3" w14:textId="77777777" w:rsidR="00834592" w:rsidRPr="00282F57" w:rsidRDefault="00834592" w:rsidP="00780B0A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282F57">
              <w:t>Co-created a set of shared beliefs about reading (and shared this with the community)</w:t>
            </w:r>
          </w:p>
          <w:p w14:paraId="7466D8A0" w14:textId="77777777" w:rsidR="00834592" w:rsidRPr="00282F57" w:rsidRDefault="00834592" w:rsidP="00780B0A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282F57">
              <w:t>Hosted reading workshops for families</w:t>
            </w:r>
          </w:p>
          <w:p w14:paraId="28915AF4" w14:textId="77777777" w:rsidR="00834592" w:rsidRPr="00282F57" w:rsidRDefault="00834592" w:rsidP="00780B0A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282F57">
              <w:lastRenderedPageBreak/>
              <w:t>Re-structured our PLCs to classrooms, focus on sharing effective pedagogical reading strategies that work for each teacher</w:t>
            </w:r>
          </w:p>
          <w:p w14:paraId="6B5AFA9C" w14:textId="77777777" w:rsidR="00834592" w:rsidRDefault="00834592" w:rsidP="00780B0A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282F57">
              <w:t>Phonics and phonological awareness professional learning for all staff presented by David Hornsby</w:t>
            </w:r>
          </w:p>
          <w:p w14:paraId="1C4D26D0" w14:textId="77777777" w:rsidR="00834592" w:rsidRPr="00282F57" w:rsidRDefault="00834592" w:rsidP="00780B0A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Trialled targeted groups of children of “reading sprints” (to build skills at point of need)</w:t>
            </w:r>
          </w:p>
          <w:p w14:paraId="5D3B10F6" w14:textId="77777777" w:rsidR="00834592" w:rsidRDefault="00834592" w:rsidP="00834592"/>
        </w:tc>
      </w:tr>
    </w:tbl>
    <w:p w14:paraId="1E0876AB" w14:textId="77777777" w:rsidR="00834592" w:rsidRPr="00834592" w:rsidRDefault="00834592" w:rsidP="00834592"/>
    <w:p w14:paraId="7A129146" w14:textId="56D6C204" w:rsidR="00324AD8" w:rsidRDefault="00937D6F" w:rsidP="00324AD8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592" w14:paraId="4D705E90" w14:textId="77777777" w:rsidTr="00834592">
        <w:tc>
          <w:tcPr>
            <w:tcW w:w="9016" w:type="dxa"/>
          </w:tcPr>
          <w:p w14:paraId="73FFEB04" w14:textId="77777777" w:rsidR="00834592" w:rsidRPr="00282F57" w:rsidRDefault="00834592" w:rsidP="00780B0A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282F57">
              <w:t>Address low student growth in reading by continuing a narrow, strategic focus on reading across kindergarten to year 2</w:t>
            </w:r>
          </w:p>
          <w:p w14:paraId="12213523" w14:textId="77777777" w:rsidR="004830CC" w:rsidRDefault="004830CC" w:rsidP="004830C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Align the assessment of reading with AC achievement standards and literacy progressions for reading and viewing </w:t>
            </w:r>
          </w:p>
          <w:p w14:paraId="1F004061" w14:textId="77777777" w:rsidR="004830CC" w:rsidRDefault="004830CC" w:rsidP="004830C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Implement reading goals for every child in every K-2 Classroom</w:t>
            </w:r>
          </w:p>
          <w:p w14:paraId="67B299B6" w14:textId="77777777" w:rsidR="004830CC" w:rsidRDefault="004830CC" w:rsidP="004830C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Strengthen the implementation of the 10 essential skills in preschool and develop shared understanding</w:t>
            </w:r>
          </w:p>
          <w:p w14:paraId="49BFB81A" w14:textId="77777777" w:rsidR="004830CC" w:rsidRDefault="004830CC" w:rsidP="004830C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Reintroduce (phased approach) processes and procedures for providing quality feedback on reading instruction to staff including Learning Walks and Talks, lesson observations and coaching</w:t>
            </w:r>
          </w:p>
          <w:p w14:paraId="5B06A73E" w14:textId="77777777" w:rsidR="004830CC" w:rsidRDefault="004830CC" w:rsidP="004830C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Embed reading sprints for targeted K-2 children (in classrooms) and establish a Tier 3 small group support program</w:t>
            </w:r>
          </w:p>
          <w:p w14:paraId="3BA53F0B" w14:textId="77777777" w:rsidR="00834592" w:rsidRDefault="00834592" w:rsidP="00834592">
            <w:pPr>
              <w:rPr>
                <w:highlight w:val="yellow"/>
              </w:rPr>
            </w:pPr>
          </w:p>
        </w:tc>
      </w:tr>
    </w:tbl>
    <w:p w14:paraId="32AA164B" w14:textId="77777777" w:rsidR="00282F57" w:rsidRPr="00C4276A" w:rsidRDefault="00282F57" w:rsidP="00282F57">
      <w:pPr>
        <w:pStyle w:val="ListParagraph"/>
        <w:rPr>
          <w:highlight w:val="yellow"/>
        </w:rPr>
      </w:pPr>
    </w:p>
    <w:p w14:paraId="6F6A05B7" w14:textId="2E15DECA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743A2D" w:rsidRPr="00567592">
        <w:rPr>
          <w:color w:val="auto"/>
        </w:rPr>
        <w:t>Maximise growth for all students in learning assets, skills and dispositions required for 21st century global citizens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44BF1B0E" w14:textId="77777777" w:rsidR="00424438" w:rsidRDefault="00424438" w:rsidP="00424438">
      <w:pPr>
        <w:pStyle w:val="BodyText"/>
      </w:pPr>
      <w:r>
        <w:t>By the end of 2022 we will achieve:</w:t>
      </w:r>
    </w:p>
    <w:p w14:paraId="4A5DCA9E" w14:textId="253479C3" w:rsidR="00754F97" w:rsidRPr="002E08AD" w:rsidRDefault="002E08AD" w:rsidP="00A24AEC">
      <w:pPr>
        <w:pStyle w:val="ListBullet"/>
      </w:pPr>
      <w:r>
        <w:rPr>
          <w:bCs/>
        </w:rPr>
        <w:t>90% of children will exceed the</w:t>
      </w:r>
      <w:r>
        <w:t xml:space="preserve"> level of competence in </w:t>
      </w:r>
      <w:r w:rsidRPr="00995C85">
        <w:rPr>
          <w:i/>
          <w:iCs/>
        </w:rPr>
        <w:t>recognising and expressing emotions appropriately</w:t>
      </w:r>
    </w:p>
    <w:p w14:paraId="3218C028" w14:textId="77777777" w:rsidR="002E08AD" w:rsidRDefault="002E08AD" w:rsidP="002E08AD">
      <w:pPr>
        <w:pStyle w:val="ListBullet"/>
      </w:pPr>
      <w:r>
        <w:t xml:space="preserve">86% of children will exceed the level of competence in </w:t>
      </w:r>
      <w:r w:rsidRPr="00995C85">
        <w:rPr>
          <w:i/>
          <w:iCs/>
        </w:rPr>
        <w:t>demonstrating respect for others</w:t>
      </w:r>
      <w:r>
        <w:t xml:space="preserve"> </w:t>
      </w:r>
    </w:p>
    <w:p w14:paraId="692FE968" w14:textId="178A34A0" w:rsidR="002E08AD" w:rsidRPr="002E08AD" w:rsidRDefault="002E08AD" w:rsidP="00A24AEC">
      <w:pPr>
        <w:pStyle w:val="ListBullet"/>
      </w:pPr>
      <w:r>
        <w:rPr>
          <w:bCs/>
        </w:rPr>
        <w:t>97</w:t>
      </w:r>
      <w:r w:rsidRPr="00995C85">
        <w:rPr>
          <w:bCs/>
        </w:rPr>
        <w:t>%</w:t>
      </w:r>
      <w:r>
        <w:rPr>
          <w:b/>
        </w:rPr>
        <w:t xml:space="preserve"> </w:t>
      </w:r>
      <w:r>
        <w:t xml:space="preserve">of children will exceed the level of competence in </w:t>
      </w:r>
      <w:r>
        <w:rPr>
          <w:i/>
          <w:iCs/>
        </w:rPr>
        <w:t>negotiating and resolving conflict</w:t>
      </w:r>
    </w:p>
    <w:p w14:paraId="2C11A6E2" w14:textId="3F366772" w:rsidR="002E08AD" w:rsidRPr="002E08AD" w:rsidRDefault="002E08AD" w:rsidP="00A24AEC">
      <w:pPr>
        <w:pStyle w:val="ListBullet"/>
      </w:pPr>
      <w:r>
        <w:rPr>
          <w:color w:val="000000" w:themeColor="text1"/>
        </w:rPr>
        <w:t>83</w:t>
      </w:r>
      <w:r w:rsidRPr="000F4522">
        <w:rPr>
          <w:color w:val="000000" w:themeColor="text1"/>
        </w:rPr>
        <w:t xml:space="preserve">% of </w:t>
      </w:r>
      <w:r>
        <w:rPr>
          <w:color w:val="000000" w:themeColor="text1"/>
        </w:rPr>
        <w:t>parents/carers</w:t>
      </w:r>
      <w:r w:rsidRPr="000F4522">
        <w:rPr>
          <w:color w:val="000000" w:themeColor="text1"/>
        </w:rPr>
        <w:t xml:space="preserve"> will report that </w:t>
      </w:r>
      <w:r>
        <w:rPr>
          <w:i/>
          <w:iCs/>
          <w:color w:val="000000" w:themeColor="text1"/>
        </w:rPr>
        <w:t>student behaviour is well managed at this school</w:t>
      </w:r>
    </w:p>
    <w:p w14:paraId="1CF9BE30" w14:textId="5EDF3EE4" w:rsidR="002E08AD" w:rsidRPr="00B67662" w:rsidRDefault="005F3C9C" w:rsidP="00A24AEC">
      <w:pPr>
        <w:pStyle w:val="ListBullet"/>
      </w:pPr>
      <w:r>
        <w:rPr>
          <w:color w:val="000000" w:themeColor="text1"/>
        </w:rPr>
        <w:t>88</w:t>
      </w:r>
      <w:r w:rsidRPr="000F4522">
        <w:rPr>
          <w:color w:val="000000" w:themeColor="text1"/>
        </w:rPr>
        <w:t xml:space="preserve">% of </w:t>
      </w:r>
      <w:r>
        <w:rPr>
          <w:color w:val="000000" w:themeColor="text1"/>
        </w:rPr>
        <w:t>staff</w:t>
      </w:r>
      <w:r w:rsidRPr="000F4522">
        <w:rPr>
          <w:color w:val="000000" w:themeColor="text1"/>
        </w:rPr>
        <w:t xml:space="preserve"> will report that </w:t>
      </w:r>
      <w:r>
        <w:rPr>
          <w:i/>
          <w:iCs/>
          <w:color w:val="000000" w:themeColor="text1"/>
        </w:rPr>
        <w:t>student behaviour is well managed at this school</w:t>
      </w:r>
    </w:p>
    <w:p w14:paraId="357CA26C" w14:textId="252B4A38" w:rsidR="00B67662" w:rsidRPr="00ED1A90" w:rsidRDefault="00B67662" w:rsidP="00A24AEC">
      <w:pPr>
        <w:pStyle w:val="ListBullet"/>
      </w:pPr>
      <w:r>
        <w:rPr>
          <w:color w:val="000000" w:themeColor="text1"/>
        </w:rPr>
        <w:t>At least</w:t>
      </w:r>
      <w:r w:rsidRPr="000F4522">
        <w:rPr>
          <w:color w:val="000000" w:themeColor="text1"/>
        </w:rPr>
        <w:t xml:space="preserve"> </w:t>
      </w:r>
      <w:r>
        <w:rPr>
          <w:color w:val="000000" w:themeColor="text1"/>
        </w:rPr>
        <w:t>72</w:t>
      </w:r>
      <w:r w:rsidRPr="000F4522">
        <w:rPr>
          <w:color w:val="000000" w:themeColor="text1"/>
        </w:rPr>
        <w:t xml:space="preserve">% of </w:t>
      </w:r>
      <w:r>
        <w:rPr>
          <w:color w:val="000000" w:themeColor="text1"/>
        </w:rPr>
        <w:t>staff</w:t>
      </w:r>
      <w:r w:rsidRPr="000F4522">
        <w:rPr>
          <w:color w:val="000000" w:themeColor="text1"/>
        </w:rPr>
        <w:t xml:space="preserve"> will report that </w:t>
      </w:r>
      <w:r>
        <w:rPr>
          <w:i/>
          <w:iCs/>
          <w:color w:val="000000" w:themeColor="text1"/>
        </w:rPr>
        <w:t>student behaviour is well managed at this school</w:t>
      </w:r>
    </w:p>
    <w:p w14:paraId="184487BB" w14:textId="6B7CD745" w:rsidR="00ED1A90" w:rsidRPr="00ED1A90" w:rsidRDefault="00ED1A90" w:rsidP="00A24AEC">
      <w:pPr>
        <w:pStyle w:val="ListBullet"/>
      </w:pPr>
      <w:r>
        <w:rPr>
          <w:color w:val="000000" w:themeColor="text1"/>
        </w:rPr>
        <w:t>Decrease the number of negative incidents entered on SAS and increase the number of positive incidents entered on SAS</w:t>
      </w:r>
    </w:p>
    <w:p w14:paraId="2F5B5D84" w14:textId="08CB1CF7" w:rsidR="00ED1A90" w:rsidRDefault="00ED1A90" w:rsidP="00A24AEC">
      <w:pPr>
        <w:pStyle w:val="ListBullet"/>
      </w:pPr>
      <w:r>
        <w:t>Growth across all domains within the Cultural Integrity Continuum, advancing from 2017 benchmark of ‘culturally aware’ to Developing</w:t>
      </w:r>
    </w:p>
    <w:p w14:paraId="3A2AC658" w14:textId="77777777" w:rsidR="00754F97" w:rsidRDefault="00754F97" w:rsidP="00754F97">
      <w:pPr>
        <w:pStyle w:val="ListBullet"/>
        <w:numPr>
          <w:ilvl w:val="0"/>
          <w:numId w:val="0"/>
        </w:numPr>
        <w:ind w:left="360"/>
      </w:pPr>
    </w:p>
    <w:p w14:paraId="6BF90988" w14:textId="70F164A8" w:rsidR="00EB70CE" w:rsidRPr="00373DC0" w:rsidRDefault="00EB70CE" w:rsidP="00B67662">
      <w:pPr>
        <w:pStyle w:val="ListBullet"/>
        <w:numPr>
          <w:ilvl w:val="0"/>
          <w:numId w:val="0"/>
        </w:numPr>
      </w:pPr>
      <w:r w:rsidRPr="00373DC0">
        <w:t>In 20</w:t>
      </w:r>
      <w:r w:rsidR="00424438">
        <w:t>2</w:t>
      </w:r>
      <w:r w:rsidR="00C4276A">
        <w:t>1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2CAF9513" w14:textId="3E6DF865" w:rsidR="00FE24C7" w:rsidRPr="00673F0E" w:rsidRDefault="00FE24C7" w:rsidP="00EB70CE">
      <w:pPr>
        <w:pStyle w:val="ListBullet"/>
      </w:pPr>
      <w:r w:rsidRPr="00673F0E">
        <w:rPr>
          <w:rFonts w:cstheme="minorHAnsi"/>
        </w:rPr>
        <w:t>Implement</w:t>
      </w:r>
      <w:r w:rsidR="00780B0A">
        <w:rPr>
          <w:rFonts w:cstheme="minorHAnsi"/>
        </w:rPr>
        <w:t>ing</w:t>
      </w:r>
      <w:r w:rsidRPr="00673F0E">
        <w:rPr>
          <w:rFonts w:cstheme="minorHAnsi"/>
        </w:rPr>
        <w:t xml:space="preserve"> Positive Behaviours (PBL) for Learning across the school </w:t>
      </w:r>
    </w:p>
    <w:p w14:paraId="3D6C0AAA" w14:textId="47D0B901" w:rsidR="00FE24C7" w:rsidRPr="00673F0E" w:rsidRDefault="00780B0A" w:rsidP="00EB70CE">
      <w:pPr>
        <w:pStyle w:val="ListBullet"/>
      </w:pPr>
      <w:r w:rsidRPr="00673F0E">
        <w:rPr>
          <w:color w:val="000000" w:themeColor="text1"/>
        </w:rPr>
        <w:t>Implement</w:t>
      </w:r>
      <w:r>
        <w:rPr>
          <w:color w:val="000000" w:themeColor="text1"/>
        </w:rPr>
        <w:t>ing</w:t>
      </w:r>
      <w:r w:rsidR="00FE24C7" w:rsidRPr="00673F0E">
        <w:rPr>
          <w:color w:val="000000" w:themeColor="text1"/>
        </w:rPr>
        <w:t xml:space="preserve"> the three-year-old preschool initiative </w:t>
      </w:r>
    </w:p>
    <w:p w14:paraId="64128C48" w14:textId="3773E739" w:rsidR="00FE24C7" w:rsidRPr="00673F0E" w:rsidRDefault="00FE24C7" w:rsidP="00FE24C7">
      <w:pPr>
        <w:pStyle w:val="ListBullet"/>
        <w:rPr>
          <w:i/>
        </w:rPr>
      </w:pPr>
      <w:r w:rsidRPr="00673F0E">
        <w:rPr>
          <w:color w:val="000000" w:themeColor="text1"/>
        </w:rPr>
        <w:t>Participat</w:t>
      </w:r>
      <w:r w:rsidR="00780B0A">
        <w:rPr>
          <w:color w:val="000000" w:themeColor="text1"/>
        </w:rPr>
        <w:t>ing</w:t>
      </w:r>
      <w:r w:rsidRPr="00673F0E">
        <w:rPr>
          <w:color w:val="000000" w:themeColor="text1"/>
        </w:rPr>
        <w:t xml:space="preserve"> in University of Canberra Affiliated School program</w:t>
      </w:r>
      <w:r w:rsidR="00424438" w:rsidRPr="00673F0E">
        <w:rPr>
          <w:color w:val="000000" w:themeColor="text1"/>
        </w:rPr>
        <w:t xml:space="preserve"> </w:t>
      </w:r>
    </w:p>
    <w:p w14:paraId="7DB69821" w14:textId="77777777" w:rsidR="00FE24C7" w:rsidRDefault="00FE24C7" w:rsidP="00FE24C7">
      <w:pPr>
        <w:pStyle w:val="ListBullet"/>
        <w:numPr>
          <w:ilvl w:val="0"/>
          <w:numId w:val="0"/>
        </w:numPr>
        <w:rPr>
          <w:i/>
        </w:rPr>
      </w:pPr>
    </w:p>
    <w:p w14:paraId="32A84660" w14:textId="5C27CB7E" w:rsidR="00EB70CE" w:rsidRPr="00997CD0" w:rsidRDefault="00EB70CE" w:rsidP="00FE24C7">
      <w:pPr>
        <w:pStyle w:val="ListBullet"/>
        <w:numPr>
          <w:ilvl w:val="0"/>
          <w:numId w:val="0"/>
        </w:numPr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599F8126" w14:textId="77777777" w:rsidR="0021578D" w:rsidRPr="00C0648C" w:rsidRDefault="0021578D" w:rsidP="0021578D">
      <w:pPr>
        <w:pStyle w:val="Heading4"/>
      </w:pPr>
      <w:r w:rsidRPr="00C0648C">
        <w:lastRenderedPageBreak/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21578D" w14:paraId="510EA911" w14:textId="77777777" w:rsidTr="009A1453">
        <w:trPr>
          <w:tblHeader/>
          <w:jc w:val="center"/>
        </w:trPr>
        <w:tc>
          <w:tcPr>
            <w:tcW w:w="4297" w:type="dxa"/>
            <w:shd w:val="clear" w:color="auto" w:fill="auto"/>
          </w:tcPr>
          <w:p w14:paraId="572A7322" w14:textId="77777777" w:rsidR="0021578D" w:rsidRPr="00D03B0C" w:rsidRDefault="0021578D" w:rsidP="00947722">
            <w:pPr>
              <w:rPr>
                <w:b/>
              </w:rPr>
            </w:pPr>
            <w:bookmarkStart w:id="1" w:name="_Hlk26448759"/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28FC183" w14:textId="77777777" w:rsidR="0021578D" w:rsidRPr="00D03B0C" w:rsidRDefault="0021578D" w:rsidP="00947722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FFF701E" w14:textId="77777777" w:rsidR="0021578D" w:rsidRPr="00D03B0C" w:rsidRDefault="0021578D" w:rsidP="00947722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757D0B35" w14:textId="77777777" w:rsidR="0021578D" w:rsidRPr="00D03B0C" w:rsidRDefault="0021578D" w:rsidP="00947722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923E810" w14:textId="77777777" w:rsidR="0021578D" w:rsidRPr="00D03B0C" w:rsidRDefault="0021578D" w:rsidP="00947722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518A98BC" w14:textId="77777777" w:rsidR="0021578D" w:rsidRPr="00D03B0C" w:rsidRDefault="0021578D" w:rsidP="00947722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4D1245DA" w14:textId="77777777" w:rsidR="0021578D" w:rsidRPr="00D03B0C" w:rsidRDefault="0021578D" w:rsidP="00947722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21578D" w14:paraId="231BB8BC" w14:textId="77777777" w:rsidTr="009A1453">
        <w:trPr>
          <w:jc w:val="center"/>
        </w:trPr>
        <w:tc>
          <w:tcPr>
            <w:tcW w:w="4297" w:type="dxa"/>
            <w:shd w:val="clear" w:color="auto" w:fill="auto"/>
          </w:tcPr>
          <w:p w14:paraId="3A78C818" w14:textId="75734BF8" w:rsidR="0021578D" w:rsidRPr="00D03B0C" w:rsidRDefault="00623F07" w:rsidP="00947722">
            <w:pPr>
              <w:pStyle w:val="PlainText"/>
            </w:pPr>
            <w:r w:rsidRPr="00623F07">
              <w:t>By the end of 2022, 90% of children will exceed the level of competence in recognising and expressing emotions appropriately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6A10F2B" w14:textId="4730051D" w:rsidR="0021578D" w:rsidRPr="00D03B0C" w:rsidRDefault="00623F07" w:rsidP="00947722">
            <w:pPr>
              <w:jc w:val="center"/>
            </w:pPr>
            <w:r>
              <w:t>85%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BCFC548" w14:textId="77777777" w:rsidR="0021578D" w:rsidRPr="00D03B0C" w:rsidRDefault="0021578D" w:rsidP="00947722">
            <w:pPr>
              <w:jc w:val="center"/>
            </w:pPr>
            <w:r>
              <w:t>85%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CD01AC5" w14:textId="77777777" w:rsidR="0021578D" w:rsidRPr="00D03B0C" w:rsidRDefault="0021578D" w:rsidP="00947722">
            <w:pPr>
              <w:jc w:val="center"/>
            </w:pPr>
            <w:r>
              <w:t>87%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69FD993" w14:textId="36B59096" w:rsidR="0021578D" w:rsidRPr="00D03B0C" w:rsidRDefault="00072326" w:rsidP="005876F8">
            <w:pPr>
              <w:jc w:val="center"/>
            </w:pPr>
            <w:r>
              <w:t>82%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D6AA65C" w14:textId="47D5C8AF" w:rsidR="0021578D" w:rsidRPr="00D03B0C" w:rsidRDefault="009A1453" w:rsidP="009A1453">
            <w:pPr>
              <w:jc w:val="center"/>
            </w:pPr>
            <w:r>
              <w:t>63%</w:t>
            </w:r>
          </w:p>
        </w:tc>
        <w:tc>
          <w:tcPr>
            <w:tcW w:w="791" w:type="dxa"/>
            <w:shd w:val="clear" w:color="auto" w:fill="auto"/>
          </w:tcPr>
          <w:p w14:paraId="6F7CD59C" w14:textId="77777777" w:rsidR="0021578D" w:rsidRPr="00D03B0C" w:rsidRDefault="0021578D" w:rsidP="00947722"/>
        </w:tc>
      </w:tr>
      <w:tr w:rsidR="0021578D" w14:paraId="5ADE00E8" w14:textId="77777777" w:rsidTr="009A1453">
        <w:trPr>
          <w:jc w:val="center"/>
        </w:trPr>
        <w:tc>
          <w:tcPr>
            <w:tcW w:w="4297" w:type="dxa"/>
            <w:shd w:val="clear" w:color="auto" w:fill="auto"/>
          </w:tcPr>
          <w:p w14:paraId="5A15C539" w14:textId="4D818D8B" w:rsidR="0021578D" w:rsidRDefault="00623F07" w:rsidP="009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623F07">
              <w:t>By the end of 2022, 86% of children will exceed the level of competence in demonstrating respect for others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03BF493" w14:textId="3193C72D" w:rsidR="0021578D" w:rsidRPr="00D03B0C" w:rsidRDefault="00B13B31" w:rsidP="00947722">
            <w:pPr>
              <w:jc w:val="center"/>
            </w:pPr>
            <w:r>
              <w:t>81</w:t>
            </w:r>
            <w:r w:rsidR="00623F07">
              <w:t>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7226F36" w14:textId="77777777" w:rsidR="0021578D" w:rsidRPr="00D03B0C" w:rsidRDefault="0021578D" w:rsidP="00947722">
            <w:pPr>
              <w:jc w:val="center"/>
            </w:pPr>
            <w:r>
              <w:t>94%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F115338" w14:textId="77777777" w:rsidR="0021578D" w:rsidRPr="00D03B0C" w:rsidRDefault="0021578D" w:rsidP="00947722">
            <w:pPr>
              <w:jc w:val="center"/>
            </w:pPr>
            <w:r>
              <w:t>94%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6B254B3" w14:textId="21EB498D" w:rsidR="0021578D" w:rsidRPr="00D03B0C" w:rsidRDefault="005876F8" w:rsidP="005876F8">
            <w:r>
              <w:t xml:space="preserve">  </w:t>
            </w:r>
            <w:r w:rsidR="00072326">
              <w:t>85%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2682A33" w14:textId="4A158486" w:rsidR="0021578D" w:rsidRPr="00D03B0C" w:rsidRDefault="009A1453" w:rsidP="009A1453">
            <w:pPr>
              <w:jc w:val="center"/>
            </w:pPr>
            <w:r>
              <w:t>75%</w:t>
            </w:r>
          </w:p>
        </w:tc>
        <w:tc>
          <w:tcPr>
            <w:tcW w:w="791" w:type="dxa"/>
            <w:shd w:val="clear" w:color="auto" w:fill="auto"/>
          </w:tcPr>
          <w:p w14:paraId="3127B1D5" w14:textId="77777777" w:rsidR="0021578D" w:rsidRPr="00D03B0C" w:rsidRDefault="0021578D" w:rsidP="00947722"/>
        </w:tc>
      </w:tr>
      <w:tr w:rsidR="0021578D" w14:paraId="14B81E5A" w14:textId="77777777" w:rsidTr="009A1453">
        <w:trPr>
          <w:jc w:val="center"/>
        </w:trPr>
        <w:tc>
          <w:tcPr>
            <w:tcW w:w="4297" w:type="dxa"/>
            <w:shd w:val="clear" w:color="auto" w:fill="auto"/>
          </w:tcPr>
          <w:p w14:paraId="11D5BDE5" w14:textId="0E651250" w:rsidR="0021578D" w:rsidRDefault="00623F07" w:rsidP="009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995C85">
              <w:rPr>
                <w:bCs/>
              </w:rPr>
              <w:t xml:space="preserve">By the end of 2022, </w:t>
            </w:r>
            <w:r>
              <w:rPr>
                <w:bCs/>
              </w:rPr>
              <w:t>97</w:t>
            </w:r>
            <w:r w:rsidRPr="00995C85">
              <w:rPr>
                <w:bCs/>
              </w:rPr>
              <w:t>%</w:t>
            </w:r>
            <w:r>
              <w:rPr>
                <w:b/>
              </w:rPr>
              <w:t xml:space="preserve"> </w:t>
            </w:r>
            <w:r>
              <w:t xml:space="preserve">of children will exceed the level of competence in </w:t>
            </w:r>
            <w:r>
              <w:rPr>
                <w:i/>
                <w:iCs/>
              </w:rPr>
              <w:t>negotiating and resolving conflict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FE2A619" w14:textId="0AE36A0E" w:rsidR="0021578D" w:rsidRPr="00D03B0C" w:rsidRDefault="00DD664A" w:rsidP="00947722">
            <w:pPr>
              <w:jc w:val="center"/>
            </w:pPr>
            <w:r>
              <w:t>94%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50AF7DB" w14:textId="77777777" w:rsidR="0021578D" w:rsidRPr="00D03B0C" w:rsidRDefault="0021578D" w:rsidP="00947722">
            <w:pPr>
              <w:jc w:val="center"/>
            </w:pPr>
            <w:r>
              <w:t>80%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0D3602E" w14:textId="77777777" w:rsidR="0021578D" w:rsidRPr="00D03B0C" w:rsidRDefault="0021578D" w:rsidP="00947722">
            <w:pPr>
              <w:jc w:val="center"/>
            </w:pPr>
            <w:r>
              <w:t>80%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81D9376" w14:textId="5A7173ED" w:rsidR="0021578D" w:rsidRPr="00D03B0C" w:rsidRDefault="00072326" w:rsidP="005876F8">
            <w:pPr>
              <w:jc w:val="center"/>
            </w:pPr>
            <w:r>
              <w:t>73%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1AEEC0A" w14:textId="6D408A5B" w:rsidR="0021578D" w:rsidRPr="00D03B0C" w:rsidRDefault="009A1453" w:rsidP="009A1453">
            <w:pPr>
              <w:jc w:val="center"/>
            </w:pPr>
            <w:r>
              <w:t>62%</w:t>
            </w:r>
          </w:p>
        </w:tc>
        <w:tc>
          <w:tcPr>
            <w:tcW w:w="791" w:type="dxa"/>
            <w:shd w:val="clear" w:color="auto" w:fill="auto"/>
          </w:tcPr>
          <w:p w14:paraId="2EA1EAC4" w14:textId="77777777" w:rsidR="0021578D" w:rsidRPr="00D03B0C" w:rsidRDefault="0021578D" w:rsidP="00947722"/>
        </w:tc>
      </w:tr>
    </w:tbl>
    <w:bookmarkEnd w:id="1"/>
    <w:p w14:paraId="730114D3" w14:textId="77777777" w:rsidR="0021578D" w:rsidRPr="008A01DA" w:rsidRDefault="0021578D" w:rsidP="0021578D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21578D" w14:paraId="15E37714" w14:textId="77777777" w:rsidTr="00947722">
        <w:trPr>
          <w:jc w:val="center"/>
        </w:trPr>
        <w:tc>
          <w:tcPr>
            <w:tcW w:w="4297" w:type="dxa"/>
            <w:shd w:val="clear" w:color="auto" w:fill="auto"/>
          </w:tcPr>
          <w:p w14:paraId="0B88C8EF" w14:textId="77777777" w:rsidR="0021578D" w:rsidRPr="006D2F6B" w:rsidRDefault="0021578D" w:rsidP="00947722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9912A0E" w14:textId="77777777" w:rsidR="0021578D" w:rsidRPr="006D2F6B" w:rsidRDefault="0021578D" w:rsidP="00947722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71071B86" w14:textId="77777777" w:rsidR="0021578D" w:rsidRPr="006D2F6B" w:rsidRDefault="0021578D" w:rsidP="00947722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38B7C59D" w14:textId="77777777" w:rsidR="0021578D" w:rsidRPr="006D2F6B" w:rsidRDefault="0021578D" w:rsidP="00947722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7D24DB18" w14:textId="77777777" w:rsidR="0021578D" w:rsidRPr="006D2F6B" w:rsidRDefault="0021578D" w:rsidP="00947722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09F6175E" w14:textId="77777777" w:rsidR="0021578D" w:rsidRPr="006D2F6B" w:rsidRDefault="0021578D" w:rsidP="00947722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40EB1723" w14:textId="77777777" w:rsidR="0021578D" w:rsidRPr="006D2F6B" w:rsidRDefault="0021578D" w:rsidP="00947722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21578D" w14:paraId="799B11A1" w14:textId="77777777" w:rsidTr="00344F9C">
        <w:trPr>
          <w:jc w:val="center"/>
        </w:trPr>
        <w:tc>
          <w:tcPr>
            <w:tcW w:w="4297" w:type="dxa"/>
            <w:shd w:val="clear" w:color="auto" w:fill="auto"/>
          </w:tcPr>
          <w:p w14:paraId="525BFA2E" w14:textId="2175B2EC" w:rsidR="0021578D" w:rsidRPr="006D2F6B" w:rsidRDefault="00B67662" w:rsidP="00B13B31">
            <w:pPr>
              <w:pStyle w:val="PlainText"/>
              <w:tabs>
                <w:tab w:val="left" w:pos="1380"/>
              </w:tabs>
            </w:pPr>
            <w:r w:rsidRPr="000F4522">
              <w:rPr>
                <w:color w:val="000000" w:themeColor="text1"/>
              </w:rPr>
              <w:t>By 2022</w:t>
            </w:r>
            <w:bookmarkStart w:id="2" w:name="_Hlk99442310"/>
            <w:r w:rsidRPr="000F452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at least</w:t>
            </w:r>
            <w:r w:rsidRPr="000F452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72</w:t>
            </w:r>
            <w:r w:rsidRPr="000F4522">
              <w:rPr>
                <w:color w:val="000000" w:themeColor="text1"/>
              </w:rPr>
              <w:t xml:space="preserve">% of </w:t>
            </w:r>
            <w:r>
              <w:rPr>
                <w:color w:val="000000" w:themeColor="text1"/>
              </w:rPr>
              <w:t>staff</w:t>
            </w:r>
            <w:r w:rsidRPr="000F4522">
              <w:rPr>
                <w:color w:val="000000" w:themeColor="text1"/>
              </w:rPr>
              <w:t xml:space="preserve"> will report that </w:t>
            </w:r>
            <w:r>
              <w:rPr>
                <w:i/>
                <w:iCs/>
                <w:color w:val="000000" w:themeColor="text1"/>
              </w:rPr>
              <w:t>student behaviour is well managed at this school</w:t>
            </w:r>
            <w:bookmarkEnd w:id="2"/>
            <w:r w:rsidRPr="000F4522">
              <w:rPr>
                <w:color w:val="000000" w:themeColor="text1"/>
              </w:rPr>
              <w:t>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D998E3B" w14:textId="479D7B51" w:rsidR="0021578D" w:rsidRPr="006D2F6B" w:rsidRDefault="00B67662" w:rsidP="00344F9C">
            <w:pPr>
              <w:jc w:val="center"/>
            </w:pPr>
            <w:r>
              <w:t>85</w:t>
            </w:r>
            <w:r w:rsidR="00B13B31">
              <w:t>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6F226E7" w14:textId="1FDD428D" w:rsidR="0021578D" w:rsidRPr="006D2F6B" w:rsidRDefault="00B13B31" w:rsidP="00344F9C">
            <w:pPr>
              <w:jc w:val="center"/>
            </w:pPr>
            <w:r>
              <w:t>78%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2CB51F8" w14:textId="064EECF9" w:rsidR="0021578D" w:rsidRPr="006D2F6B" w:rsidRDefault="00B13B31" w:rsidP="00344F9C">
            <w:pPr>
              <w:jc w:val="center"/>
            </w:pPr>
            <w:r>
              <w:t>65%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D148039" w14:textId="1CE5C674" w:rsidR="00E040EF" w:rsidRPr="006D2F6B" w:rsidRDefault="00B13B31" w:rsidP="00344F9C">
            <w:pPr>
              <w:jc w:val="center"/>
            </w:pPr>
            <w:r>
              <w:t>81%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687B81D" w14:textId="35FB1A3F" w:rsidR="0021578D" w:rsidRPr="006D2F6B" w:rsidRDefault="00B13B31" w:rsidP="00344F9C">
            <w:pPr>
              <w:jc w:val="center"/>
            </w:pPr>
            <w:r>
              <w:t>68%</w:t>
            </w:r>
          </w:p>
        </w:tc>
        <w:tc>
          <w:tcPr>
            <w:tcW w:w="791" w:type="dxa"/>
            <w:shd w:val="clear" w:color="auto" w:fill="auto"/>
          </w:tcPr>
          <w:p w14:paraId="7FAF0D38" w14:textId="77777777" w:rsidR="0021578D" w:rsidRPr="006D2F6B" w:rsidRDefault="0021578D" w:rsidP="00947722"/>
        </w:tc>
      </w:tr>
      <w:tr w:rsidR="0021578D" w14:paraId="5C947FC5" w14:textId="77777777" w:rsidTr="00344F9C">
        <w:trPr>
          <w:jc w:val="center"/>
        </w:trPr>
        <w:tc>
          <w:tcPr>
            <w:tcW w:w="4297" w:type="dxa"/>
            <w:shd w:val="clear" w:color="auto" w:fill="auto"/>
          </w:tcPr>
          <w:p w14:paraId="4D004A18" w14:textId="38C44B4E" w:rsidR="0021578D" w:rsidRPr="006D2F6B" w:rsidRDefault="00B13B31" w:rsidP="00947722">
            <w:r w:rsidRPr="000F4522">
              <w:rPr>
                <w:color w:val="000000" w:themeColor="text1"/>
              </w:rPr>
              <w:t xml:space="preserve">By 2022, </w:t>
            </w:r>
            <w:r>
              <w:rPr>
                <w:color w:val="000000" w:themeColor="text1"/>
              </w:rPr>
              <w:t>83</w:t>
            </w:r>
            <w:r w:rsidRPr="000F4522">
              <w:rPr>
                <w:color w:val="000000" w:themeColor="text1"/>
              </w:rPr>
              <w:t xml:space="preserve">% of </w:t>
            </w:r>
            <w:r>
              <w:rPr>
                <w:color w:val="000000" w:themeColor="text1"/>
              </w:rPr>
              <w:t>parents/carers</w:t>
            </w:r>
            <w:r w:rsidRPr="000F4522">
              <w:rPr>
                <w:color w:val="000000" w:themeColor="text1"/>
              </w:rPr>
              <w:t xml:space="preserve"> will report that </w:t>
            </w:r>
            <w:r>
              <w:rPr>
                <w:i/>
                <w:iCs/>
                <w:color w:val="000000" w:themeColor="text1"/>
              </w:rPr>
              <w:t>student behaviour is well managed at this school</w:t>
            </w:r>
            <w:r w:rsidRPr="000F4522">
              <w:rPr>
                <w:color w:val="000000" w:themeColor="text1"/>
              </w:rPr>
              <w:t xml:space="preserve">.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F275742" w14:textId="47E69687" w:rsidR="0021578D" w:rsidRPr="006D2F6B" w:rsidRDefault="00391AC9" w:rsidP="00344F9C">
            <w:pPr>
              <w:jc w:val="center"/>
            </w:pPr>
            <w:r>
              <w:t>80</w:t>
            </w:r>
            <w:r w:rsidR="00B13B31">
              <w:t>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34B3EF7" w14:textId="687EE0B3" w:rsidR="0021578D" w:rsidRPr="006D2F6B" w:rsidRDefault="00B13B31" w:rsidP="00344F9C">
            <w:pPr>
              <w:jc w:val="center"/>
            </w:pPr>
            <w:r>
              <w:t>73%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8BB6837" w14:textId="667F2D29" w:rsidR="0021578D" w:rsidRPr="006D2F6B" w:rsidRDefault="00B13B31" w:rsidP="00344F9C">
            <w:pPr>
              <w:jc w:val="center"/>
            </w:pPr>
            <w:r>
              <w:t>77%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899E1B2" w14:textId="37F45A95" w:rsidR="0021578D" w:rsidRPr="006D2F6B" w:rsidRDefault="00B13B31" w:rsidP="00344F9C">
            <w:pPr>
              <w:jc w:val="center"/>
            </w:pPr>
            <w:r>
              <w:t>83%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27429BB" w14:textId="3443D40E" w:rsidR="0021578D" w:rsidRPr="006D2F6B" w:rsidRDefault="00B13B31" w:rsidP="00344F9C">
            <w:pPr>
              <w:jc w:val="center"/>
            </w:pPr>
            <w:r>
              <w:t>79%</w:t>
            </w:r>
          </w:p>
        </w:tc>
        <w:tc>
          <w:tcPr>
            <w:tcW w:w="791" w:type="dxa"/>
            <w:shd w:val="clear" w:color="auto" w:fill="auto"/>
          </w:tcPr>
          <w:p w14:paraId="0D71AA07" w14:textId="77777777" w:rsidR="0021578D" w:rsidRPr="006D2F6B" w:rsidRDefault="0021578D" w:rsidP="00947722"/>
        </w:tc>
      </w:tr>
      <w:tr w:rsidR="00344F9C" w14:paraId="7F24FF16" w14:textId="77777777" w:rsidTr="00344F9C">
        <w:trPr>
          <w:jc w:val="center"/>
        </w:trPr>
        <w:tc>
          <w:tcPr>
            <w:tcW w:w="4297" w:type="dxa"/>
            <w:shd w:val="clear" w:color="auto" w:fill="auto"/>
          </w:tcPr>
          <w:p w14:paraId="3BAF46CA" w14:textId="1E234A80" w:rsidR="00344F9C" w:rsidRPr="007A02EE" w:rsidRDefault="00ED1A90" w:rsidP="00344F9C">
            <w:r>
              <w:rPr>
                <w:color w:val="000000" w:themeColor="text1"/>
              </w:rPr>
              <w:t>By 2022, 91%</w:t>
            </w:r>
            <w:r w:rsidRPr="002F238B">
              <w:rPr>
                <w:color w:val="000000" w:themeColor="text1"/>
              </w:rPr>
              <w:t xml:space="preserve"> of parents/carers </w:t>
            </w:r>
            <w:r>
              <w:rPr>
                <w:color w:val="000000" w:themeColor="text1"/>
              </w:rPr>
              <w:t>report</w:t>
            </w:r>
            <w:r w:rsidRPr="002F238B">
              <w:rPr>
                <w:color w:val="000000" w:themeColor="text1"/>
              </w:rPr>
              <w:t xml:space="preserve"> that “Community partnerships are valued and maintained”</w:t>
            </w:r>
            <w:r>
              <w:rPr>
                <w:color w:val="000000" w:themeColor="text1"/>
              </w:rPr>
              <w:t xml:space="preserve">. 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E3B9504" w14:textId="76C7A379" w:rsidR="00344F9C" w:rsidRDefault="00B13B31" w:rsidP="00344F9C">
            <w:pPr>
              <w:jc w:val="center"/>
            </w:pPr>
            <w:r>
              <w:t>89%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ED087ED" w14:textId="54C83416" w:rsidR="00344F9C" w:rsidRDefault="00B13B31" w:rsidP="00344F9C">
            <w:pPr>
              <w:jc w:val="center"/>
            </w:pPr>
            <w:r>
              <w:t>83%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0FB8843" w14:textId="1F8307BC" w:rsidR="00344F9C" w:rsidRDefault="00B13B31" w:rsidP="00344F9C">
            <w:pPr>
              <w:jc w:val="center"/>
            </w:pPr>
            <w:r>
              <w:t>85%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CA71ACD" w14:textId="00CC85AD" w:rsidR="00344F9C" w:rsidRDefault="00B13B31" w:rsidP="00344F9C">
            <w:pPr>
              <w:jc w:val="center"/>
            </w:pPr>
            <w:r>
              <w:t>87%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1BC079C" w14:textId="4130F12C" w:rsidR="00344F9C" w:rsidRDefault="00B13B31" w:rsidP="00344F9C">
            <w:pPr>
              <w:jc w:val="center"/>
            </w:pPr>
            <w:r>
              <w:t>81%</w:t>
            </w:r>
          </w:p>
        </w:tc>
        <w:tc>
          <w:tcPr>
            <w:tcW w:w="791" w:type="dxa"/>
            <w:shd w:val="clear" w:color="auto" w:fill="auto"/>
          </w:tcPr>
          <w:p w14:paraId="657CC882" w14:textId="77777777" w:rsidR="00344F9C" w:rsidRPr="006D2F6B" w:rsidRDefault="00344F9C" w:rsidP="00344F9C"/>
        </w:tc>
      </w:tr>
    </w:tbl>
    <w:p w14:paraId="35D147B4" w14:textId="678FA9CC" w:rsidR="00B13B31" w:rsidRPr="008A01DA" w:rsidRDefault="00B13B31" w:rsidP="00B13B31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1"/>
        <w:gridCol w:w="970"/>
        <w:gridCol w:w="764"/>
        <w:gridCol w:w="764"/>
        <w:gridCol w:w="970"/>
        <w:gridCol w:w="814"/>
        <w:gridCol w:w="765"/>
      </w:tblGrid>
      <w:tr w:rsidR="003921E1" w14:paraId="07C7A528" w14:textId="77777777" w:rsidTr="009D41CD">
        <w:trPr>
          <w:jc w:val="center"/>
        </w:trPr>
        <w:tc>
          <w:tcPr>
            <w:tcW w:w="4297" w:type="dxa"/>
            <w:shd w:val="clear" w:color="auto" w:fill="auto"/>
          </w:tcPr>
          <w:p w14:paraId="38B89683" w14:textId="77777777" w:rsidR="00B13B31" w:rsidRPr="006D2F6B" w:rsidRDefault="00B13B31" w:rsidP="009D41CD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C72FC6E" w14:textId="77777777" w:rsidR="00B13B31" w:rsidRPr="006D2F6B" w:rsidRDefault="00B13B31" w:rsidP="009D41CD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024ABD77" w14:textId="77777777" w:rsidR="00B13B31" w:rsidRPr="006D2F6B" w:rsidRDefault="00B13B31" w:rsidP="009D41CD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085325DF" w14:textId="77777777" w:rsidR="00B13B31" w:rsidRPr="006D2F6B" w:rsidRDefault="00B13B31" w:rsidP="009D41CD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78E092DC" w14:textId="77777777" w:rsidR="00B13B31" w:rsidRPr="006D2F6B" w:rsidRDefault="00B13B31" w:rsidP="009D41CD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5A6EF141" w14:textId="77777777" w:rsidR="00B13B31" w:rsidRPr="006D2F6B" w:rsidRDefault="00B13B31" w:rsidP="009D41CD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6D2A3888" w14:textId="77777777" w:rsidR="00B13B31" w:rsidRPr="006D2F6B" w:rsidRDefault="00B13B31" w:rsidP="009D41CD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3921E1" w14:paraId="4BD2D477" w14:textId="77777777" w:rsidTr="009D41CD">
        <w:trPr>
          <w:jc w:val="center"/>
        </w:trPr>
        <w:tc>
          <w:tcPr>
            <w:tcW w:w="4297" w:type="dxa"/>
            <w:shd w:val="clear" w:color="auto" w:fill="auto"/>
          </w:tcPr>
          <w:p w14:paraId="1117AACD" w14:textId="67A74292" w:rsidR="00B13B31" w:rsidRPr="006D2F6B" w:rsidRDefault="00B13B31" w:rsidP="009D41CD">
            <w:pPr>
              <w:pStyle w:val="PlainText"/>
              <w:tabs>
                <w:tab w:val="left" w:pos="1380"/>
              </w:tabs>
            </w:pPr>
            <w:r>
              <w:rPr>
                <w:color w:val="000000" w:themeColor="text1"/>
              </w:rPr>
              <w:t>Decrease the number of negative incidents entered on SAS and increase the number of positive incidents entered on SAS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D161254" w14:textId="77777777" w:rsidR="00B13B31" w:rsidRDefault="00B13B31" w:rsidP="009D41CD">
            <w:pPr>
              <w:jc w:val="center"/>
            </w:pPr>
            <w:r>
              <w:t>Neg: 122</w:t>
            </w:r>
          </w:p>
          <w:p w14:paraId="41C715F8" w14:textId="77777777" w:rsidR="00B13B31" w:rsidRDefault="00B13B31" w:rsidP="009D41CD">
            <w:pPr>
              <w:jc w:val="center"/>
            </w:pPr>
            <w:r>
              <w:t>Positive:</w:t>
            </w:r>
          </w:p>
          <w:p w14:paraId="540047F3" w14:textId="0734B2C6" w:rsidR="00B13B31" w:rsidRPr="006D2F6B" w:rsidRDefault="00B13B31" w:rsidP="009D41CD">
            <w:pPr>
              <w:jc w:val="center"/>
            </w:pPr>
            <w:r>
              <w:t>236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9D50813" w14:textId="21450DE1" w:rsidR="00B13B31" w:rsidRPr="006D2F6B" w:rsidRDefault="00B13B31" w:rsidP="009D41CD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CA38FB9" w14:textId="2C9E3867" w:rsidR="00B13B31" w:rsidRPr="006D2F6B" w:rsidRDefault="00B13B31" w:rsidP="009D41CD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BD4A1" w14:textId="77777777" w:rsidR="000603AE" w:rsidRDefault="000603AE" w:rsidP="000603AE">
            <w:pPr>
              <w:jc w:val="center"/>
            </w:pPr>
            <w:r>
              <w:t>Neg: 122</w:t>
            </w:r>
          </w:p>
          <w:p w14:paraId="20B8E980" w14:textId="77777777" w:rsidR="000603AE" w:rsidRDefault="000603AE" w:rsidP="000603AE">
            <w:pPr>
              <w:jc w:val="center"/>
            </w:pPr>
            <w:r>
              <w:t>Positive:</w:t>
            </w:r>
          </w:p>
          <w:p w14:paraId="59CDAFB4" w14:textId="70E29223" w:rsidR="00B13B31" w:rsidRPr="006D2F6B" w:rsidRDefault="000603AE" w:rsidP="000603AE">
            <w:pPr>
              <w:jc w:val="center"/>
            </w:pPr>
            <w:r>
              <w:t>236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481C1C3" w14:textId="77777777" w:rsidR="00B13B31" w:rsidRDefault="003921E1" w:rsidP="009D41CD">
            <w:pPr>
              <w:jc w:val="center"/>
            </w:pPr>
            <w:r>
              <w:t>Neg: 249</w:t>
            </w:r>
          </w:p>
          <w:p w14:paraId="641B2FFF" w14:textId="77777777" w:rsidR="003921E1" w:rsidRDefault="003921E1" w:rsidP="009D41CD">
            <w:pPr>
              <w:jc w:val="center"/>
            </w:pPr>
            <w:r>
              <w:t>Positive</w:t>
            </w:r>
          </w:p>
          <w:p w14:paraId="42DA8433" w14:textId="099FCBEF" w:rsidR="003921E1" w:rsidRPr="006D2F6B" w:rsidRDefault="003921E1" w:rsidP="009D41CD">
            <w:pPr>
              <w:jc w:val="center"/>
            </w:pPr>
            <w:r>
              <w:t>1135</w:t>
            </w:r>
          </w:p>
        </w:tc>
        <w:tc>
          <w:tcPr>
            <w:tcW w:w="791" w:type="dxa"/>
            <w:shd w:val="clear" w:color="auto" w:fill="auto"/>
          </w:tcPr>
          <w:p w14:paraId="540E8360" w14:textId="77777777" w:rsidR="00B13B31" w:rsidRPr="006D2F6B" w:rsidRDefault="00B13B31" w:rsidP="009D41CD"/>
        </w:tc>
      </w:tr>
      <w:tr w:rsidR="00B13B31" w14:paraId="372CA3AE" w14:textId="77777777" w:rsidTr="009D41CD">
        <w:trPr>
          <w:jc w:val="center"/>
        </w:trPr>
        <w:tc>
          <w:tcPr>
            <w:tcW w:w="4297" w:type="dxa"/>
            <w:shd w:val="clear" w:color="auto" w:fill="auto"/>
          </w:tcPr>
          <w:p w14:paraId="6E7F172A" w14:textId="77777777" w:rsidR="003921E1" w:rsidRDefault="003921E1" w:rsidP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 xml:space="preserve">Growth across all domains within the Cultural Integrity Continuum, advancing from 2017 benchmark of ‘culturally aware’ to Developing. </w:t>
            </w:r>
          </w:p>
          <w:p w14:paraId="2569AB9A" w14:textId="77777777" w:rsidR="00B13B31" w:rsidRDefault="00B13B31" w:rsidP="009D41CD">
            <w:pPr>
              <w:pStyle w:val="PlainText"/>
              <w:tabs>
                <w:tab w:val="left" w:pos="1380"/>
              </w:tabs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61E8E9DE" w14:textId="1F4B0E99" w:rsidR="00B13B31" w:rsidRPr="006D2F6B" w:rsidRDefault="003921E1" w:rsidP="009D41CD">
            <w:pPr>
              <w:jc w:val="center"/>
            </w:pPr>
            <w:r>
              <w:t>Culturally aware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F60C8F5" w14:textId="6BB01A65" w:rsidR="00B13B31" w:rsidRPr="006D2F6B" w:rsidRDefault="003921E1" w:rsidP="009D41CD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F0A3AA3" w14:textId="7FFCDDB5" w:rsidR="00B13B31" w:rsidRPr="006D2F6B" w:rsidRDefault="003921E1" w:rsidP="009D41CD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6788509" w14:textId="2E86959B" w:rsidR="00B13B31" w:rsidRPr="006D2F6B" w:rsidRDefault="003921E1" w:rsidP="009D41CD">
            <w:pPr>
              <w:jc w:val="center"/>
            </w:pPr>
            <w:r>
              <w:t>Culturally Aware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89493FF" w14:textId="143376A4" w:rsidR="00B13B31" w:rsidRPr="006D2F6B" w:rsidRDefault="003921E1" w:rsidP="009D41CD">
            <w:pPr>
              <w:jc w:val="center"/>
            </w:pPr>
            <w:r>
              <w:t>NA</w:t>
            </w:r>
          </w:p>
        </w:tc>
        <w:tc>
          <w:tcPr>
            <w:tcW w:w="791" w:type="dxa"/>
            <w:shd w:val="clear" w:color="auto" w:fill="auto"/>
          </w:tcPr>
          <w:p w14:paraId="16FE5C6E" w14:textId="77777777" w:rsidR="00B13B31" w:rsidRPr="006D2F6B" w:rsidRDefault="00B13B31" w:rsidP="009D41CD"/>
        </w:tc>
      </w:tr>
    </w:tbl>
    <w:p w14:paraId="05EC0CAB" w14:textId="751D44E8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2B07BEDF" w14:textId="77777777" w:rsidR="00054EF2" w:rsidRDefault="007A656A" w:rsidP="000820C2">
            <w:pPr>
              <w:pStyle w:val="ListBullet"/>
            </w:pPr>
            <w:r w:rsidRPr="00B85408">
              <w:t xml:space="preserve">There has been decreases in the percentage of children exceeding the level of competence in recognising and expression emotions </w:t>
            </w:r>
            <w:r w:rsidR="00B85408" w:rsidRPr="00B85408">
              <w:t>appropriately, demonstrating respect for others and negotiating and resolving conflict</w:t>
            </w:r>
          </w:p>
          <w:p w14:paraId="424D860D" w14:textId="77777777" w:rsidR="00B85408" w:rsidRDefault="00B27F7E" w:rsidP="000820C2">
            <w:pPr>
              <w:pStyle w:val="ListBullet"/>
            </w:pPr>
            <w:r>
              <w:t>In 2021, t</w:t>
            </w:r>
            <w:r w:rsidR="00B85408">
              <w:t xml:space="preserve">here has been a slight decrease </w:t>
            </w:r>
            <w:r>
              <w:t xml:space="preserve">between </w:t>
            </w:r>
            <w:r w:rsidR="00B85408">
              <w:t xml:space="preserve">the percentage of </w:t>
            </w:r>
            <w:r>
              <w:t>parents/carers</w:t>
            </w:r>
            <w:r w:rsidR="00B85408">
              <w:t xml:space="preserve"> who report that they agree or strongly agree that </w:t>
            </w:r>
            <w:r w:rsidR="00B85408" w:rsidRPr="000820C2">
              <w:t xml:space="preserve">student behaviour is well managed </w:t>
            </w:r>
            <w:r>
              <w:t xml:space="preserve">compared to 2020.  However, the percentage of parents/carers who agree or strongly agree has increased since 2018. </w:t>
            </w:r>
          </w:p>
          <w:p w14:paraId="3FD29FEA" w14:textId="77777777" w:rsidR="00B27F7E" w:rsidRPr="007872C4" w:rsidRDefault="00B27F7E" w:rsidP="000820C2">
            <w:pPr>
              <w:pStyle w:val="ListBullet"/>
            </w:pPr>
            <w:r w:rsidRPr="007872C4">
              <w:lastRenderedPageBreak/>
              <w:t xml:space="preserve">There has been a decrease in the percentage of staff who </w:t>
            </w:r>
            <w:r w:rsidRPr="007872C4">
              <w:rPr>
                <w:color w:val="000000" w:themeColor="text1"/>
              </w:rPr>
              <w:t xml:space="preserve">report that student behaviour is well managed at this school </w:t>
            </w:r>
          </w:p>
          <w:p w14:paraId="0A910FA1" w14:textId="77777777" w:rsidR="007872C4" w:rsidRPr="007872C4" w:rsidRDefault="007872C4" w:rsidP="000820C2">
            <w:pPr>
              <w:pStyle w:val="ListBullet"/>
            </w:pPr>
            <w:r w:rsidRPr="007872C4">
              <w:rPr>
                <w:color w:val="000000" w:themeColor="text1"/>
              </w:rPr>
              <w:t>The percentage of parents/carers that report Community partnerships are valued and maintained” as remained relatively unchanged</w:t>
            </w:r>
          </w:p>
          <w:p w14:paraId="39820E9E" w14:textId="354BE94A" w:rsidR="007872C4" w:rsidRPr="00834592" w:rsidRDefault="007872C4" w:rsidP="000820C2">
            <w:pPr>
              <w:pStyle w:val="ListBullet"/>
            </w:pPr>
            <w:r w:rsidRPr="007872C4">
              <w:rPr>
                <w:color w:val="000000" w:themeColor="text1"/>
              </w:rPr>
              <w:t>There has been a significant increase of the number of positive incidents entered on SAS</w:t>
            </w:r>
            <w:r w:rsidR="00834592">
              <w:rPr>
                <w:color w:val="000000" w:themeColor="text1"/>
              </w:rPr>
              <w:t xml:space="preserve"> (380%)</w:t>
            </w:r>
            <w:r w:rsidRPr="007872C4">
              <w:rPr>
                <w:color w:val="000000" w:themeColor="text1"/>
              </w:rPr>
              <w:t xml:space="preserve"> and a slight increase of the number of negative incidents.</w:t>
            </w:r>
            <w:r>
              <w:rPr>
                <w:i/>
                <w:iCs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In 2021, 78% of incidents recorded in SAS were positive incidents and 22% were negative compared to baseline data where 66% were positive and 34% were negative</w:t>
            </w:r>
          </w:p>
          <w:p w14:paraId="17DDC188" w14:textId="7922A94D" w:rsidR="00834592" w:rsidRPr="00B85408" w:rsidRDefault="00834592" w:rsidP="000820C2">
            <w:pPr>
              <w:pStyle w:val="ListBullet"/>
            </w:pPr>
            <w:r>
              <w:t xml:space="preserve">The Cultural Integrity Continuum was not used in 2021 due to disruptions caused by the pandemic and associated lockdowns.  </w:t>
            </w:r>
          </w:p>
        </w:tc>
      </w:tr>
    </w:tbl>
    <w:p w14:paraId="529C3E95" w14:textId="0BE20FDE" w:rsidR="00937D6F" w:rsidRDefault="00937D6F" w:rsidP="00937D6F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A61D95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16C01592" w14:textId="381F5BB0" w:rsidR="00A61D95" w:rsidRDefault="00673F0E" w:rsidP="00B85408">
            <w:pPr>
              <w:pStyle w:val="ListBullet"/>
            </w:pPr>
            <w:r>
              <w:t>Enhancing the use of the PRIDE tickets to acknowledge children displaying agreed behaviours</w:t>
            </w:r>
          </w:p>
          <w:p w14:paraId="6ED07A08" w14:textId="2E2EB557" w:rsidR="00673F0E" w:rsidRDefault="00673F0E" w:rsidP="00B85408">
            <w:pPr>
              <w:pStyle w:val="ListBullet"/>
            </w:pPr>
            <w:r>
              <w:t>Defined minor and major behaviours and revised the school’s decision-making flowchart (Positive Behaviour Support Flowchart)</w:t>
            </w:r>
          </w:p>
          <w:p w14:paraId="64FE9F5D" w14:textId="77FD4776" w:rsidR="00673F0E" w:rsidRDefault="00673F0E" w:rsidP="00B85408">
            <w:pPr>
              <w:pStyle w:val="ListBullet"/>
            </w:pPr>
            <w:r>
              <w:t xml:space="preserve">Planned, </w:t>
            </w:r>
            <w:r w:rsidR="003A2393">
              <w:t>designed,</w:t>
            </w:r>
            <w:r>
              <w:t xml:space="preserve"> and implemented an alternate learning space (Zircon) </w:t>
            </w:r>
            <w:r w:rsidR="003A2393">
              <w:t xml:space="preserve">including indoor and outdoor spaces </w:t>
            </w:r>
            <w:r>
              <w:t>to support the needs of complex learners</w:t>
            </w:r>
          </w:p>
          <w:p w14:paraId="7CD3DC0B" w14:textId="1135581E" w:rsidR="00673F0E" w:rsidRDefault="00673F0E" w:rsidP="00B85408">
            <w:pPr>
              <w:pStyle w:val="ListBullet"/>
            </w:pPr>
            <w:r>
              <w:t>Trailed the use of Zones of Regulation social and emotional learning program</w:t>
            </w:r>
          </w:p>
          <w:p w14:paraId="177A9C9C" w14:textId="77777777" w:rsidR="00B85408" w:rsidRDefault="00673F0E" w:rsidP="00B85408">
            <w:pPr>
              <w:pStyle w:val="ListBullet"/>
            </w:pPr>
            <w:r>
              <w:t>Revised the schools Safe and Supportive Schools documentation</w:t>
            </w:r>
          </w:p>
          <w:p w14:paraId="2A5CA3FF" w14:textId="48692046" w:rsidR="00B85408" w:rsidRDefault="00B85408" w:rsidP="00B85408">
            <w:pPr>
              <w:pStyle w:val="ListBullet"/>
            </w:pPr>
            <w:r>
              <w:t xml:space="preserve">Continued to engage in </w:t>
            </w:r>
            <w:r w:rsidR="000820C2">
              <w:t>3-year-old</w:t>
            </w:r>
            <w:r>
              <w:t xml:space="preserve"> preschool community of practice with Communities at work</w:t>
            </w:r>
          </w:p>
          <w:p w14:paraId="4F19C6D9" w14:textId="2D562685" w:rsidR="00673F0E" w:rsidRPr="00CA26FB" w:rsidRDefault="00B85408" w:rsidP="00780B0A">
            <w:pPr>
              <w:pStyle w:val="ListBullet"/>
            </w:pPr>
            <w:r>
              <w:t>Engaged with University of Canberra Affiliated Schools, Teachers as researchers’ program. We re-shifted the focus of the research to enhancing self-regulation (SR) in young children (preschool)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2ACE728B" w14:textId="4B929145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C4276A">
        <w:trPr>
          <w:trHeight w:val="2035"/>
          <w:jc w:val="center"/>
        </w:trPr>
        <w:tc>
          <w:tcPr>
            <w:tcW w:w="9027" w:type="dxa"/>
            <w:shd w:val="clear" w:color="auto" w:fill="auto"/>
          </w:tcPr>
          <w:p w14:paraId="71643640" w14:textId="77777777" w:rsidR="000F4BAB" w:rsidRPr="000F4BAB" w:rsidRDefault="000F4BAB" w:rsidP="000F4BAB">
            <w:pPr>
              <w:pStyle w:val="ListBullet"/>
            </w:pPr>
            <w:r w:rsidRPr="000F4BAB">
              <w:t>Re-establish relationships with community partnerships and increase engagement with external service providers</w:t>
            </w:r>
          </w:p>
          <w:p w14:paraId="2C821AB4" w14:textId="77777777" w:rsidR="000F4BAB" w:rsidRPr="000F4BAB" w:rsidRDefault="000F4BAB" w:rsidP="000F4BAB">
            <w:pPr>
              <w:pStyle w:val="ListBullet"/>
            </w:pPr>
            <w:r w:rsidRPr="000F4BAB">
              <w:t>Refine process for celebrating PRIDE tickets and install PBL outdoor signage</w:t>
            </w:r>
          </w:p>
          <w:p w14:paraId="16474322" w14:textId="77777777" w:rsidR="000F4BAB" w:rsidRPr="000F4BAB" w:rsidRDefault="000F4BAB" w:rsidP="000F4BAB">
            <w:pPr>
              <w:pStyle w:val="ListBullet"/>
            </w:pPr>
            <w:r w:rsidRPr="000F4BAB">
              <w:t xml:space="preserve">Determine the agreed executive procedure for responding to major </w:t>
            </w:r>
            <w:proofErr w:type="spellStart"/>
            <w:r w:rsidRPr="000F4BAB">
              <w:t>behaviours</w:t>
            </w:r>
            <w:proofErr w:type="spellEnd"/>
            <w:r w:rsidRPr="000F4BAB">
              <w:t xml:space="preserve"> and repetitive minor </w:t>
            </w:r>
            <w:proofErr w:type="spellStart"/>
            <w:r w:rsidRPr="000F4BAB">
              <w:t>behaviours</w:t>
            </w:r>
            <w:proofErr w:type="spellEnd"/>
          </w:p>
          <w:p w14:paraId="46E73DBA" w14:textId="77777777" w:rsidR="000F4BAB" w:rsidRPr="000F4BAB" w:rsidRDefault="000F4BAB" w:rsidP="000F4BAB">
            <w:pPr>
              <w:pStyle w:val="ListBullet"/>
            </w:pPr>
            <w:r w:rsidRPr="000F4BAB">
              <w:t>Complete the Cultural Integrity self-assessment survey and develop a cultural integrity safety framework outlining how team will collaborate with Aboriginal and Torres Strait Islander families</w:t>
            </w:r>
          </w:p>
          <w:p w14:paraId="3037E243" w14:textId="77777777" w:rsidR="000F4BAB" w:rsidRPr="000F4BAB" w:rsidRDefault="000F4BAB" w:rsidP="000F4BAB">
            <w:pPr>
              <w:pStyle w:val="ListBullet"/>
            </w:pPr>
            <w:r w:rsidRPr="000F4BAB">
              <w:t xml:space="preserve">Reignite the 3-year-old CoP with </w:t>
            </w:r>
            <w:proofErr w:type="spellStart"/>
            <w:r w:rsidRPr="000F4BAB">
              <w:t>Communities@Work</w:t>
            </w:r>
            <w:proofErr w:type="spellEnd"/>
          </w:p>
          <w:p w14:paraId="4D0D0527" w14:textId="363403F1" w:rsidR="00B85408" w:rsidRDefault="00B85408" w:rsidP="000F4BA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0FD44264" w14:textId="77777777" w:rsidR="00937D6F" w:rsidRDefault="00937D6F" w:rsidP="00937D6F">
      <w:pPr>
        <w:pStyle w:val="BodyText"/>
      </w:pPr>
    </w:p>
    <w:p w14:paraId="05A9A145" w14:textId="5103CEFD" w:rsidR="00271528" w:rsidRPr="00557F65" w:rsidRDefault="00EB70CE" w:rsidP="00834592">
      <w:r>
        <w:rPr>
          <w:b/>
        </w:rPr>
        <w:br w:type="page"/>
      </w:r>
      <w:r w:rsidR="00271528">
        <w:lastRenderedPageBreak/>
        <w:t>Reporting on preschool improvement</w:t>
      </w:r>
    </w:p>
    <w:p w14:paraId="579C7EB3" w14:textId="1B370386" w:rsidR="00271528" w:rsidRDefault="00271528" w:rsidP="009B454E">
      <w:pPr>
        <w:pStyle w:val="BodyText"/>
      </w:pPr>
      <w:r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 xml:space="preserve">. Schools have a choice to </w:t>
      </w:r>
      <w:r w:rsidR="00AF0BBA">
        <w:t xml:space="preserve">report progress and achievements </w:t>
      </w:r>
      <w:r>
        <w:t xml:space="preserve">either </w:t>
      </w:r>
      <w:r w:rsidR="00AF0BBA">
        <w:t xml:space="preserve">within their </w:t>
      </w:r>
      <w:r>
        <w:t xml:space="preserve">QIP </w:t>
      </w:r>
      <w:r w:rsidR="00AF0BBA">
        <w:t xml:space="preserve">or in the </w:t>
      </w:r>
      <w:r w:rsidR="00282D2C">
        <w:t>section below.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271528" w14:paraId="330CC8EA" w14:textId="77777777" w:rsidTr="00D56F59">
        <w:trPr>
          <w:trHeight w:val="76"/>
          <w:jc w:val="center"/>
        </w:trPr>
        <w:tc>
          <w:tcPr>
            <w:tcW w:w="9016" w:type="dxa"/>
            <w:shd w:val="clear" w:color="auto" w:fill="auto"/>
          </w:tcPr>
          <w:p w14:paraId="03923C20" w14:textId="4864805C" w:rsidR="00287C8E" w:rsidRDefault="00287C8E" w:rsidP="00287C8E">
            <w:pPr>
              <w:pStyle w:val="ListBullet"/>
            </w:pPr>
            <w:r>
              <w:t>Engaged with University of Canberra Affiliated Schools, Teachers as researchers’ program. We re-shifted the focus of the research to enhancing self-regulation (SR) in young children (preschool)</w:t>
            </w:r>
          </w:p>
          <w:p w14:paraId="13E6D927" w14:textId="378949D5" w:rsidR="00287C8E" w:rsidRDefault="00287C8E" w:rsidP="00A47EB3">
            <w:pPr>
              <w:pStyle w:val="ListBullet"/>
            </w:pPr>
            <w:r>
              <w:t xml:space="preserve">Continued to engage in </w:t>
            </w:r>
            <w:r w:rsidR="00780B0A">
              <w:t>3-year-old</w:t>
            </w:r>
            <w:r>
              <w:t xml:space="preserve"> preschool community of practi</w:t>
            </w:r>
            <w:r w:rsidR="00742CEF">
              <w:t>s</w:t>
            </w:r>
            <w:r>
              <w:t>e with Communities at work</w:t>
            </w:r>
          </w:p>
          <w:p w14:paraId="1A255DCD" w14:textId="5934E6C6" w:rsidR="00287C8E" w:rsidRDefault="00287C8E" w:rsidP="00287C8E">
            <w:pPr>
              <w:pStyle w:val="ListBullet"/>
            </w:pPr>
            <w:r>
              <w:t>Reviewed Preschool Reporting procedures</w:t>
            </w:r>
          </w:p>
          <w:p w14:paraId="268C3088" w14:textId="7EBC3B30" w:rsidR="00287C8E" w:rsidRDefault="00287C8E" w:rsidP="00287C8E">
            <w:pPr>
              <w:pStyle w:val="ListBullet"/>
            </w:pPr>
            <w:r>
              <w:t>Continued to implement 10 Essential Literacy practises</w:t>
            </w:r>
          </w:p>
          <w:p w14:paraId="0227C22F" w14:textId="77777777" w:rsidR="002473BB" w:rsidRDefault="00287C8E" w:rsidP="00287C8E">
            <w:pPr>
              <w:pStyle w:val="ListBullet"/>
            </w:pPr>
            <w:r>
              <w:t>Reviewed QIP</w:t>
            </w:r>
          </w:p>
          <w:p w14:paraId="27AE7983" w14:textId="77777777" w:rsidR="00287C8E" w:rsidRDefault="00287C8E" w:rsidP="00287C8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65598AE0" w14:textId="77777777" w:rsidR="00287C8E" w:rsidRDefault="00287C8E" w:rsidP="00287C8E">
            <w:r>
              <w:t>2022 challenges</w:t>
            </w:r>
          </w:p>
          <w:p w14:paraId="06DD3C4C" w14:textId="28CAED88" w:rsidR="00287C8E" w:rsidRPr="00287C8E" w:rsidRDefault="00287C8E" w:rsidP="00A47EB3">
            <w:pPr>
              <w:pStyle w:val="ListBullet"/>
            </w:pPr>
            <w:r w:rsidRPr="00287C8E">
              <w:t xml:space="preserve">Review Preschool Philosophy, including </w:t>
            </w:r>
            <w:r w:rsidR="00A47EB3">
              <w:t xml:space="preserve">input from children, </w:t>
            </w:r>
            <w:r w:rsidRPr="00287C8E">
              <w:t>sta</w:t>
            </w:r>
            <w:r w:rsidR="00A47EB3">
              <w:t xml:space="preserve">ff, </w:t>
            </w:r>
            <w:proofErr w:type="gramStart"/>
            <w:r w:rsidRPr="00287C8E">
              <w:t>families</w:t>
            </w:r>
            <w:proofErr w:type="gramEnd"/>
            <w:r w:rsidR="00A47EB3">
              <w:t xml:space="preserve"> and communities</w:t>
            </w:r>
            <w:r w:rsidRPr="00287C8E">
              <w:t xml:space="preserve"> </w:t>
            </w:r>
          </w:p>
          <w:p w14:paraId="705EE88D" w14:textId="77777777" w:rsidR="00287C8E" w:rsidRPr="00287C8E" w:rsidRDefault="00287C8E" w:rsidP="00287C8E">
            <w:pPr>
              <w:pStyle w:val="ListBullet"/>
            </w:pPr>
            <w:r w:rsidRPr="00287C8E">
              <w:t>Re-establish Preschool team, with new Educational Leader</w:t>
            </w:r>
          </w:p>
          <w:p w14:paraId="0EAF9A5F" w14:textId="6363EEC9" w:rsidR="00A47EB3" w:rsidRDefault="00A47EB3" w:rsidP="00A47EB3">
            <w:pPr>
              <w:pStyle w:val="ListBullet"/>
            </w:pPr>
            <w:r>
              <w:t xml:space="preserve">Implement new pedagogical documentation </w:t>
            </w:r>
            <w:r w:rsidR="00742CEF">
              <w:t>and observation tools</w:t>
            </w:r>
          </w:p>
          <w:p w14:paraId="72278966" w14:textId="00A88518" w:rsidR="00A47EB3" w:rsidRDefault="00A47EB3" w:rsidP="00A47EB3">
            <w:pPr>
              <w:pStyle w:val="ListBullet"/>
            </w:pPr>
            <w:r>
              <w:t xml:space="preserve">Analyse data sets to </w:t>
            </w:r>
            <w:r w:rsidR="00742CEF">
              <w:t>have a narrow and deep focus in the QIP</w:t>
            </w:r>
          </w:p>
          <w:p w14:paraId="5C068D4F" w14:textId="08B98D49" w:rsidR="00742CEF" w:rsidRPr="00287C8E" w:rsidRDefault="00742CEF" w:rsidP="00A47EB3">
            <w:pPr>
              <w:pStyle w:val="ListBullet"/>
            </w:pPr>
            <w:r>
              <w:t xml:space="preserve">Join the Directorate Community of Practise – Reimagining Inclusion  </w:t>
            </w:r>
          </w:p>
          <w:p w14:paraId="29B5806E" w14:textId="4A513015" w:rsidR="00287C8E" w:rsidRDefault="00287C8E" w:rsidP="00A47EB3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0C848164" w14:textId="77777777" w:rsidR="00271528" w:rsidRDefault="00610A38" w:rsidP="009B454E">
      <w:pPr>
        <w:pStyle w:val="BodyText"/>
      </w:pPr>
      <w:r w:rsidRPr="0024781C">
        <w:rPr>
          <w:i/>
        </w:rPr>
        <w:t>*A copy of the QIP is available for viewing at the school.</w:t>
      </w:r>
    </w:p>
    <w:sectPr w:rsidR="00271528" w:rsidSect="00C77B0A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E70F" w14:textId="77777777" w:rsidR="00FB4595" w:rsidRDefault="00FB4595" w:rsidP="00CA0BAD">
      <w:pPr>
        <w:spacing w:after="0" w:line="240" w:lineRule="auto"/>
      </w:pPr>
      <w:r>
        <w:separator/>
      </w:r>
    </w:p>
  </w:endnote>
  <w:endnote w:type="continuationSeparator" w:id="0">
    <w:p w14:paraId="65C510CD" w14:textId="77777777" w:rsidR="00FB4595" w:rsidRDefault="00FB4595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226C12AC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603AE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Wednesday, 30 March 2022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3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3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D8B9" w14:textId="77777777" w:rsidR="00FB4595" w:rsidRDefault="00FB4595" w:rsidP="00CA0BAD">
      <w:pPr>
        <w:spacing w:after="0" w:line="240" w:lineRule="auto"/>
      </w:pPr>
      <w:r>
        <w:separator/>
      </w:r>
    </w:p>
  </w:footnote>
  <w:footnote w:type="continuationSeparator" w:id="0">
    <w:p w14:paraId="142BCEC0" w14:textId="77777777" w:rsidR="00FB4595" w:rsidRDefault="00FB4595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4CAE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23D47"/>
    <w:multiLevelType w:val="hybridMultilevel"/>
    <w:tmpl w:val="09D221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BA2137"/>
    <w:multiLevelType w:val="hybridMultilevel"/>
    <w:tmpl w:val="E45AC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3516E"/>
    <w:multiLevelType w:val="hybridMultilevel"/>
    <w:tmpl w:val="3D3EC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62898"/>
    <w:multiLevelType w:val="hybridMultilevel"/>
    <w:tmpl w:val="0798B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90087"/>
    <w:multiLevelType w:val="hybridMultilevel"/>
    <w:tmpl w:val="B2D4F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30A15"/>
    <w:multiLevelType w:val="hybridMultilevel"/>
    <w:tmpl w:val="028879AE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A97574"/>
    <w:multiLevelType w:val="hybridMultilevel"/>
    <w:tmpl w:val="566A97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D3B22"/>
    <w:multiLevelType w:val="hybridMultilevel"/>
    <w:tmpl w:val="CFCC3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01DB7"/>
    <w:multiLevelType w:val="multilevel"/>
    <w:tmpl w:val="5778FAD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D1A0A78"/>
    <w:multiLevelType w:val="hybridMultilevel"/>
    <w:tmpl w:val="B37C3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05DE8"/>
    <w:multiLevelType w:val="hybridMultilevel"/>
    <w:tmpl w:val="B6D208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C3677"/>
    <w:multiLevelType w:val="hybridMultilevel"/>
    <w:tmpl w:val="6840F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D12B7"/>
    <w:multiLevelType w:val="hybridMultilevel"/>
    <w:tmpl w:val="52F62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3"/>
  </w:num>
  <w:num w:numId="4">
    <w:abstractNumId w:val="19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1"/>
  </w:num>
  <w:num w:numId="19">
    <w:abstractNumId w:val="14"/>
  </w:num>
  <w:num w:numId="20">
    <w:abstractNumId w:val="18"/>
  </w:num>
  <w:num w:numId="21">
    <w:abstractNumId w:val="17"/>
  </w:num>
  <w:num w:numId="22">
    <w:abstractNumId w:val="11"/>
  </w:num>
  <w:num w:numId="23">
    <w:abstractNumId w:val="17"/>
  </w:num>
  <w:num w:numId="24">
    <w:abstractNumId w:val="27"/>
  </w:num>
  <w:num w:numId="25">
    <w:abstractNumId w:val="12"/>
  </w:num>
  <w:num w:numId="26">
    <w:abstractNumId w:val="16"/>
  </w:num>
  <w:num w:numId="27">
    <w:abstractNumId w:val="26"/>
  </w:num>
  <w:num w:numId="28">
    <w:abstractNumId w:val="17"/>
  </w:num>
  <w:num w:numId="29">
    <w:abstractNumId w:val="24"/>
  </w:num>
  <w:num w:numId="30">
    <w:abstractNumId w:val="17"/>
  </w:num>
  <w:num w:numId="31">
    <w:abstractNumId w:val="15"/>
  </w:num>
  <w:num w:numId="32">
    <w:abstractNumId w:val="17"/>
  </w:num>
  <w:num w:numId="33">
    <w:abstractNumId w:val="17"/>
  </w:num>
  <w:num w:numId="34">
    <w:abstractNumId w:val="17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54EF2"/>
    <w:rsid w:val="00057DAD"/>
    <w:rsid w:val="000603AE"/>
    <w:rsid w:val="00072326"/>
    <w:rsid w:val="000820C2"/>
    <w:rsid w:val="000C11A7"/>
    <w:rsid w:val="000F4BAB"/>
    <w:rsid w:val="000F7E7C"/>
    <w:rsid w:val="00107AE2"/>
    <w:rsid w:val="00115AA9"/>
    <w:rsid w:val="00125E88"/>
    <w:rsid w:val="00127C5E"/>
    <w:rsid w:val="00132917"/>
    <w:rsid w:val="00134C1E"/>
    <w:rsid w:val="00151510"/>
    <w:rsid w:val="00161842"/>
    <w:rsid w:val="00161E50"/>
    <w:rsid w:val="00163579"/>
    <w:rsid w:val="00183DE5"/>
    <w:rsid w:val="001B26EA"/>
    <w:rsid w:val="001B2E33"/>
    <w:rsid w:val="001C4222"/>
    <w:rsid w:val="002145F7"/>
    <w:rsid w:val="0021578D"/>
    <w:rsid w:val="002213FA"/>
    <w:rsid w:val="002244B7"/>
    <w:rsid w:val="00231905"/>
    <w:rsid w:val="00241ED2"/>
    <w:rsid w:val="002473BB"/>
    <w:rsid w:val="0024781C"/>
    <w:rsid w:val="00260EA4"/>
    <w:rsid w:val="00266E77"/>
    <w:rsid w:val="00271528"/>
    <w:rsid w:val="00282D2C"/>
    <w:rsid w:val="00282F57"/>
    <w:rsid w:val="00287C8E"/>
    <w:rsid w:val="002E08AD"/>
    <w:rsid w:val="002E5284"/>
    <w:rsid w:val="002F2C6F"/>
    <w:rsid w:val="002F4184"/>
    <w:rsid w:val="00300F72"/>
    <w:rsid w:val="0030111C"/>
    <w:rsid w:val="00324AD8"/>
    <w:rsid w:val="00334BBF"/>
    <w:rsid w:val="00342B3F"/>
    <w:rsid w:val="00344F9C"/>
    <w:rsid w:val="00365890"/>
    <w:rsid w:val="00365A1C"/>
    <w:rsid w:val="00373DC0"/>
    <w:rsid w:val="00377F0F"/>
    <w:rsid w:val="003866D3"/>
    <w:rsid w:val="00391AC9"/>
    <w:rsid w:val="003921E1"/>
    <w:rsid w:val="003A2393"/>
    <w:rsid w:val="003A44D0"/>
    <w:rsid w:val="003A5EDD"/>
    <w:rsid w:val="003B5E3D"/>
    <w:rsid w:val="003C2864"/>
    <w:rsid w:val="003C69DC"/>
    <w:rsid w:val="003E1EFB"/>
    <w:rsid w:val="003F2B50"/>
    <w:rsid w:val="003F2BB8"/>
    <w:rsid w:val="00402078"/>
    <w:rsid w:val="00416CC4"/>
    <w:rsid w:val="00424438"/>
    <w:rsid w:val="00435AB7"/>
    <w:rsid w:val="00435C6B"/>
    <w:rsid w:val="00436626"/>
    <w:rsid w:val="00461D07"/>
    <w:rsid w:val="00481BD2"/>
    <w:rsid w:val="004830CC"/>
    <w:rsid w:val="00490D37"/>
    <w:rsid w:val="00492440"/>
    <w:rsid w:val="004B7B1A"/>
    <w:rsid w:val="004C32E2"/>
    <w:rsid w:val="004D00F4"/>
    <w:rsid w:val="004D1D1C"/>
    <w:rsid w:val="004D5E45"/>
    <w:rsid w:val="00504229"/>
    <w:rsid w:val="0051109B"/>
    <w:rsid w:val="00520A86"/>
    <w:rsid w:val="00557F65"/>
    <w:rsid w:val="005611F4"/>
    <w:rsid w:val="0057672E"/>
    <w:rsid w:val="0058339C"/>
    <w:rsid w:val="005876F8"/>
    <w:rsid w:val="0059350F"/>
    <w:rsid w:val="005A4749"/>
    <w:rsid w:val="005B1B6B"/>
    <w:rsid w:val="005B79D4"/>
    <w:rsid w:val="005C7432"/>
    <w:rsid w:val="005E76E4"/>
    <w:rsid w:val="005F3B55"/>
    <w:rsid w:val="005F3C9C"/>
    <w:rsid w:val="00610A38"/>
    <w:rsid w:val="00623F07"/>
    <w:rsid w:val="006242DD"/>
    <w:rsid w:val="00631663"/>
    <w:rsid w:val="00637C91"/>
    <w:rsid w:val="006648F5"/>
    <w:rsid w:val="00665B2E"/>
    <w:rsid w:val="0066643F"/>
    <w:rsid w:val="00666736"/>
    <w:rsid w:val="00673F0E"/>
    <w:rsid w:val="00674E1D"/>
    <w:rsid w:val="006762AF"/>
    <w:rsid w:val="006830C3"/>
    <w:rsid w:val="0069141C"/>
    <w:rsid w:val="006A31D6"/>
    <w:rsid w:val="006A3A81"/>
    <w:rsid w:val="006A5062"/>
    <w:rsid w:val="006A524F"/>
    <w:rsid w:val="006D2F6B"/>
    <w:rsid w:val="00706379"/>
    <w:rsid w:val="00733263"/>
    <w:rsid w:val="007347A7"/>
    <w:rsid w:val="007375B4"/>
    <w:rsid w:val="00742CEF"/>
    <w:rsid w:val="00743A2D"/>
    <w:rsid w:val="00752390"/>
    <w:rsid w:val="00754F97"/>
    <w:rsid w:val="00763D05"/>
    <w:rsid w:val="00775F5F"/>
    <w:rsid w:val="00780B0A"/>
    <w:rsid w:val="007872C4"/>
    <w:rsid w:val="007A656A"/>
    <w:rsid w:val="007B0189"/>
    <w:rsid w:val="007C704B"/>
    <w:rsid w:val="007D407C"/>
    <w:rsid w:val="007D4868"/>
    <w:rsid w:val="008300DD"/>
    <w:rsid w:val="00834592"/>
    <w:rsid w:val="00835824"/>
    <w:rsid w:val="00837137"/>
    <w:rsid w:val="00846E51"/>
    <w:rsid w:val="00847839"/>
    <w:rsid w:val="008670C5"/>
    <w:rsid w:val="008679D5"/>
    <w:rsid w:val="00874C10"/>
    <w:rsid w:val="0089573E"/>
    <w:rsid w:val="00896B58"/>
    <w:rsid w:val="008A01DA"/>
    <w:rsid w:val="00915ADE"/>
    <w:rsid w:val="00923FC7"/>
    <w:rsid w:val="0093040B"/>
    <w:rsid w:val="00932E67"/>
    <w:rsid w:val="00937D6F"/>
    <w:rsid w:val="0095310D"/>
    <w:rsid w:val="00984449"/>
    <w:rsid w:val="009904CF"/>
    <w:rsid w:val="00997CD0"/>
    <w:rsid w:val="009A1453"/>
    <w:rsid w:val="009B454E"/>
    <w:rsid w:val="009B7107"/>
    <w:rsid w:val="009E2D26"/>
    <w:rsid w:val="00A112C4"/>
    <w:rsid w:val="00A12443"/>
    <w:rsid w:val="00A14509"/>
    <w:rsid w:val="00A1525D"/>
    <w:rsid w:val="00A42A82"/>
    <w:rsid w:val="00A47EB3"/>
    <w:rsid w:val="00A61D95"/>
    <w:rsid w:val="00A967A3"/>
    <w:rsid w:val="00AA21C0"/>
    <w:rsid w:val="00AB2CA3"/>
    <w:rsid w:val="00AB3505"/>
    <w:rsid w:val="00AD7D38"/>
    <w:rsid w:val="00AE1CAD"/>
    <w:rsid w:val="00AE2FBD"/>
    <w:rsid w:val="00AE3C70"/>
    <w:rsid w:val="00AF0BBA"/>
    <w:rsid w:val="00B06296"/>
    <w:rsid w:val="00B10319"/>
    <w:rsid w:val="00B1229B"/>
    <w:rsid w:val="00B13B31"/>
    <w:rsid w:val="00B27F7E"/>
    <w:rsid w:val="00B36AF4"/>
    <w:rsid w:val="00B41802"/>
    <w:rsid w:val="00B443AD"/>
    <w:rsid w:val="00B53B59"/>
    <w:rsid w:val="00B67662"/>
    <w:rsid w:val="00B734D8"/>
    <w:rsid w:val="00B85408"/>
    <w:rsid w:val="00B876A2"/>
    <w:rsid w:val="00BD165F"/>
    <w:rsid w:val="00BD2B2B"/>
    <w:rsid w:val="00BD4A43"/>
    <w:rsid w:val="00C0648C"/>
    <w:rsid w:val="00C06492"/>
    <w:rsid w:val="00C36B48"/>
    <w:rsid w:val="00C4276A"/>
    <w:rsid w:val="00C46F91"/>
    <w:rsid w:val="00C63CC4"/>
    <w:rsid w:val="00C64183"/>
    <w:rsid w:val="00C77B0A"/>
    <w:rsid w:val="00C91C8E"/>
    <w:rsid w:val="00CA0BAD"/>
    <w:rsid w:val="00CA26FB"/>
    <w:rsid w:val="00CA4658"/>
    <w:rsid w:val="00CF3F40"/>
    <w:rsid w:val="00D03B0C"/>
    <w:rsid w:val="00D101DD"/>
    <w:rsid w:val="00D21886"/>
    <w:rsid w:val="00D340DF"/>
    <w:rsid w:val="00D56F59"/>
    <w:rsid w:val="00D66148"/>
    <w:rsid w:val="00D731BD"/>
    <w:rsid w:val="00DA09ED"/>
    <w:rsid w:val="00DA4480"/>
    <w:rsid w:val="00DB037A"/>
    <w:rsid w:val="00DC0928"/>
    <w:rsid w:val="00DD664A"/>
    <w:rsid w:val="00DE43E6"/>
    <w:rsid w:val="00DE6ED8"/>
    <w:rsid w:val="00DE75EB"/>
    <w:rsid w:val="00DF0245"/>
    <w:rsid w:val="00DF2006"/>
    <w:rsid w:val="00DF695B"/>
    <w:rsid w:val="00E040EF"/>
    <w:rsid w:val="00E061B8"/>
    <w:rsid w:val="00E14A54"/>
    <w:rsid w:val="00E434FA"/>
    <w:rsid w:val="00E528A6"/>
    <w:rsid w:val="00E56876"/>
    <w:rsid w:val="00E67955"/>
    <w:rsid w:val="00EA1B8A"/>
    <w:rsid w:val="00EB70CE"/>
    <w:rsid w:val="00ED1A90"/>
    <w:rsid w:val="00ED5E3F"/>
    <w:rsid w:val="00EE42CA"/>
    <w:rsid w:val="00EF2507"/>
    <w:rsid w:val="00EF2574"/>
    <w:rsid w:val="00F031FA"/>
    <w:rsid w:val="00F05C79"/>
    <w:rsid w:val="00F17D8E"/>
    <w:rsid w:val="00F3160E"/>
    <w:rsid w:val="00F43658"/>
    <w:rsid w:val="00F536D7"/>
    <w:rsid w:val="00F87A19"/>
    <w:rsid w:val="00FA6811"/>
    <w:rsid w:val="00FA6A61"/>
    <w:rsid w:val="00FB31F0"/>
    <w:rsid w:val="00FB4595"/>
    <w:rsid w:val="00FC1BB5"/>
    <w:rsid w:val="00FE1945"/>
    <w:rsid w:val="00FE24C7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customStyle="1" w:styleId="TableBodyLeft">
    <w:name w:val="TableBodyLeft"/>
    <w:rsid w:val="006A3A81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5A7B8D"/>
    <w:rsid w:val="00892C81"/>
    <w:rsid w:val="008B6DE0"/>
    <w:rsid w:val="008F4B21"/>
    <w:rsid w:val="00C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b38bb1c8-5c99-4561-a624-a5e6628d94c9">
      <Value>Running a school</Value>
    </Section>
    <Publisheddate xmlns="b38bb1c8-5c99-4561-a624-a5e6628d94c9" xsi:nil="true"/>
    <Relates_x0020_to xmlns="01d31f61-9245-4fcb-8ab0-90be871bbbe7">
      <Value>ESO staff</Value>
      <Value>Business Services Officer</Value>
      <Value>Business managers</Value>
      <Value>Teachers</Value>
      <Value>School leaders</Value>
      <Value>School Support</Value>
    </Relates_x0020_to>
    <Topic xmlns="b38bb1c8-5c99-4561-a624-a5e6628d94c9" xsi:nil="true"/>
    <School_x0020_level xmlns="01d31f61-9245-4fcb-8ab0-90be871bbbe7">
      <Value>Early Childhood</Value>
      <Value>Preschool</Value>
      <Value>Primary school</Value>
      <Value>High school</Value>
      <Value>College</Value>
      <Value>Specialist</Value>
      <Value>Flexible Education</Value>
    </School_x0020_level>
    <Top_x0020_Level_x0020_Headings xmlns="01d31f61-9245-4fcb-8ab0-90be871bbbe7">Running a school</Top_x0020_Level_x0020_Headings>
    <DocumentType xmlns="b38bb1c8-5c99-4561-a624-a5e6628d94c9" xsi:nil="true"/>
    <Targeted_x0020_audience xmlns="01d31f61-9245-4fcb-8ab0-90be871bbbe7">
      <Value>School leaders</Value>
      <Value>Teachers</Value>
      <Value>Business managers</Value>
      <Value>Business services officers</Value>
      <Value>School support</Value>
      <Value>ESO staff</Value>
    </Targeted_x0020_audience>
    <Purpose xmlns="b38bb1c8-5c99-4561-a624-a5e6628d94c9" xsi:nil="true"/>
    <Year xmlns="b38bb1c8-5c99-4561-a624-a5e6628d94c9" xsi:nil="true"/>
    <Function xmlns="b38bb1c8-5c99-4561-a624-a5e6628d94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F9B66178AFD4EB95FC8028CFC6541" ma:contentTypeVersion="26" ma:contentTypeDescription="Create a new document." ma:contentTypeScope="" ma:versionID="6b03bf3d7cd56194f573caa9a54ff69a">
  <xsd:schema xmlns:xsd="http://www.w3.org/2001/XMLSchema" xmlns:xs="http://www.w3.org/2001/XMLSchema" xmlns:p="http://schemas.microsoft.com/office/2006/metadata/properties" xmlns:ns2="b38bb1c8-5c99-4561-a624-a5e6628d94c9" xmlns:ns3="01d31f61-9245-4fcb-8ab0-90be871bbbe7" targetNamespace="http://schemas.microsoft.com/office/2006/metadata/properties" ma:root="true" ma:fieldsID="ad2e891714ea9f1bc3c5fae9eb423acc" ns2:_="" ns3:_="">
    <xsd:import namespace="b38bb1c8-5c99-4561-a624-a5e6628d94c9"/>
    <xsd:import namespace="01d31f61-9245-4fcb-8ab0-90be871bb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urpose" minOccurs="0"/>
                <xsd:element ref="ns2:Section" minOccurs="0"/>
                <xsd:element ref="ns3:Top_x0020_Level_x0020_Headings" minOccurs="0"/>
                <xsd:element ref="ns3:Relates_x0020_to" minOccurs="0"/>
                <xsd:element ref="ns2:DocumentType" minOccurs="0"/>
                <xsd:element ref="ns3:School_x0020_level" minOccurs="0"/>
                <xsd:element ref="ns3:Targeted_x0020_audience" minOccurs="0"/>
                <xsd:element ref="ns2:Topic" minOccurs="0"/>
                <xsd:element ref="ns2:Published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Yea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1c8-5c99-4561-a624-a5e6628d9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Purpose" ma:index="12" nillable="true" ma:displayName="Purpose" ma:description="Short description about the document purpose." ma:format="Dropdown" ma:internalName="Purpose">
      <xsd:simpleType>
        <xsd:restriction base="dms:Note">
          <xsd:maxLength value="255"/>
        </xsd:restriction>
      </xsd:simpleType>
    </xsd:element>
    <xsd:element name="Section" ma:index="13" nillable="true" ma:displayName="Section" ma:format="Dropdown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"/>
                    <xsd:enumeration value="Emergency &amp; safety"/>
                    <xsd:enumeration value="Staff &amp; student wellbeing"/>
                    <xsd:enumeration value="People resources"/>
                    <xsd:enumeration value="Business resources"/>
                    <xsd:enumeration value="Educator resources"/>
                    <xsd:enumeration value="Running a schoo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6" nillable="true" ma:displayName="Document Type" ma:format="Dropdown" ma:internalName="DocumentType">
      <xsd:simpleType>
        <xsd:restriction base="dms:Choice">
          <xsd:enumeration value="Procedure"/>
          <xsd:enumeration value="Policy"/>
          <xsd:enumeration value="Resource"/>
          <xsd:enumeration value="User guide"/>
          <xsd:enumeration value="Factsheet"/>
          <xsd:enumeration value="Toolkit"/>
          <xsd:enumeration value="Strategic Plan"/>
          <xsd:enumeration value="Handbook"/>
          <xsd:enumeration value="Manual"/>
          <xsd:enumeration value="Guideline"/>
          <xsd:enumeration value="Form"/>
          <xsd:enumeration value="Alert"/>
          <xsd:enumeration value="Bulletin"/>
          <xsd:enumeration value="Message"/>
          <xsd:enumeration value="Employment"/>
          <xsd:enumeration value="Financial instruction"/>
          <xsd:enumeration value="Template"/>
          <xsd:enumeration value="Standard Operating Procedure"/>
          <xsd:enumeration value="Act"/>
          <xsd:enumeration value="DG Message"/>
          <xsd:enumeration value="DG Weekly Wrap Up"/>
          <xsd:enumeration value="HR Advice"/>
        </xsd:restriction>
      </xsd:simpleType>
    </xsd:element>
    <xsd:element name="Topic" ma:index="20" nillable="true" ma:displayName="Topic" ma:format="Dropdown" ma:indexed="true" ma:internalName="Topic">
      <xsd:simpleType>
        <xsd:restriction base="dms:Choice">
          <xsd:enumeration value="DG Financial Instructions - Accounting procedures"/>
          <xsd:enumeration value="DG Financial Instructions - 1. Governance and Accountability Framework"/>
          <xsd:enumeration value="DG Financial Instructions - 2. Spending public monies"/>
          <xsd:enumeration value="DG Financial Instructions - 3. Cash management"/>
          <xsd:enumeration value="DG Financial Instructions - 4. Invoicing and debt management"/>
          <xsd:enumeration value="DG Financial Instructions - 5. Accountable forms"/>
          <xsd:enumeration value="DG Financial Instructions - 6. Asset management"/>
          <xsd:enumeration value="DG Financial Instructions - 7. Taxation"/>
          <xsd:enumeration value="School Finance - Motor Vehicle Allowance"/>
          <xsd:enumeration value="School Finance - Banking forms"/>
          <xsd:enumeration value="School Finance - Help sheets"/>
          <xsd:enumeration value="School Finance - Manuals and instructions"/>
          <xsd:enumeration value="School Finance - Forms"/>
          <xsd:enumeration value="Workplace Safety - BSO SOP Standard outdoor work"/>
          <xsd:enumeration value="Workplace Safety - BSO SOP General safety"/>
          <xsd:enumeration value="Workplace Safety - BSO SOP Tools and equipment"/>
          <xsd:enumeration value="Workplace Safety - BSO SOP Mechanics"/>
          <xsd:enumeration value="Workplace Safety - BSO SOP Metal work technology"/>
          <xsd:enumeration value="Workplace Safety - BSO SOP Wood work technology"/>
          <xsd:enumeration value="Introductory English Centres and EALD"/>
          <xsd:enumeration value="BMAG Minutes - 2019"/>
          <xsd:enumeration value="First aid resources - First aid forms"/>
          <xsd:enumeration value="First aid resources - First aid procedures"/>
          <xsd:enumeration value="BMAG Minutes - 2020"/>
          <xsd:enumeration value="BMAG Minutes - 2018"/>
          <xsd:enumeration value="Bushfire strategy - Bushfire preparation package"/>
          <xsd:enumeration value="Support mathematics teaching &amp; learning"/>
          <xsd:enumeration value="School Finance - SSEMS – School Staff Expenditure Monitoring System"/>
          <xsd:enumeration value="HR Advice"/>
        </xsd:restriction>
      </xsd:simpleType>
    </xsd:element>
    <xsd:element name="Publisheddate" ma:index="21" nillable="true" ma:displayName="Published date" ma:format="DateOnly" ma:internalName="Publisheddate">
      <xsd:simpleType>
        <xsd:restriction base="dms:DateTim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Year" ma:index="29" nillable="true" ma:displayName="Year" ma:format="Dropdown" ma:internalName="Year">
      <xsd:simpleType>
        <xsd:restriction base="dms:Choice">
          <xsd:enumeration value="2020"/>
          <xsd:enumeration value="2019"/>
        </xsd:restriction>
      </xsd:simpleType>
    </xsd:element>
    <xsd:element name="Function" ma:index="30" nillable="true" ma:displayName="Function" ma:format="Dropdown" ma:internalName="Function">
      <xsd:simpleType>
        <xsd:restriction base="dms:Choice">
          <xsd:enumeration value="Conditions of Service (Employee Entitlements)"/>
          <xsd:enumeration value="Health, Safety and Wellbeing"/>
          <xsd:enumeration value="Professional Learning"/>
          <xsd:enumeration value="Staff Induction"/>
          <xsd:enumeration value="Staffing and Recruitment"/>
          <xsd:enumeration value="Workplace Values &amp; Behaviou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1f61-9245-4fcb-8ab0-90be871bbbe7" elementFormDefault="qualified">
    <xsd:import namespace="http://schemas.microsoft.com/office/2006/documentManagement/types"/>
    <xsd:import namespace="http://schemas.microsoft.com/office/infopath/2007/PartnerControls"/>
    <xsd:element name="Top_x0020_Level_x0020_Headings" ma:index="14" nillable="true" ma:displayName="Top Level Headings" ma:format="Dropdown" ma:indexed="true" ma:internalName="Top_x0020_Level_x0020_Headings">
      <xsd:simpleType>
        <xsd:restriction base="dms:Choice">
          <xsd:enumeration value="Homepage"/>
          <xsd:enumeration value="Who we are"/>
          <xsd:enumeration value="Emergency &amp; safety"/>
          <xsd:enumeration value="Staff &amp; student wellbeing"/>
          <xsd:enumeration value="People resources"/>
          <xsd:enumeration value="Business resources"/>
          <xsd:enumeration value="Educator resources"/>
          <xsd:enumeration value="Running a school"/>
          <xsd:enumeration value="School Bulletin"/>
          <xsd:enumeration value="All Staff Alerts"/>
          <xsd:enumeration value="ClassACT"/>
          <xsd:enumeration value="E-mployment"/>
          <xsd:enumeration value="DG messages"/>
          <xsd:enumeration value="DG Weekly Wrap Up"/>
          <xsd:enumeration value="Executive Group Manager messages"/>
          <xsd:enumeration value="Professional learning"/>
          <xsd:enumeration value="What's New"/>
          <xsd:enumeration value="Schools Bulletin 2019"/>
        </xsd:restriction>
      </xsd:simpleType>
    </xsd:element>
    <xsd:element name="Relates_x0020_to" ma:index="15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chool_x0020_level" ma:index="18" nillable="true" ma:displayName="School level" ma:internalName="School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Preschool"/>
                    <xsd:enumeration value="Primary school"/>
                    <xsd:enumeration value="High school"/>
                    <xsd:enumeration value="College"/>
                    <xsd:enumeration value="Specialist"/>
                    <xsd:enumeration value="Flexible Education"/>
                  </xsd:restriction>
                </xsd:simpleType>
              </xsd:element>
            </xsd:sequence>
          </xsd:extension>
        </xsd:complexContent>
      </xsd:complexType>
    </xsd:element>
    <xsd:element name="Targeted_x0020_audience" ma:index="19" nillable="true" ma:displayName="Targeted audience" ma:internalName="Targeted_x0020_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s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7ACD1-F65A-44FA-9447-D8C9216A371C}">
  <ds:schemaRefs>
    <ds:schemaRef ds:uri="http://schemas.microsoft.com/office/2006/metadata/properties"/>
    <ds:schemaRef ds:uri="http://schemas.microsoft.com/office/infopath/2007/PartnerControls"/>
    <ds:schemaRef ds:uri="b38bb1c8-5c99-4561-a624-a5e6628d94c9"/>
    <ds:schemaRef ds:uri="01d31f61-9245-4fcb-8ab0-90be871bbbe7"/>
  </ds:schemaRefs>
</ds:datastoreItem>
</file>

<file path=customXml/itemProps2.xml><?xml version="1.0" encoding="utf-8"?>
<ds:datastoreItem xmlns:ds="http://schemas.openxmlformats.org/officeDocument/2006/customXml" ds:itemID="{95E891BF-2D2E-4CC9-95CA-D6A8600ED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7F1F2-3FB8-47A3-B7E3-A79E96D4F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1c8-5c99-4561-a624-a5e6628d94c9"/>
    <ds:schemaRef ds:uri="01d31f61-9245-4fcb-8ab0-90be871bb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Impact Report v05Dec2019</vt:lpstr>
    </vt:vector>
  </TitlesOfParts>
  <Company>ACT Government</Company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Impact Report v05Dec2019</dc:title>
  <dc:subject/>
  <dc:creator>ACT Education Directorate</dc:creator>
  <cp:keywords/>
  <dc:description/>
  <cp:lastModifiedBy>Barker, Simon</cp:lastModifiedBy>
  <cp:revision>19</cp:revision>
  <cp:lastPrinted>2022-03-28T04:01:00Z</cp:lastPrinted>
  <dcterms:created xsi:type="dcterms:W3CDTF">2022-02-27T22:48:00Z</dcterms:created>
  <dcterms:modified xsi:type="dcterms:W3CDTF">2022-05-02T04:08:00Z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0x01010091EF9B66178AFD4EB95FC8028CFC6541</vt:lpwstr>
  </property>
</Properties>
</file>