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3E7E6087" w:rsidR="00FE1945" w:rsidRPr="00563A3D" w:rsidRDefault="0065248C" w:rsidP="00FE1945">
          <w:pPr>
            <w:rPr>
              <w:rStyle w:val="SchoolName"/>
              <w:color w:val="1F4E79"/>
            </w:rPr>
          </w:pPr>
          <w:r>
            <w:rPr>
              <w:rStyle w:val="SchoolName"/>
              <w:color w:val="1F4E79"/>
            </w:rPr>
            <w:t>Red Hill Primary School</w:t>
          </w:r>
        </w:p>
      </w:sdtContent>
    </w:sdt>
    <w:p w14:paraId="63330FCF" w14:textId="06A7C2A6"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65248C">
            <w:t>South Canberra/ Weston</w:t>
          </w:r>
        </w:sdtContent>
      </w:sdt>
    </w:p>
    <w:p w14:paraId="38F253B0" w14:textId="0947EF84" w:rsidR="00FE1945" w:rsidRDefault="00846E51" w:rsidP="00FE1945">
      <w:pPr>
        <w:pStyle w:val="Title"/>
        <w:jc w:val="left"/>
      </w:pPr>
      <w:r>
        <w:t>Impact</w:t>
      </w:r>
      <w:r w:rsidR="00FE1945" w:rsidRPr="005F3926">
        <w:t xml:space="preserve"> </w:t>
      </w:r>
      <w:r w:rsidR="00B10319">
        <w:t xml:space="preserve">Report </w:t>
      </w:r>
      <w:r w:rsidR="00FE1945">
        <w:t>20</w:t>
      </w:r>
      <w:r w:rsidR="0065248C">
        <w:t>20</w:t>
      </w:r>
    </w:p>
    <w:p w14:paraId="43815876" w14:textId="77777777" w:rsidR="00E434FA" w:rsidRPr="001B2E33" w:rsidRDefault="00E434FA" w:rsidP="001B2E33">
      <w:pPr>
        <w:pStyle w:val="Heading1"/>
      </w:pPr>
      <w:r w:rsidRPr="001B2E33">
        <w:t>The purpose of this document</w:t>
      </w:r>
    </w:p>
    <w:p w14:paraId="24E38AD3" w14:textId="597615EF" w:rsidR="0065248C" w:rsidRDefault="00B10319" w:rsidP="0065248C">
      <w:pPr>
        <w:pStyle w:val="BodyText"/>
      </w:pPr>
      <w:r w:rsidRPr="00132917">
        <w:t>This document flows</w:t>
      </w:r>
      <w:r w:rsidR="00334BBF" w:rsidRPr="00132917">
        <w:t xml:space="preserve"> directly from our Action</w:t>
      </w:r>
      <w:r w:rsidR="00846E51" w:rsidRPr="00132917">
        <w:t xml:space="preserve"> Plan </w:t>
      </w:r>
      <w:r w:rsidRPr="00132917">
        <w:t>for 20</w:t>
      </w:r>
      <w:r w:rsidR="00B74B75">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22344E10" w14:textId="73CC4241" w:rsidR="00C77D0E" w:rsidRPr="00C77D0E" w:rsidRDefault="00C77D0E" w:rsidP="00C77D0E">
      <w:pPr>
        <w:pStyle w:val="PlainText"/>
        <w:rPr>
          <w:i/>
          <w:iCs/>
          <w:noProof/>
          <w:color w:val="538135" w:themeColor="accent6" w:themeShade="BF"/>
        </w:rPr>
      </w:pPr>
      <w:r w:rsidRPr="00C77D0E">
        <w:rPr>
          <w:i/>
          <w:iCs/>
          <w:noProof/>
          <w:color w:val="538135" w:themeColor="accent6" w:themeShade="BF"/>
        </w:rPr>
        <w:t>Please note, due to the events of 2020 the data collection cycles of some measures were interrupted. Where this has occurred an N/A entry has been used.</w:t>
      </w:r>
    </w:p>
    <w:p w14:paraId="4C974366" w14:textId="28FA4987" w:rsidR="00132917" w:rsidRPr="0058339C" w:rsidRDefault="00AE2FBD" w:rsidP="0065248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75429C19" w:rsidR="00846E51" w:rsidRPr="00132917" w:rsidRDefault="00300F72" w:rsidP="00132917">
      <w:pPr>
        <w:pStyle w:val="BodyText"/>
      </w:pPr>
      <w:r w:rsidRPr="00132917">
        <w:t>In 20</w:t>
      </w:r>
      <w:r w:rsidR="00B74B75">
        <w:t>20</w:t>
      </w:r>
      <w:r w:rsidRPr="00132917">
        <w:t xml:space="preserve"> our school supported this </w:t>
      </w:r>
      <w:r w:rsidR="00E14A54">
        <w:t>S</w:t>
      </w:r>
      <w:r w:rsidRPr="00132917">
        <w:t xml:space="preserve">trategic </w:t>
      </w:r>
      <w:r w:rsidR="00E14A54">
        <w:t>I</w:t>
      </w:r>
      <w:r w:rsidRPr="00132917">
        <w:t xml:space="preserve">ndicator through – Priority </w:t>
      </w:r>
      <w:r w:rsidR="0065248C">
        <w:t>1</w:t>
      </w:r>
      <w:r w:rsidRPr="00132917">
        <w:t xml:space="preserve"> (see reporting for detail):</w:t>
      </w:r>
    </w:p>
    <w:p w14:paraId="526909A2" w14:textId="75525D00" w:rsidR="00CD6763" w:rsidRDefault="00CD6763" w:rsidP="003A0697">
      <w:pPr>
        <w:pStyle w:val="ListBullet"/>
      </w:pPr>
      <w:r>
        <w:t>d</w:t>
      </w:r>
      <w:r w:rsidR="00006C1E">
        <w:t>ifferentiating teaching and learning to meet the needs of all s</w:t>
      </w:r>
      <w:r w:rsidR="00DA3C39">
        <w:t xml:space="preserve">tudents </w:t>
      </w:r>
    </w:p>
    <w:p w14:paraId="11E00536" w14:textId="64071E4A" w:rsidR="003A0697" w:rsidRDefault="008C223E" w:rsidP="00B74B75">
      <w:pPr>
        <w:pStyle w:val="ListBullet"/>
      </w:pPr>
      <w:r>
        <w:t xml:space="preserve">creating close links between assessment, </w:t>
      </w:r>
      <w:r w:rsidR="00E43E41">
        <w:t xml:space="preserve">feedback and students’ individual learning goals </w:t>
      </w:r>
    </w:p>
    <w:p w14:paraId="3AE103D8" w14:textId="77777777" w:rsidR="00C64881" w:rsidRDefault="00C64881" w:rsidP="006A59F3">
      <w:pPr>
        <w:pStyle w:val="ListBullet"/>
        <w:numPr>
          <w:ilvl w:val="0"/>
          <w:numId w:val="0"/>
        </w:numPr>
      </w:pPr>
    </w:p>
    <w:p w14:paraId="18105686" w14:textId="3CED5DE9" w:rsidR="006A59F3" w:rsidRPr="00132917" w:rsidRDefault="006A59F3" w:rsidP="006A59F3">
      <w:pPr>
        <w:pStyle w:val="ListBullet"/>
        <w:numPr>
          <w:ilvl w:val="0"/>
          <w:numId w:val="0"/>
        </w:numPr>
      </w:pPr>
      <w:r w:rsidRPr="00132917">
        <w:t>In 20</w:t>
      </w:r>
      <w:r w:rsidR="00B74B75">
        <w:t>20</w:t>
      </w:r>
      <w:r w:rsidRPr="00132917">
        <w:t xml:space="preserve"> our school supported this </w:t>
      </w:r>
      <w:r>
        <w:t>S</w:t>
      </w:r>
      <w:r w:rsidRPr="00132917">
        <w:t xml:space="preserve">trategic </w:t>
      </w:r>
      <w:r>
        <w:t>I</w:t>
      </w:r>
      <w:r w:rsidRPr="00132917">
        <w:t xml:space="preserve">ndicator through – Priority </w:t>
      </w:r>
      <w:r>
        <w:t>3</w:t>
      </w:r>
      <w:r w:rsidRPr="00132917">
        <w:t xml:space="preserve"> (see reporting for detail):</w:t>
      </w:r>
    </w:p>
    <w:p w14:paraId="4237A615" w14:textId="231B0C98" w:rsidR="00300F72" w:rsidRPr="00300F72" w:rsidRDefault="00C64881" w:rsidP="00C64881">
      <w:pPr>
        <w:pStyle w:val="ListBullet"/>
        <w:numPr>
          <w:ilvl w:val="0"/>
          <w:numId w:val="30"/>
        </w:numPr>
        <w:ind w:left="284" w:hanging="284"/>
      </w:pPr>
      <w:r>
        <w:t>strengthening productive partnerships with parents and the community</w:t>
      </w:r>
    </w:p>
    <w:p w14:paraId="0F59D5DB" w14:textId="77777777" w:rsidR="00BD45E1" w:rsidRDefault="00BD45E1" w:rsidP="004D00F4">
      <w:pPr>
        <w:pStyle w:val="Heading2"/>
      </w:pPr>
    </w:p>
    <w:p w14:paraId="6A16A7D4" w14:textId="79C82C56"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5BBB39BD" w:rsidR="00300F72" w:rsidRDefault="00B10319" w:rsidP="00BD45E1">
      <w:pPr>
        <w:pStyle w:val="BodyText"/>
        <w:rPr>
          <w:i/>
        </w:rPr>
      </w:pPr>
      <w:r w:rsidRPr="001B2E33">
        <w:rPr>
          <w:i/>
        </w:rPr>
        <w:t>To facilitate high quality teaching in ACT public schools and strengthen educational outcomes.</w:t>
      </w:r>
    </w:p>
    <w:p w14:paraId="38A2ECE4" w14:textId="77777777" w:rsidR="00BD45E1" w:rsidRPr="00BD45E1" w:rsidRDefault="00BD45E1" w:rsidP="00BD45E1">
      <w:pPr>
        <w:pStyle w:val="BodyText"/>
        <w:rPr>
          <w:i/>
        </w:rPr>
      </w:pPr>
    </w:p>
    <w:p w14:paraId="14162F1A" w14:textId="54B3C2F7" w:rsidR="00300F72" w:rsidRPr="00132917" w:rsidRDefault="00300F72" w:rsidP="00132917">
      <w:pPr>
        <w:pStyle w:val="BodyText"/>
      </w:pPr>
      <w:r w:rsidRPr="00132917">
        <w:t>In 20</w:t>
      </w:r>
      <w:r w:rsidR="00B74B75">
        <w:t>20</w:t>
      </w:r>
      <w:r w:rsidRPr="00132917">
        <w:t xml:space="preserve"> our school supported this </w:t>
      </w:r>
      <w:r w:rsidR="00E14A54">
        <w:t>S</w:t>
      </w:r>
      <w:r w:rsidRPr="00132917">
        <w:t xml:space="preserve">trategic </w:t>
      </w:r>
      <w:r w:rsidR="00E14A54">
        <w:t>I</w:t>
      </w:r>
      <w:r w:rsidRPr="00132917">
        <w:t xml:space="preserve">ndicator through – Priority </w:t>
      </w:r>
      <w:r w:rsidR="0065248C">
        <w:t>1</w:t>
      </w:r>
      <w:r w:rsidRPr="00132917">
        <w:t xml:space="preserve"> (see reporting for detail):</w:t>
      </w:r>
    </w:p>
    <w:p w14:paraId="648D2667" w14:textId="77777777" w:rsidR="000B69EE" w:rsidRDefault="00FA6A51" w:rsidP="00300F72">
      <w:pPr>
        <w:pStyle w:val="ListBullet"/>
      </w:pPr>
      <w:r>
        <w:t xml:space="preserve">building </w:t>
      </w:r>
      <w:r w:rsidR="00B65F25">
        <w:t xml:space="preserve">and embedding effective </w:t>
      </w:r>
      <w:r>
        <w:t>teach</w:t>
      </w:r>
      <w:r w:rsidR="00B65F25">
        <w:t>ing practices</w:t>
      </w:r>
    </w:p>
    <w:p w14:paraId="283823B0" w14:textId="0993D613" w:rsidR="00461D07" w:rsidRPr="0066643F" w:rsidRDefault="000B69EE" w:rsidP="001B2E33">
      <w:pPr>
        <w:pStyle w:val="ListBullet"/>
      </w:pPr>
      <w:r>
        <w:rPr>
          <w:color w:val="000000" w:themeColor="text1"/>
        </w:rPr>
        <w:t>e</w:t>
      </w:r>
      <w:r w:rsidRPr="00781C51">
        <w:rPr>
          <w:color w:val="000000" w:themeColor="text1"/>
        </w:rPr>
        <w:t>m</w:t>
      </w:r>
      <w:r w:rsidRPr="00781C51">
        <w:rPr>
          <w:rStyle w:val="normaltextrun"/>
          <w:rFonts w:ascii="Calibri" w:hAnsi="Calibri" w:cs="Calibri"/>
          <w:color w:val="000000"/>
          <w:bdr w:val="none" w:sz="0" w:space="0" w:color="auto" w:frame="1"/>
          <w:lang w:val="en-US"/>
        </w:rPr>
        <w:t>bed</w:t>
      </w:r>
      <w:r>
        <w:rPr>
          <w:rStyle w:val="normaltextrun"/>
          <w:rFonts w:ascii="Calibri" w:hAnsi="Calibri" w:cs="Calibri"/>
          <w:color w:val="000000"/>
          <w:bdr w:val="none" w:sz="0" w:space="0" w:color="auto" w:frame="1"/>
          <w:lang w:val="en-US"/>
        </w:rPr>
        <w:t>ding</w:t>
      </w:r>
      <w:r w:rsidRPr="00781C51">
        <w:rPr>
          <w:rStyle w:val="normaltextrun"/>
          <w:rFonts w:ascii="Calibri" w:hAnsi="Calibri" w:cs="Calibri"/>
          <w:color w:val="000000"/>
          <w:bdr w:val="none" w:sz="0" w:space="0" w:color="auto" w:frame="1"/>
          <w:lang w:val="en-US"/>
        </w:rPr>
        <w:t xml:space="preserve"> consistent use of explicit learning intentions, success criteria and personal learning goals</w:t>
      </w:r>
      <w:r w:rsidR="005452BB">
        <w:t xml:space="preserve">  </w:t>
      </w:r>
    </w:p>
    <w:p w14:paraId="12BCBB5C" w14:textId="77777777" w:rsidR="00B74B75" w:rsidRDefault="00B74B75" w:rsidP="001B2E33">
      <w:pPr>
        <w:pStyle w:val="Heading2"/>
      </w:pPr>
    </w:p>
    <w:p w14:paraId="0CBDE7CA" w14:textId="07884B48"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00E12FC3" w:rsidR="00300F72" w:rsidRPr="00132917" w:rsidRDefault="00300F72" w:rsidP="00132917">
      <w:pPr>
        <w:pStyle w:val="BodyText"/>
      </w:pPr>
      <w:r w:rsidRPr="00132917">
        <w:t>In 20</w:t>
      </w:r>
      <w:r w:rsidR="00B74B75">
        <w:t>20</w:t>
      </w:r>
      <w:r w:rsidRPr="00132917">
        <w:t xml:space="preserve"> our school supported this </w:t>
      </w:r>
      <w:r w:rsidR="00E14A54">
        <w:t>S</w:t>
      </w:r>
      <w:r w:rsidRPr="00132917">
        <w:t xml:space="preserve">trategic </w:t>
      </w:r>
      <w:r w:rsidR="00E14A54">
        <w:t>I</w:t>
      </w:r>
      <w:r w:rsidRPr="00132917">
        <w:t xml:space="preserve">ndicator through – Priority </w:t>
      </w:r>
      <w:r w:rsidR="0065248C">
        <w:t>1</w:t>
      </w:r>
      <w:r w:rsidRPr="00132917">
        <w:t xml:space="preserve"> (see reporting for detail):</w:t>
      </w:r>
    </w:p>
    <w:p w14:paraId="09D9369B" w14:textId="77777777" w:rsidR="00937F05" w:rsidRDefault="00937F05" w:rsidP="00937F05">
      <w:pPr>
        <w:pStyle w:val="ListBullet"/>
      </w:pPr>
      <w:r>
        <w:t xml:space="preserve">creating close links between assessment, feedback and students’ individual learning goals </w:t>
      </w:r>
    </w:p>
    <w:p w14:paraId="2696FF9F" w14:textId="502BA4A6" w:rsidR="00937F05" w:rsidRDefault="00246963" w:rsidP="00246963">
      <w:pPr>
        <w:pStyle w:val="ListBullet"/>
      </w:pPr>
      <w:r>
        <w:lastRenderedPageBreak/>
        <w:t xml:space="preserve">differentiating teaching and learning to meet the needs of all students </w:t>
      </w:r>
    </w:p>
    <w:p w14:paraId="60B58FBD" w14:textId="305830E2" w:rsidR="0065248C" w:rsidRDefault="0065248C" w:rsidP="0065248C">
      <w:pPr>
        <w:pStyle w:val="ListBullet"/>
        <w:numPr>
          <w:ilvl w:val="0"/>
          <w:numId w:val="0"/>
        </w:numPr>
        <w:ind w:left="360" w:hanging="360"/>
      </w:pPr>
    </w:p>
    <w:p w14:paraId="37BAD505" w14:textId="2C7520F8" w:rsidR="0065248C" w:rsidRPr="00132917" w:rsidRDefault="0065248C" w:rsidP="0065248C">
      <w:pPr>
        <w:pStyle w:val="BodyText"/>
      </w:pPr>
      <w:r w:rsidRPr="00132917">
        <w:t>In 20</w:t>
      </w:r>
      <w:r w:rsidR="00B74B75">
        <w:t>20</w:t>
      </w:r>
      <w:r w:rsidRPr="00132917">
        <w:t xml:space="preserve"> our school supported this </w:t>
      </w:r>
      <w:r>
        <w:t>S</w:t>
      </w:r>
      <w:r w:rsidRPr="00132917">
        <w:t xml:space="preserve">trategic </w:t>
      </w:r>
      <w:r>
        <w:t>I</w:t>
      </w:r>
      <w:r w:rsidRPr="00132917">
        <w:t>ndicator through – Priority</w:t>
      </w:r>
      <w:r>
        <w:t xml:space="preserve"> 3</w:t>
      </w:r>
      <w:r w:rsidRPr="00132917">
        <w:t xml:space="preserve"> (see reporting for detail):</w:t>
      </w:r>
    </w:p>
    <w:p w14:paraId="65E1ACD5" w14:textId="6E6C8E8E" w:rsidR="003668DB" w:rsidRDefault="00B74B75" w:rsidP="0065248C">
      <w:pPr>
        <w:pStyle w:val="ListBullet"/>
      </w:pPr>
      <w:r>
        <w:t>ongoing use</w:t>
      </w:r>
      <w:r w:rsidR="0065248C">
        <w:t xml:space="preserve"> of </w:t>
      </w:r>
      <w:r w:rsidR="00F82F94">
        <w:t xml:space="preserve">Restorative and Relational </w:t>
      </w:r>
      <w:r w:rsidR="009A7340">
        <w:t>Practices</w:t>
      </w:r>
    </w:p>
    <w:p w14:paraId="290CE015" w14:textId="7C059827" w:rsidR="00494EFC" w:rsidRDefault="00B74B75" w:rsidP="001B2E33">
      <w:pPr>
        <w:pStyle w:val="ListBullet"/>
      </w:pPr>
      <w:r>
        <w:t>continued i</w:t>
      </w:r>
      <w:r w:rsidR="001D1C3D">
        <w:t xml:space="preserve">mplementation of </w:t>
      </w:r>
      <w:r w:rsidR="0065248C">
        <w:t xml:space="preserve">Positive Education </w:t>
      </w:r>
    </w:p>
    <w:p w14:paraId="7DAB1C21" w14:textId="77777777" w:rsidR="00CB18DA" w:rsidRDefault="00CB18DA" w:rsidP="00CB18DA">
      <w:pPr>
        <w:pStyle w:val="ListBullet"/>
        <w:numPr>
          <w:ilvl w:val="0"/>
          <w:numId w:val="0"/>
        </w:numPr>
        <w:ind w:left="360"/>
      </w:pPr>
    </w:p>
    <w:p w14:paraId="2B93A716" w14:textId="3D05F821" w:rsidR="00B10319" w:rsidRDefault="004D5E45" w:rsidP="001B2E33">
      <w:pPr>
        <w:pStyle w:val="Heading1"/>
      </w:pPr>
      <w:r>
        <w:t>Reporting against our priorities</w:t>
      </w:r>
    </w:p>
    <w:p w14:paraId="58235FA1" w14:textId="14DCCC57" w:rsidR="000A5076" w:rsidRDefault="00837137" w:rsidP="000A5076">
      <w:pPr>
        <w:pStyle w:val="Heading2"/>
        <w:rPr>
          <w:color w:val="auto"/>
        </w:rPr>
      </w:pPr>
      <w:r w:rsidRPr="000F0410">
        <w:t>Priority 1:</w:t>
      </w:r>
      <w:r w:rsidR="000A5076">
        <w:rPr>
          <w:color w:val="auto"/>
        </w:rPr>
        <w:t xml:space="preserve"> </w:t>
      </w:r>
      <w:r w:rsidR="00F23EAA">
        <w:rPr>
          <w:color w:val="auto"/>
        </w:rPr>
        <w:t>I</w:t>
      </w:r>
      <w:r w:rsidR="000A5076">
        <w:rPr>
          <w:color w:val="auto"/>
        </w:rPr>
        <w:t>mprove learning outcomes for all students</w:t>
      </w:r>
    </w:p>
    <w:p w14:paraId="7B215514" w14:textId="77777777" w:rsidR="007A0965" w:rsidRPr="007A0965" w:rsidRDefault="007A0965" w:rsidP="007A0965"/>
    <w:p w14:paraId="255A28BA" w14:textId="60189082" w:rsidR="004D5E45" w:rsidRPr="00837137" w:rsidRDefault="006D2F6B" w:rsidP="000A5076">
      <w:pPr>
        <w:pStyle w:val="Heading2"/>
        <w:tabs>
          <w:tab w:val="clear" w:pos="2410"/>
          <w:tab w:val="left" w:pos="1276"/>
        </w:tabs>
        <w:ind w:left="1276" w:hanging="1276"/>
      </w:pPr>
      <w:r w:rsidRPr="00837137">
        <w:t>Targets or measures</w:t>
      </w:r>
    </w:p>
    <w:p w14:paraId="0ED94083" w14:textId="4AD70F8A" w:rsidR="000031B5" w:rsidRDefault="00481BD2" w:rsidP="0058339C">
      <w:pPr>
        <w:pStyle w:val="BodyText"/>
      </w:pPr>
      <w:r>
        <w:t>By the end of 20</w:t>
      </w:r>
      <w:r w:rsidR="007A0965">
        <w:t>20</w:t>
      </w:r>
      <w:r w:rsidR="000031B5">
        <w:t xml:space="preserve"> we will achieve:</w:t>
      </w:r>
    </w:p>
    <w:p w14:paraId="290A8322" w14:textId="77777777" w:rsidR="007A0965" w:rsidRDefault="007A0965" w:rsidP="007A0965">
      <w:pPr>
        <w:pStyle w:val="BodyText"/>
        <w:widowControl w:val="0"/>
        <w:numPr>
          <w:ilvl w:val="0"/>
          <w:numId w:val="19"/>
        </w:numPr>
        <w:tabs>
          <w:tab w:val="left" w:pos="294"/>
          <w:tab w:val="left" w:pos="378"/>
        </w:tabs>
        <w:spacing w:after="0"/>
        <w:ind w:left="0" w:firstLine="0"/>
      </w:pPr>
      <w:r>
        <w:t>T</w:t>
      </w:r>
      <w:r w:rsidRPr="0071060D">
        <w:t xml:space="preserve">he average scaled score growth for year  5 students in NAPLAN </w:t>
      </w:r>
      <w:r>
        <w:t>is</w:t>
      </w:r>
      <w:r w:rsidRPr="0071060D">
        <w:t xml:space="preserve"> increased to equal the regional and st</w:t>
      </w:r>
      <w:r>
        <w:t>ate scaled score growth.</w:t>
      </w:r>
    </w:p>
    <w:p w14:paraId="13557410" w14:textId="77777777" w:rsidR="007A0965" w:rsidRDefault="007A0965" w:rsidP="007A0965">
      <w:pPr>
        <w:pStyle w:val="BodyText"/>
        <w:widowControl w:val="0"/>
        <w:numPr>
          <w:ilvl w:val="0"/>
          <w:numId w:val="19"/>
        </w:numPr>
        <w:tabs>
          <w:tab w:val="left" w:pos="294"/>
          <w:tab w:val="left" w:pos="378"/>
        </w:tabs>
        <w:spacing w:after="0"/>
        <w:ind w:left="0" w:firstLine="0"/>
      </w:pPr>
      <w:r w:rsidRPr="001F3E17">
        <w:t xml:space="preserve">75% of students’ individual learning goals </w:t>
      </w:r>
      <w:r>
        <w:t>are</w:t>
      </w:r>
      <w:r w:rsidRPr="001F3E17">
        <w:t xml:space="preserve"> achieved</w:t>
      </w:r>
      <w:r>
        <w:t xml:space="preserve"> (Data collection tool: classroom goal tracking records.).</w:t>
      </w:r>
    </w:p>
    <w:p w14:paraId="505252F1" w14:textId="77777777" w:rsidR="007A0965" w:rsidRDefault="007A0965" w:rsidP="007A0965">
      <w:pPr>
        <w:pStyle w:val="BodyText"/>
        <w:widowControl w:val="0"/>
        <w:numPr>
          <w:ilvl w:val="0"/>
          <w:numId w:val="19"/>
        </w:numPr>
        <w:tabs>
          <w:tab w:val="left" w:pos="294"/>
          <w:tab w:val="left" w:pos="378"/>
        </w:tabs>
        <w:spacing w:after="0"/>
        <w:ind w:left="0" w:firstLine="0"/>
      </w:pPr>
      <w:r>
        <w:t>85</w:t>
      </w:r>
      <w:r w:rsidRPr="0071060D">
        <w:t xml:space="preserve">% of staff agree/strongly agree that </w:t>
      </w:r>
      <w:r w:rsidRPr="0071060D">
        <w:rPr>
          <w:i/>
        </w:rPr>
        <w:t>the use of learning technologies is an integral part of teaching and learning at this school</w:t>
      </w:r>
      <w:r w:rsidRPr="0071060D">
        <w:t xml:space="preserve">. </w:t>
      </w:r>
      <w:r>
        <w:t>(</w:t>
      </w:r>
      <w:r w:rsidRPr="006068B7">
        <w:t>Data Collection Tool: System Satisfaction Survey)</w:t>
      </w:r>
    </w:p>
    <w:p w14:paraId="0144CC2F" w14:textId="77777777" w:rsidR="007A0965" w:rsidRPr="0071060D" w:rsidRDefault="007A0965" w:rsidP="007A0965">
      <w:pPr>
        <w:pStyle w:val="BodyText"/>
        <w:widowControl w:val="0"/>
        <w:numPr>
          <w:ilvl w:val="0"/>
          <w:numId w:val="19"/>
        </w:numPr>
        <w:tabs>
          <w:tab w:val="left" w:pos="294"/>
          <w:tab w:val="left" w:pos="378"/>
        </w:tabs>
        <w:spacing w:after="0"/>
        <w:ind w:left="0" w:firstLine="0"/>
      </w:pPr>
      <w:r>
        <w:t>90</w:t>
      </w:r>
      <w:r w:rsidRPr="0071060D">
        <w:t>% or more of parents agree/strongly agree that they are satisfied with the education provided by the school</w:t>
      </w:r>
      <w:r>
        <w:t>. (</w:t>
      </w:r>
      <w:r w:rsidRPr="006068B7">
        <w:t>Data Collection Tool: System Satisfaction Survey)</w:t>
      </w:r>
    </w:p>
    <w:p w14:paraId="4759D860" w14:textId="77777777" w:rsidR="007A0965" w:rsidRDefault="007A0965" w:rsidP="007A0965">
      <w:pPr>
        <w:pStyle w:val="BodyText"/>
        <w:widowControl w:val="0"/>
        <w:numPr>
          <w:ilvl w:val="0"/>
          <w:numId w:val="19"/>
        </w:numPr>
        <w:tabs>
          <w:tab w:val="left" w:pos="294"/>
          <w:tab w:val="left" w:pos="378"/>
        </w:tabs>
        <w:spacing w:after="0"/>
        <w:ind w:left="0" w:firstLine="0"/>
      </w:pPr>
      <w:r>
        <w:t>80</w:t>
      </w:r>
      <w:r w:rsidRPr="0071060D">
        <w:t xml:space="preserve">% of parents agree/strongly agree that </w:t>
      </w:r>
      <w:r w:rsidRPr="00850528">
        <w:rPr>
          <w:i/>
          <w:iCs/>
        </w:rPr>
        <w:t>the use of</w:t>
      </w:r>
      <w:r>
        <w:t xml:space="preserve"> </w:t>
      </w:r>
      <w:r w:rsidRPr="0071060D">
        <w:rPr>
          <w:i/>
        </w:rPr>
        <w:t>learning technologies is an integral part of learning and teaching at my child's school</w:t>
      </w:r>
      <w:r>
        <w:rPr>
          <w:i/>
        </w:rPr>
        <w:t xml:space="preserve"> </w:t>
      </w:r>
      <w:r w:rsidRPr="00C82F68">
        <w:rPr>
          <w:iCs/>
        </w:rPr>
        <w:t>(</w:t>
      </w:r>
      <w:r w:rsidRPr="006068B7">
        <w:t>Data Collection Tool: System Satisfaction Survey)</w:t>
      </w:r>
      <w:r>
        <w:rPr>
          <w:i/>
        </w:rPr>
        <w:t>.</w:t>
      </w:r>
    </w:p>
    <w:p w14:paraId="5CCEC8A5" w14:textId="77777777" w:rsidR="007A0965" w:rsidRPr="001F3E17" w:rsidRDefault="007A0965" w:rsidP="007A0965">
      <w:pPr>
        <w:pStyle w:val="BodyText"/>
        <w:widowControl w:val="0"/>
        <w:numPr>
          <w:ilvl w:val="0"/>
          <w:numId w:val="19"/>
        </w:numPr>
        <w:tabs>
          <w:tab w:val="left" w:pos="294"/>
          <w:tab w:val="left" w:pos="378"/>
        </w:tabs>
        <w:spacing w:after="0"/>
        <w:ind w:left="0" w:firstLine="0"/>
        <w:rPr>
          <w:iCs/>
        </w:rPr>
      </w:pPr>
      <w:r>
        <w:rPr>
          <w:iCs/>
        </w:rPr>
        <w:t>9</w:t>
      </w:r>
      <w:r w:rsidRPr="00881E02">
        <w:rPr>
          <w:iCs/>
        </w:rPr>
        <w:t>5% of students</w:t>
      </w:r>
      <w:r w:rsidRPr="00881E02">
        <w:rPr>
          <w:i/>
        </w:rPr>
        <w:t xml:space="preserve"> </w:t>
      </w:r>
      <w:r w:rsidRPr="00881E02">
        <w:t>agree/strongly agree that</w:t>
      </w:r>
      <w:r w:rsidRPr="00881E02">
        <w:rPr>
          <w:i/>
        </w:rPr>
        <w:t xml:space="preserve"> they have access to computers, internet and digital cameras</w:t>
      </w:r>
      <w:r>
        <w:rPr>
          <w:i/>
        </w:rPr>
        <w:t xml:space="preserve"> </w:t>
      </w:r>
      <w:r w:rsidRPr="000D4101">
        <w:rPr>
          <w:iCs/>
        </w:rPr>
        <w:t>(D</w:t>
      </w:r>
      <w:r w:rsidRPr="006068B7">
        <w:t>ata Collection Tool: System Satisfaction Survey)</w:t>
      </w:r>
      <w:r>
        <w:rPr>
          <w:i/>
        </w:rPr>
        <w:t>.</w:t>
      </w:r>
    </w:p>
    <w:p w14:paraId="03F44B38" w14:textId="77777777" w:rsidR="007A0965" w:rsidRPr="00837137" w:rsidRDefault="007A0965" w:rsidP="007A0965">
      <w:pPr>
        <w:pStyle w:val="BodyText"/>
        <w:widowControl w:val="0"/>
        <w:tabs>
          <w:tab w:val="left" w:pos="294"/>
          <w:tab w:val="left" w:pos="378"/>
        </w:tabs>
        <w:spacing w:after="0"/>
      </w:pPr>
    </w:p>
    <w:p w14:paraId="4DF65EB0" w14:textId="73849DB1" w:rsidR="007A0965" w:rsidRPr="00373DC0" w:rsidRDefault="007A0965" w:rsidP="007A0965">
      <w:pPr>
        <w:pStyle w:val="BodyText"/>
      </w:pPr>
      <w:r w:rsidRPr="00373DC0">
        <w:t>In 20</w:t>
      </w:r>
      <w:r w:rsidR="00B74B75">
        <w:t>20</w:t>
      </w:r>
      <w:r w:rsidRPr="00373DC0">
        <w:t xml:space="preserve"> we </w:t>
      </w:r>
      <w:r>
        <w:t>implemented</w:t>
      </w:r>
      <w:r w:rsidRPr="00373DC0">
        <w:t xml:space="preserve"> this priority throug</w:t>
      </w:r>
      <w:r>
        <w:t xml:space="preserve">h the following </w:t>
      </w:r>
      <w:r w:rsidRPr="00373DC0">
        <w:t>strategies</w:t>
      </w:r>
      <w:r>
        <w:t>:</w:t>
      </w:r>
    </w:p>
    <w:p w14:paraId="7F9B5A61" w14:textId="2DDD6D2D" w:rsidR="007A0965" w:rsidRDefault="007A0965" w:rsidP="007A0965">
      <w:pPr>
        <w:pStyle w:val="ListBullet"/>
      </w:pPr>
      <w:r>
        <w:t>embedding effective teaching practices</w:t>
      </w:r>
    </w:p>
    <w:p w14:paraId="05E73048" w14:textId="651E912F" w:rsidR="007A0965" w:rsidRDefault="007A0965" w:rsidP="007A0965">
      <w:pPr>
        <w:pStyle w:val="ListBullet"/>
      </w:pPr>
      <w:r>
        <w:rPr>
          <w:rFonts w:ascii="Calibri" w:hAnsi="Calibri"/>
        </w:rPr>
        <w:t>d</w:t>
      </w:r>
      <w:r w:rsidRPr="0071060D">
        <w:rPr>
          <w:rFonts w:ascii="Calibri" w:hAnsi="Calibri"/>
        </w:rPr>
        <w:t>evelop</w:t>
      </w:r>
      <w:r>
        <w:rPr>
          <w:rFonts w:ascii="Calibri" w:hAnsi="Calibri"/>
        </w:rPr>
        <w:t>ing</w:t>
      </w:r>
      <w:r w:rsidRPr="0071060D">
        <w:rPr>
          <w:rFonts w:ascii="Calibri" w:hAnsi="Calibri"/>
        </w:rPr>
        <w:t xml:space="preserve"> a culture of analysis and discussion of data to inform teaching and learning</w:t>
      </w:r>
    </w:p>
    <w:p w14:paraId="1133E325" w14:textId="073E8304" w:rsidR="007A0965" w:rsidRPr="00DA6290" w:rsidRDefault="007A0965" w:rsidP="007A0965">
      <w:pPr>
        <w:pStyle w:val="ListBullet"/>
      </w:pPr>
      <w:r>
        <w:rPr>
          <w:rFonts w:ascii="Calibri" w:hAnsi="Calibri"/>
        </w:rPr>
        <w:t>d</w:t>
      </w:r>
      <w:r w:rsidRPr="00DA6290">
        <w:rPr>
          <w:rFonts w:ascii="Calibri" w:hAnsi="Calibri"/>
        </w:rPr>
        <w:t>ifferentiat</w:t>
      </w:r>
      <w:r>
        <w:rPr>
          <w:rFonts w:ascii="Calibri" w:hAnsi="Calibri"/>
        </w:rPr>
        <w:t>ing</w:t>
      </w:r>
      <w:r w:rsidRPr="00DA6290">
        <w:rPr>
          <w:rFonts w:ascii="Calibri" w:hAnsi="Calibri"/>
        </w:rPr>
        <w:t xml:space="preserve"> teaching and learning to meet the needs of all students</w:t>
      </w:r>
      <w:r>
        <w:rPr>
          <w:rFonts w:ascii="Calibri" w:hAnsi="Calibri"/>
        </w:rPr>
        <w:t>, and</w:t>
      </w:r>
    </w:p>
    <w:p w14:paraId="6403B9E2" w14:textId="550B152E" w:rsidR="009B454E" w:rsidRDefault="007A0965" w:rsidP="007A0965">
      <w:pPr>
        <w:pStyle w:val="ListBullet"/>
      </w:pPr>
      <w:r>
        <w:t>d</w:t>
      </w:r>
      <w:r w:rsidRPr="00862984">
        <w:t>eveloping teacher expertise in the integration and use of Learning Technologies.</w:t>
      </w:r>
    </w:p>
    <w:p w14:paraId="7DFF073D" w14:textId="224A4280"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02B134B4" w14:textId="25386BFD" w:rsidR="007A0965" w:rsidRDefault="008A01DA" w:rsidP="007A0965">
      <w:pPr>
        <w:pStyle w:val="Heading4"/>
      </w:pPr>
      <w:r w:rsidRPr="00C0648C">
        <w:t>Student learning data</w:t>
      </w:r>
    </w:p>
    <w:tbl>
      <w:tblPr>
        <w:tblStyle w:val="TableGrid"/>
        <w:tblW w:w="9038" w:type="dxa"/>
        <w:tblLook w:val="04A0" w:firstRow="1" w:lastRow="0" w:firstColumn="1" w:lastColumn="0" w:noHBand="0" w:noVBand="1"/>
      </w:tblPr>
      <w:tblGrid>
        <w:gridCol w:w="4297"/>
        <w:gridCol w:w="790"/>
        <w:gridCol w:w="790"/>
        <w:gridCol w:w="790"/>
        <w:gridCol w:w="790"/>
        <w:gridCol w:w="790"/>
        <w:gridCol w:w="791"/>
      </w:tblGrid>
      <w:tr w:rsidR="007A0965" w14:paraId="35E6933A" w14:textId="77777777" w:rsidTr="007A0965">
        <w:tc>
          <w:tcPr>
            <w:tcW w:w="4297" w:type="dxa"/>
          </w:tcPr>
          <w:p w14:paraId="41500125" w14:textId="77777777" w:rsidR="007A0965" w:rsidRPr="00D03B0C" w:rsidRDefault="007A0965" w:rsidP="00B74B75">
            <w:pPr>
              <w:rPr>
                <w:b/>
              </w:rPr>
            </w:pPr>
            <w:r w:rsidRPr="00D03B0C">
              <w:rPr>
                <w:b/>
              </w:rPr>
              <w:t>Targets or Measures</w:t>
            </w:r>
          </w:p>
        </w:tc>
        <w:tc>
          <w:tcPr>
            <w:tcW w:w="790" w:type="dxa"/>
          </w:tcPr>
          <w:p w14:paraId="3548B6AB" w14:textId="77777777" w:rsidR="007A0965" w:rsidRPr="00D03B0C" w:rsidRDefault="007A0965" w:rsidP="00B74B75">
            <w:pPr>
              <w:jc w:val="center"/>
              <w:rPr>
                <w:b/>
              </w:rPr>
            </w:pPr>
            <w:r w:rsidRPr="00D03B0C">
              <w:rPr>
                <w:b/>
              </w:rPr>
              <w:t>Base</w:t>
            </w:r>
          </w:p>
        </w:tc>
        <w:tc>
          <w:tcPr>
            <w:tcW w:w="790" w:type="dxa"/>
          </w:tcPr>
          <w:p w14:paraId="419489E0" w14:textId="77777777" w:rsidR="007A0965" w:rsidRPr="00D03B0C" w:rsidRDefault="007A0965" w:rsidP="00B74B75">
            <w:pPr>
              <w:jc w:val="center"/>
              <w:rPr>
                <w:b/>
              </w:rPr>
            </w:pPr>
            <w:r w:rsidRPr="00D03B0C">
              <w:rPr>
                <w:b/>
              </w:rPr>
              <w:t>Year 1</w:t>
            </w:r>
          </w:p>
        </w:tc>
        <w:tc>
          <w:tcPr>
            <w:tcW w:w="790" w:type="dxa"/>
          </w:tcPr>
          <w:p w14:paraId="7A7A2259" w14:textId="77777777" w:rsidR="007A0965" w:rsidRPr="00D03B0C" w:rsidRDefault="007A0965" w:rsidP="00B74B75">
            <w:pPr>
              <w:jc w:val="center"/>
              <w:rPr>
                <w:b/>
              </w:rPr>
            </w:pPr>
            <w:r w:rsidRPr="00D03B0C">
              <w:rPr>
                <w:b/>
              </w:rPr>
              <w:t>Year 2</w:t>
            </w:r>
          </w:p>
        </w:tc>
        <w:tc>
          <w:tcPr>
            <w:tcW w:w="790" w:type="dxa"/>
          </w:tcPr>
          <w:p w14:paraId="3A84B794" w14:textId="77777777" w:rsidR="007A0965" w:rsidRPr="00D03B0C" w:rsidRDefault="007A0965" w:rsidP="00B74B75">
            <w:pPr>
              <w:jc w:val="center"/>
              <w:rPr>
                <w:b/>
              </w:rPr>
            </w:pPr>
            <w:r w:rsidRPr="00D03B0C">
              <w:rPr>
                <w:b/>
              </w:rPr>
              <w:t>Year 3</w:t>
            </w:r>
          </w:p>
        </w:tc>
        <w:tc>
          <w:tcPr>
            <w:tcW w:w="790" w:type="dxa"/>
          </w:tcPr>
          <w:p w14:paraId="10837D5D" w14:textId="77777777" w:rsidR="007A0965" w:rsidRPr="00D03B0C" w:rsidRDefault="007A0965" w:rsidP="00B74B75">
            <w:pPr>
              <w:jc w:val="center"/>
              <w:rPr>
                <w:b/>
              </w:rPr>
            </w:pPr>
            <w:r w:rsidRPr="00D03B0C">
              <w:rPr>
                <w:b/>
              </w:rPr>
              <w:t>Year 4</w:t>
            </w:r>
          </w:p>
        </w:tc>
        <w:tc>
          <w:tcPr>
            <w:tcW w:w="791" w:type="dxa"/>
          </w:tcPr>
          <w:p w14:paraId="1F6D0F09" w14:textId="77777777" w:rsidR="007A0965" w:rsidRPr="00D03B0C" w:rsidRDefault="007A0965" w:rsidP="00B74B75">
            <w:pPr>
              <w:jc w:val="center"/>
              <w:rPr>
                <w:b/>
              </w:rPr>
            </w:pPr>
            <w:r w:rsidRPr="00D03B0C">
              <w:rPr>
                <w:b/>
              </w:rPr>
              <w:t>Year 5</w:t>
            </w:r>
          </w:p>
        </w:tc>
      </w:tr>
      <w:tr w:rsidR="00C768A7" w14:paraId="37B98573" w14:textId="77777777" w:rsidTr="00C768A7">
        <w:tc>
          <w:tcPr>
            <w:tcW w:w="9038" w:type="dxa"/>
            <w:gridSpan w:val="7"/>
            <w:vAlign w:val="center"/>
          </w:tcPr>
          <w:p w14:paraId="3176DAED" w14:textId="7947E4BF" w:rsidR="00C768A7" w:rsidRPr="00D03B0C" w:rsidRDefault="00C768A7" w:rsidP="00C768A7">
            <w:pPr>
              <w:rPr>
                <w:b/>
              </w:rPr>
            </w:pPr>
            <w:r>
              <w:t>T</w:t>
            </w:r>
            <w:r w:rsidRPr="0071060D">
              <w:t>he average scaled score growth for year  5 students in NAPLAN will be increased to equal the regional and st</w:t>
            </w:r>
            <w:r>
              <w:t>ate scaled score growth.</w:t>
            </w:r>
          </w:p>
        </w:tc>
      </w:tr>
      <w:tr w:rsidR="007A0965" w14:paraId="75FE62C5" w14:textId="77777777" w:rsidTr="003F4114">
        <w:tc>
          <w:tcPr>
            <w:tcW w:w="4297" w:type="dxa"/>
          </w:tcPr>
          <w:p w14:paraId="0F69670E" w14:textId="77777777" w:rsidR="007A0965" w:rsidRPr="00D03B0C" w:rsidRDefault="007A0965" w:rsidP="00B74B75">
            <w:r>
              <w:t>Reading</w:t>
            </w:r>
          </w:p>
        </w:tc>
        <w:tc>
          <w:tcPr>
            <w:tcW w:w="790" w:type="dxa"/>
            <w:shd w:val="clear" w:color="auto" w:fill="C5E0B3" w:themeFill="accent6" w:themeFillTint="66"/>
          </w:tcPr>
          <w:p w14:paraId="59A32E92" w14:textId="77777777" w:rsidR="007A0965" w:rsidRPr="00431507" w:rsidRDefault="007A0965" w:rsidP="00B74B75">
            <w:pPr>
              <w:jc w:val="center"/>
              <w:rPr>
                <w:b/>
                <w:bCs/>
              </w:rPr>
            </w:pPr>
            <w:r w:rsidRPr="00431507">
              <w:rPr>
                <w:b/>
                <w:bCs/>
              </w:rPr>
              <w:t>7</w:t>
            </w:r>
            <w:r>
              <w:rPr>
                <w:b/>
                <w:bCs/>
              </w:rPr>
              <w:t>8.6</w:t>
            </w:r>
          </w:p>
        </w:tc>
        <w:tc>
          <w:tcPr>
            <w:tcW w:w="790" w:type="dxa"/>
          </w:tcPr>
          <w:p w14:paraId="643E7080" w14:textId="77777777" w:rsidR="007A0965" w:rsidRPr="00431507" w:rsidRDefault="007A0965" w:rsidP="00B74B75">
            <w:pPr>
              <w:jc w:val="center"/>
              <w:rPr>
                <w:b/>
                <w:bCs/>
              </w:rPr>
            </w:pPr>
            <w:r>
              <w:rPr>
                <w:b/>
                <w:bCs/>
              </w:rPr>
              <w:t>67.6</w:t>
            </w:r>
          </w:p>
        </w:tc>
        <w:tc>
          <w:tcPr>
            <w:tcW w:w="790" w:type="dxa"/>
          </w:tcPr>
          <w:p w14:paraId="4A6EDA0E" w14:textId="77777777" w:rsidR="007A0965" w:rsidRPr="00431507" w:rsidRDefault="007A0965" w:rsidP="00B74B75">
            <w:pPr>
              <w:jc w:val="center"/>
              <w:rPr>
                <w:b/>
                <w:bCs/>
              </w:rPr>
            </w:pPr>
            <w:r>
              <w:rPr>
                <w:b/>
                <w:bCs/>
              </w:rPr>
              <w:t>76.8</w:t>
            </w:r>
          </w:p>
        </w:tc>
        <w:tc>
          <w:tcPr>
            <w:tcW w:w="790" w:type="dxa"/>
            <w:shd w:val="clear" w:color="auto" w:fill="C5E0B3" w:themeFill="accent6" w:themeFillTint="66"/>
          </w:tcPr>
          <w:p w14:paraId="19B03915" w14:textId="77777777" w:rsidR="007A0965" w:rsidRPr="00431507" w:rsidRDefault="007A0965" w:rsidP="00B74B75">
            <w:pPr>
              <w:jc w:val="center"/>
              <w:rPr>
                <w:b/>
                <w:bCs/>
              </w:rPr>
            </w:pPr>
            <w:r>
              <w:rPr>
                <w:b/>
                <w:bCs/>
              </w:rPr>
              <w:t>87.8</w:t>
            </w:r>
          </w:p>
        </w:tc>
        <w:tc>
          <w:tcPr>
            <w:tcW w:w="790" w:type="dxa"/>
          </w:tcPr>
          <w:p w14:paraId="188AA6FC" w14:textId="37598176" w:rsidR="007A0965" w:rsidRPr="00431507" w:rsidRDefault="00916C83" w:rsidP="00B74B75">
            <w:pPr>
              <w:jc w:val="center"/>
              <w:rPr>
                <w:b/>
                <w:bCs/>
              </w:rPr>
            </w:pPr>
            <w:r>
              <w:rPr>
                <w:b/>
                <w:bCs/>
              </w:rPr>
              <w:t>65.8</w:t>
            </w:r>
          </w:p>
        </w:tc>
        <w:tc>
          <w:tcPr>
            <w:tcW w:w="791" w:type="dxa"/>
          </w:tcPr>
          <w:p w14:paraId="1A34C88C" w14:textId="2C4D665B" w:rsidR="007A0965" w:rsidRPr="00431507" w:rsidRDefault="00C925C5" w:rsidP="00B74B75">
            <w:pPr>
              <w:jc w:val="center"/>
              <w:rPr>
                <w:b/>
                <w:bCs/>
              </w:rPr>
            </w:pPr>
            <w:r>
              <w:rPr>
                <w:b/>
                <w:bCs/>
              </w:rPr>
              <w:t>n/a</w:t>
            </w:r>
          </w:p>
        </w:tc>
      </w:tr>
      <w:tr w:rsidR="007A0965" w14:paraId="75FAA2F2" w14:textId="77777777" w:rsidTr="003F4114">
        <w:tc>
          <w:tcPr>
            <w:tcW w:w="4297" w:type="dxa"/>
          </w:tcPr>
          <w:p w14:paraId="3B201D72" w14:textId="77777777" w:rsidR="007A0965" w:rsidRDefault="007A0965" w:rsidP="00B74B75">
            <w:r>
              <w:t>Writing</w:t>
            </w:r>
          </w:p>
        </w:tc>
        <w:tc>
          <w:tcPr>
            <w:tcW w:w="790" w:type="dxa"/>
          </w:tcPr>
          <w:p w14:paraId="5A167E3F" w14:textId="77777777" w:rsidR="007A0965" w:rsidRPr="00431507" w:rsidRDefault="007A0965" w:rsidP="00B74B75">
            <w:pPr>
              <w:jc w:val="center"/>
              <w:rPr>
                <w:b/>
                <w:bCs/>
              </w:rPr>
            </w:pPr>
            <w:r w:rsidRPr="00431507">
              <w:rPr>
                <w:b/>
                <w:bCs/>
              </w:rPr>
              <w:t>56.5</w:t>
            </w:r>
          </w:p>
        </w:tc>
        <w:tc>
          <w:tcPr>
            <w:tcW w:w="790" w:type="dxa"/>
            <w:shd w:val="clear" w:color="auto" w:fill="C5E0B3" w:themeFill="accent6" w:themeFillTint="66"/>
          </w:tcPr>
          <w:p w14:paraId="2BF61CF1" w14:textId="77777777" w:rsidR="007A0965" w:rsidRPr="00431507" w:rsidRDefault="007A0965" w:rsidP="00B74B75">
            <w:pPr>
              <w:jc w:val="center"/>
              <w:rPr>
                <w:b/>
                <w:bCs/>
              </w:rPr>
            </w:pPr>
            <w:r>
              <w:rPr>
                <w:b/>
                <w:bCs/>
              </w:rPr>
              <w:t>82.1</w:t>
            </w:r>
          </w:p>
        </w:tc>
        <w:tc>
          <w:tcPr>
            <w:tcW w:w="790" w:type="dxa"/>
            <w:shd w:val="clear" w:color="auto" w:fill="C5E0B3" w:themeFill="accent6" w:themeFillTint="66"/>
          </w:tcPr>
          <w:p w14:paraId="1BC10C2A" w14:textId="77777777" w:rsidR="007A0965" w:rsidRPr="00431507" w:rsidRDefault="007A0965" w:rsidP="00B74B75">
            <w:pPr>
              <w:jc w:val="center"/>
              <w:rPr>
                <w:b/>
                <w:bCs/>
              </w:rPr>
            </w:pPr>
            <w:r>
              <w:rPr>
                <w:b/>
                <w:bCs/>
              </w:rPr>
              <w:t>57.4</w:t>
            </w:r>
          </w:p>
        </w:tc>
        <w:tc>
          <w:tcPr>
            <w:tcW w:w="790" w:type="dxa"/>
          </w:tcPr>
          <w:p w14:paraId="57FC6D17" w14:textId="77777777" w:rsidR="007A0965" w:rsidRPr="00431507" w:rsidRDefault="007A0965" w:rsidP="00B74B75">
            <w:pPr>
              <w:jc w:val="center"/>
              <w:rPr>
                <w:b/>
                <w:bCs/>
              </w:rPr>
            </w:pPr>
            <w:r>
              <w:rPr>
                <w:b/>
                <w:bCs/>
              </w:rPr>
              <w:t>39.3</w:t>
            </w:r>
          </w:p>
        </w:tc>
        <w:tc>
          <w:tcPr>
            <w:tcW w:w="790" w:type="dxa"/>
          </w:tcPr>
          <w:p w14:paraId="09F1F04A" w14:textId="512CE204" w:rsidR="007A0965" w:rsidRPr="00431507" w:rsidRDefault="00916C83" w:rsidP="00B74B75">
            <w:pPr>
              <w:jc w:val="center"/>
              <w:rPr>
                <w:b/>
                <w:bCs/>
              </w:rPr>
            </w:pPr>
            <w:r>
              <w:rPr>
                <w:b/>
                <w:bCs/>
              </w:rPr>
              <w:t>42.5</w:t>
            </w:r>
          </w:p>
        </w:tc>
        <w:tc>
          <w:tcPr>
            <w:tcW w:w="791" w:type="dxa"/>
          </w:tcPr>
          <w:p w14:paraId="219BEDB3" w14:textId="740864D4" w:rsidR="007A0965" w:rsidRPr="00431507" w:rsidRDefault="00C925C5" w:rsidP="00B74B75">
            <w:pPr>
              <w:jc w:val="center"/>
              <w:rPr>
                <w:b/>
                <w:bCs/>
              </w:rPr>
            </w:pPr>
            <w:r>
              <w:rPr>
                <w:b/>
                <w:bCs/>
              </w:rPr>
              <w:t>n/a</w:t>
            </w:r>
          </w:p>
        </w:tc>
      </w:tr>
      <w:tr w:rsidR="007A0965" w14:paraId="0AC83742" w14:textId="77777777" w:rsidTr="00916C83">
        <w:tc>
          <w:tcPr>
            <w:tcW w:w="4297" w:type="dxa"/>
          </w:tcPr>
          <w:p w14:paraId="2B4A2396" w14:textId="77777777" w:rsidR="007A0965" w:rsidRDefault="007A0965" w:rsidP="00B74B75">
            <w:r>
              <w:t>Spelling</w:t>
            </w:r>
          </w:p>
        </w:tc>
        <w:tc>
          <w:tcPr>
            <w:tcW w:w="790" w:type="dxa"/>
            <w:shd w:val="clear" w:color="auto" w:fill="C5E0B3" w:themeFill="accent6" w:themeFillTint="66"/>
          </w:tcPr>
          <w:p w14:paraId="56440D21" w14:textId="77777777" w:rsidR="007A0965" w:rsidRPr="00431507" w:rsidRDefault="007A0965" w:rsidP="00B74B75">
            <w:pPr>
              <w:jc w:val="center"/>
              <w:rPr>
                <w:b/>
                <w:bCs/>
              </w:rPr>
            </w:pPr>
            <w:r w:rsidRPr="00431507">
              <w:rPr>
                <w:b/>
                <w:bCs/>
              </w:rPr>
              <w:t>84.5</w:t>
            </w:r>
          </w:p>
        </w:tc>
        <w:tc>
          <w:tcPr>
            <w:tcW w:w="790" w:type="dxa"/>
          </w:tcPr>
          <w:p w14:paraId="0BB88A73" w14:textId="77777777" w:rsidR="007A0965" w:rsidRPr="00431507" w:rsidRDefault="007A0965" w:rsidP="00B74B75">
            <w:pPr>
              <w:jc w:val="center"/>
              <w:rPr>
                <w:b/>
                <w:bCs/>
              </w:rPr>
            </w:pPr>
            <w:r>
              <w:rPr>
                <w:b/>
                <w:bCs/>
              </w:rPr>
              <w:t>71.3</w:t>
            </w:r>
          </w:p>
        </w:tc>
        <w:tc>
          <w:tcPr>
            <w:tcW w:w="790" w:type="dxa"/>
            <w:shd w:val="clear" w:color="auto" w:fill="C5E0B3" w:themeFill="accent6" w:themeFillTint="66"/>
          </w:tcPr>
          <w:p w14:paraId="41A420FD" w14:textId="77777777" w:rsidR="007A0965" w:rsidRPr="00431507" w:rsidRDefault="007A0965" w:rsidP="00B74B75">
            <w:pPr>
              <w:jc w:val="center"/>
              <w:rPr>
                <w:b/>
                <w:bCs/>
              </w:rPr>
            </w:pPr>
            <w:r>
              <w:rPr>
                <w:b/>
                <w:bCs/>
              </w:rPr>
              <w:t>90.1</w:t>
            </w:r>
          </w:p>
        </w:tc>
        <w:tc>
          <w:tcPr>
            <w:tcW w:w="790" w:type="dxa"/>
            <w:shd w:val="clear" w:color="auto" w:fill="auto"/>
          </w:tcPr>
          <w:p w14:paraId="50926120" w14:textId="77777777" w:rsidR="007A0965" w:rsidRPr="00431507" w:rsidRDefault="007A0965" w:rsidP="00B74B75">
            <w:pPr>
              <w:jc w:val="center"/>
              <w:rPr>
                <w:b/>
                <w:bCs/>
              </w:rPr>
            </w:pPr>
            <w:r>
              <w:rPr>
                <w:b/>
                <w:bCs/>
              </w:rPr>
              <w:t>76.2</w:t>
            </w:r>
          </w:p>
        </w:tc>
        <w:tc>
          <w:tcPr>
            <w:tcW w:w="790" w:type="dxa"/>
            <w:shd w:val="clear" w:color="auto" w:fill="C5E0B3" w:themeFill="accent6" w:themeFillTint="66"/>
          </w:tcPr>
          <w:p w14:paraId="1AA4F2F3" w14:textId="11700778" w:rsidR="007A0965" w:rsidRPr="00431507" w:rsidRDefault="00916C83" w:rsidP="00B74B75">
            <w:pPr>
              <w:jc w:val="center"/>
              <w:rPr>
                <w:b/>
                <w:bCs/>
              </w:rPr>
            </w:pPr>
            <w:r>
              <w:rPr>
                <w:b/>
                <w:bCs/>
              </w:rPr>
              <w:t>82.9</w:t>
            </w:r>
          </w:p>
        </w:tc>
        <w:tc>
          <w:tcPr>
            <w:tcW w:w="791" w:type="dxa"/>
          </w:tcPr>
          <w:p w14:paraId="45092473" w14:textId="7DD245AA" w:rsidR="007A0965" w:rsidRPr="00431507" w:rsidRDefault="00C925C5" w:rsidP="00B74B75">
            <w:pPr>
              <w:jc w:val="center"/>
              <w:rPr>
                <w:b/>
                <w:bCs/>
              </w:rPr>
            </w:pPr>
            <w:r>
              <w:rPr>
                <w:b/>
                <w:bCs/>
              </w:rPr>
              <w:t>n/a</w:t>
            </w:r>
          </w:p>
        </w:tc>
      </w:tr>
      <w:tr w:rsidR="007A0965" w14:paraId="76965A16" w14:textId="77777777" w:rsidTr="003F4114">
        <w:tc>
          <w:tcPr>
            <w:tcW w:w="4297" w:type="dxa"/>
          </w:tcPr>
          <w:p w14:paraId="3DFC8C89" w14:textId="77777777" w:rsidR="007A0965" w:rsidRDefault="007A0965" w:rsidP="00B74B75">
            <w:r>
              <w:t>Grammar and punctuation</w:t>
            </w:r>
          </w:p>
        </w:tc>
        <w:tc>
          <w:tcPr>
            <w:tcW w:w="790" w:type="dxa"/>
          </w:tcPr>
          <w:p w14:paraId="1CA82808" w14:textId="77777777" w:rsidR="007A0965" w:rsidRPr="00431507" w:rsidRDefault="007A0965" w:rsidP="00B74B75">
            <w:pPr>
              <w:jc w:val="center"/>
              <w:rPr>
                <w:b/>
                <w:bCs/>
              </w:rPr>
            </w:pPr>
            <w:r w:rsidRPr="00431507">
              <w:rPr>
                <w:b/>
                <w:bCs/>
              </w:rPr>
              <w:t>6</w:t>
            </w:r>
            <w:r>
              <w:rPr>
                <w:b/>
                <w:bCs/>
              </w:rPr>
              <w:t>3.8</w:t>
            </w:r>
          </w:p>
        </w:tc>
        <w:tc>
          <w:tcPr>
            <w:tcW w:w="790" w:type="dxa"/>
            <w:shd w:val="clear" w:color="auto" w:fill="C5E0B3" w:themeFill="accent6" w:themeFillTint="66"/>
          </w:tcPr>
          <w:p w14:paraId="7A148096" w14:textId="77777777" w:rsidR="007A0965" w:rsidRPr="00F0303C" w:rsidRDefault="007A0965" w:rsidP="00B74B75">
            <w:pPr>
              <w:jc w:val="center"/>
              <w:rPr>
                <w:b/>
                <w:bCs/>
              </w:rPr>
            </w:pPr>
            <w:r w:rsidRPr="00F0303C">
              <w:rPr>
                <w:b/>
                <w:bCs/>
              </w:rPr>
              <w:t>76.4</w:t>
            </w:r>
          </w:p>
        </w:tc>
        <w:tc>
          <w:tcPr>
            <w:tcW w:w="790" w:type="dxa"/>
            <w:shd w:val="clear" w:color="auto" w:fill="C5E0B3" w:themeFill="accent6" w:themeFillTint="66"/>
          </w:tcPr>
          <w:p w14:paraId="7F95F7D8" w14:textId="77777777" w:rsidR="007A0965" w:rsidRPr="00431507" w:rsidRDefault="007A0965" w:rsidP="00B74B75">
            <w:pPr>
              <w:jc w:val="center"/>
              <w:rPr>
                <w:b/>
                <w:bCs/>
              </w:rPr>
            </w:pPr>
            <w:r>
              <w:rPr>
                <w:b/>
                <w:bCs/>
              </w:rPr>
              <w:t>72</w:t>
            </w:r>
          </w:p>
        </w:tc>
        <w:tc>
          <w:tcPr>
            <w:tcW w:w="790" w:type="dxa"/>
          </w:tcPr>
          <w:p w14:paraId="37521553" w14:textId="77777777" w:rsidR="007A0965" w:rsidRPr="00431507" w:rsidRDefault="007A0965" w:rsidP="00B74B75">
            <w:pPr>
              <w:jc w:val="center"/>
              <w:rPr>
                <w:b/>
                <w:bCs/>
              </w:rPr>
            </w:pPr>
            <w:r>
              <w:rPr>
                <w:b/>
                <w:bCs/>
              </w:rPr>
              <w:t>65.1</w:t>
            </w:r>
          </w:p>
        </w:tc>
        <w:tc>
          <w:tcPr>
            <w:tcW w:w="790" w:type="dxa"/>
          </w:tcPr>
          <w:p w14:paraId="6308F4BB" w14:textId="3E6F416C" w:rsidR="007A0965" w:rsidRPr="00431507" w:rsidRDefault="00916C83" w:rsidP="00B74B75">
            <w:pPr>
              <w:jc w:val="center"/>
              <w:rPr>
                <w:b/>
                <w:bCs/>
              </w:rPr>
            </w:pPr>
            <w:r>
              <w:rPr>
                <w:b/>
                <w:bCs/>
              </w:rPr>
              <w:t>50.3</w:t>
            </w:r>
          </w:p>
        </w:tc>
        <w:tc>
          <w:tcPr>
            <w:tcW w:w="791" w:type="dxa"/>
          </w:tcPr>
          <w:p w14:paraId="69A19321" w14:textId="4400B187" w:rsidR="007A0965" w:rsidRPr="00431507" w:rsidRDefault="00C925C5" w:rsidP="00B74B75">
            <w:pPr>
              <w:jc w:val="center"/>
              <w:rPr>
                <w:b/>
                <w:bCs/>
              </w:rPr>
            </w:pPr>
            <w:r>
              <w:rPr>
                <w:b/>
                <w:bCs/>
              </w:rPr>
              <w:t>n/a</w:t>
            </w:r>
          </w:p>
        </w:tc>
      </w:tr>
      <w:tr w:rsidR="007A0965" w14:paraId="19FBD236" w14:textId="77777777" w:rsidTr="007A0965">
        <w:tc>
          <w:tcPr>
            <w:tcW w:w="4297" w:type="dxa"/>
          </w:tcPr>
          <w:p w14:paraId="010AFCED" w14:textId="77777777" w:rsidR="007A0965" w:rsidRDefault="007A0965" w:rsidP="00B74B75">
            <w:r>
              <w:t>Numeracy</w:t>
            </w:r>
          </w:p>
        </w:tc>
        <w:tc>
          <w:tcPr>
            <w:tcW w:w="790" w:type="dxa"/>
          </w:tcPr>
          <w:p w14:paraId="1D95B830" w14:textId="77777777" w:rsidR="007A0965" w:rsidRPr="00431507" w:rsidRDefault="007A0965" w:rsidP="00B74B75">
            <w:pPr>
              <w:jc w:val="center"/>
              <w:rPr>
                <w:b/>
                <w:bCs/>
              </w:rPr>
            </w:pPr>
            <w:r w:rsidRPr="00431507">
              <w:rPr>
                <w:b/>
                <w:bCs/>
              </w:rPr>
              <w:t>92.7</w:t>
            </w:r>
          </w:p>
        </w:tc>
        <w:tc>
          <w:tcPr>
            <w:tcW w:w="790" w:type="dxa"/>
          </w:tcPr>
          <w:p w14:paraId="13C7C3BC" w14:textId="77777777" w:rsidR="007A0965" w:rsidRPr="00431507" w:rsidRDefault="007A0965" w:rsidP="00B74B75">
            <w:pPr>
              <w:jc w:val="center"/>
              <w:rPr>
                <w:b/>
                <w:bCs/>
              </w:rPr>
            </w:pPr>
            <w:r>
              <w:rPr>
                <w:b/>
                <w:bCs/>
              </w:rPr>
              <w:t>77</w:t>
            </w:r>
          </w:p>
        </w:tc>
        <w:tc>
          <w:tcPr>
            <w:tcW w:w="790" w:type="dxa"/>
          </w:tcPr>
          <w:p w14:paraId="71ACCE69" w14:textId="77777777" w:rsidR="007A0965" w:rsidRPr="00431507" w:rsidRDefault="007A0965" w:rsidP="00B74B75">
            <w:pPr>
              <w:jc w:val="center"/>
              <w:rPr>
                <w:b/>
                <w:bCs/>
              </w:rPr>
            </w:pPr>
            <w:r>
              <w:rPr>
                <w:b/>
                <w:bCs/>
              </w:rPr>
              <w:t>85.6</w:t>
            </w:r>
          </w:p>
        </w:tc>
        <w:tc>
          <w:tcPr>
            <w:tcW w:w="790" w:type="dxa"/>
          </w:tcPr>
          <w:p w14:paraId="0D7782CD" w14:textId="77777777" w:rsidR="007A0965" w:rsidRPr="00431507" w:rsidRDefault="007A0965" w:rsidP="00B74B75">
            <w:pPr>
              <w:jc w:val="center"/>
              <w:rPr>
                <w:b/>
                <w:bCs/>
              </w:rPr>
            </w:pPr>
            <w:r>
              <w:rPr>
                <w:b/>
                <w:bCs/>
              </w:rPr>
              <w:t>80.5</w:t>
            </w:r>
          </w:p>
        </w:tc>
        <w:tc>
          <w:tcPr>
            <w:tcW w:w="790" w:type="dxa"/>
          </w:tcPr>
          <w:p w14:paraId="3CE1BCE1" w14:textId="42A04718" w:rsidR="007A0965" w:rsidRPr="00431507" w:rsidRDefault="00916C83" w:rsidP="00B74B75">
            <w:pPr>
              <w:jc w:val="center"/>
              <w:rPr>
                <w:b/>
                <w:bCs/>
              </w:rPr>
            </w:pPr>
            <w:r>
              <w:rPr>
                <w:b/>
                <w:bCs/>
              </w:rPr>
              <w:t>62.6</w:t>
            </w:r>
          </w:p>
        </w:tc>
        <w:tc>
          <w:tcPr>
            <w:tcW w:w="791" w:type="dxa"/>
          </w:tcPr>
          <w:p w14:paraId="3B17C560" w14:textId="1DE2643A" w:rsidR="007A0965" w:rsidRPr="00431507" w:rsidRDefault="00C925C5" w:rsidP="00B74B75">
            <w:pPr>
              <w:jc w:val="center"/>
              <w:rPr>
                <w:b/>
                <w:bCs/>
              </w:rPr>
            </w:pPr>
            <w:r>
              <w:rPr>
                <w:b/>
                <w:bCs/>
              </w:rPr>
              <w:t>n/a</w:t>
            </w:r>
          </w:p>
        </w:tc>
      </w:tr>
      <w:tr w:rsidR="003F4114" w14:paraId="11CF2626" w14:textId="77777777" w:rsidTr="00B74B75">
        <w:tblPrEx>
          <w:jc w:val="center"/>
          <w:tblCellMar>
            <w:top w:w="57" w:type="dxa"/>
            <w:left w:w="57" w:type="dxa"/>
            <w:bottom w:w="57" w:type="dxa"/>
            <w:right w:w="57" w:type="dxa"/>
          </w:tblCellMar>
        </w:tblPrEx>
        <w:trPr>
          <w:jc w:val="center"/>
        </w:trPr>
        <w:tc>
          <w:tcPr>
            <w:tcW w:w="9038" w:type="dxa"/>
            <w:gridSpan w:val="7"/>
            <w:shd w:val="clear" w:color="auto" w:fill="auto"/>
          </w:tcPr>
          <w:p w14:paraId="3485F32F" w14:textId="5E8B1597" w:rsidR="003F4114" w:rsidRPr="00D03B0C" w:rsidRDefault="003F4114" w:rsidP="00D56F59">
            <w:pPr>
              <w:jc w:val="center"/>
              <w:rPr>
                <w:b/>
              </w:rPr>
            </w:pPr>
          </w:p>
        </w:tc>
      </w:tr>
      <w:tr w:rsidR="003F4114" w:rsidRPr="006D2F6B" w14:paraId="1B394018" w14:textId="77777777" w:rsidTr="00B74B75">
        <w:tblPrEx>
          <w:jc w:val="center"/>
          <w:tblCellMar>
            <w:top w:w="57" w:type="dxa"/>
            <w:left w:w="57" w:type="dxa"/>
            <w:bottom w:w="57" w:type="dxa"/>
            <w:right w:w="57" w:type="dxa"/>
          </w:tblCellMar>
        </w:tblPrEx>
        <w:trPr>
          <w:jc w:val="center"/>
        </w:trPr>
        <w:tc>
          <w:tcPr>
            <w:tcW w:w="4297" w:type="dxa"/>
            <w:shd w:val="clear" w:color="auto" w:fill="auto"/>
          </w:tcPr>
          <w:p w14:paraId="0D9F78D6" w14:textId="77777777" w:rsidR="003F4114" w:rsidRPr="006D2F6B" w:rsidRDefault="003F4114" w:rsidP="00B74B75">
            <w:pPr>
              <w:rPr>
                <w:b/>
              </w:rPr>
            </w:pPr>
            <w:r w:rsidRPr="006D2F6B">
              <w:rPr>
                <w:b/>
              </w:rPr>
              <w:t>Targets or Measures</w:t>
            </w:r>
          </w:p>
        </w:tc>
        <w:tc>
          <w:tcPr>
            <w:tcW w:w="790" w:type="dxa"/>
            <w:shd w:val="clear" w:color="auto" w:fill="auto"/>
          </w:tcPr>
          <w:p w14:paraId="39EB66BC" w14:textId="77777777" w:rsidR="003F4114" w:rsidRPr="006D2F6B" w:rsidRDefault="003F4114" w:rsidP="00B74B75">
            <w:pPr>
              <w:jc w:val="center"/>
              <w:rPr>
                <w:b/>
              </w:rPr>
            </w:pPr>
            <w:r w:rsidRPr="006D2F6B">
              <w:rPr>
                <w:b/>
              </w:rPr>
              <w:t>Base</w:t>
            </w:r>
          </w:p>
        </w:tc>
        <w:tc>
          <w:tcPr>
            <w:tcW w:w="790" w:type="dxa"/>
            <w:shd w:val="clear" w:color="auto" w:fill="auto"/>
          </w:tcPr>
          <w:p w14:paraId="16D10E98" w14:textId="77777777" w:rsidR="003F4114" w:rsidRPr="006D2F6B" w:rsidRDefault="003F4114" w:rsidP="00B74B75">
            <w:pPr>
              <w:jc w:val="center"/>
              <w:rPr>
                <w:b/>
              </w:rPr>
            </w:pPr>
            <w:r w:rsidRPr="006D2F6B">
              <w:rPr>
                <w:b/>
              </w:rPr>
              <w:t>Year 1</w:t>
            </w:r>
          </w:p>
        </w:tc>
        <w:tc>
          <w:tcPr>
            <w:tcW w:w="790" w:type="dxa"/>
            <w:shd w:val="clear" w:color="auto" w:fill="auto"/>
          </w:tcPr>
          <w:p w14:paraId="6D299DF4" w14:textId="77777777" w:rsidR="003F4114" w:rsidRPr="006D2F6B" w:rsidRDefault="003F4114" w:rsidP="00B74B75">
            <w:pPr>
              <w:jc w:val="center"/>
              <w:rPr>
                <w:b/>
              </w:rPr>
            </w:pPr>
            <w:r w:rsidRPr="006D2F6B">
              <w:rPr>
                <w:b/>
              </w:rPr>
              <w:t>Year 2</w:t>
            </w:r>
          </w:p>
        </w:tc>
        <w:tc>
          <w:tcPr>
            <w:tcW w:w="790" w:type="dxa"/>
            <w:shd w:val="clear" w:color="auto" w:fill="auto"/>
          </w:tcPr>
          <w:p w14:paraId="709D9771" w14:textId="77777777" w:rsidR="003F4114" w:rsidRPr="006D2F6B" w:rsidRDefault="003F4114" w:rsidP="00B74B75">
            <w:pPr>
              <w:jc w:val="center"/>
              <w:rPr>
                <w:b/>
              </w:rPr>
            </w:pPr>
            <w:r w:rsidRPr="006D2F6B">
              <w:rPr>
                <w:b/>
              </w:rPr>
              <w:t>Year 3</w:t>
            </w:r>
          </w:p>
        </w:tc>
        <w:tc>
          <w:tcPr>
            <w:tcW w:w="790" w:type="dxa"/>
            <w:shd w:val="clear" w:color="auto" w:fill="auto"/>
          </w:tcPr>
          <w:p w14:paraId="68C7C95A" w14:textId="77777777" w:rsidR="003F4114" w:rsidRPr="006D2F6B" w:rsidRDefault="003F4114" w:rsidP="00B74B75">
            <w:pPr>
              <w:jc w:val="center"/>
              <w:rPr>
                <w:b/>
              </w:rPr>
            </w:pPr>
            <w:r w:rsidRPr="006D2F6B">
              <w:rPr>
                <w:b/>
              </w:rPr>
              <w:t>Year 4</w:t>
            </w:r>
          </w:p>
        </w:tc>
        <w:tc>
          <w:tcPr>
            <w:tcW w:w="791" w:type="dxa"/>
            <w:shd w:val="clear" w:color="auto" w:fill="auto"/>
          </w:tcPr>
          <w:p w14:paraId="538472E9" w14:textId="77777777" w:rsidR="003F4114" w:rsidRPr="006D2F6B" w:rsidRDefault="003F4114" w:rsidP="00B74B75">
            <w:pPr>
              <w:jc w:val="center"/>
              <w:rPr>
                <w:b/>
              </w:rPr>
            </w:pPr>
            <w:r w:rsidRPr="006D2F6B">
              <w:rPr>
                <w:b/>
              </w:rPr>
              <w:t>Year 5</w:t>
            </w:r>
          </w:p>
        </w:tc>
      </w:tr>
      <w:tr w:rsidR="003F4114" w:rsidRPr="00674275" w14:paraId="3C5CFE82" w14:textId="77777777" w:rsidTr="00B74B75">
        <w:tblPrEx>
          <w:jc w:val="center"/>
          <w:tblCellMar>
            <w:top w:w="57" w:type="dxa"/>
            <w:left w:w="57" w:type="dxa"/>
            <w:bottom w:w="57" w:type="dxa"/>
            <w:right w:w="57" w:type="dxa"/>
          </w:tblCellMar>
        </w:tblPrEx>
        <w:trPr>
          <w:jc w:val="center"/>
        </w:trPr>
        <w:tc>
          <w:tcPr>
            <w:tcW w:w="4297" w:type="dxa"/>
            <w:shd w:val="clear" w:color="auto" w:fill="auto"/>
          </w:tcPr>
          <w:p w14:paraId="7E5C9E53" w14:textId="77777777" w:rsidR="003F4114" w:rsidRPr="006D2F6B" w:rsidRDefault="003F4114" w:rsidP="00B74B75">
            <w:pPr>
              <w:pStyle w:val="BodyText"/>
              <w:widowControl w:val="0"/>
              <w:tabs>
                <w:tab w:val="left" w:pos="294"/>
                <w:tab w:val="left" w:pos="378"/>
              </w:tabs>
              <w:spacing w:after="0"/>
            </w:pPr>
            <w:r w:rsidRPr="00862984">
              <w:lastRenderedPageBreak/>
              <w:t>75% of students’ individual learning goals</w:t>
            </w:r>
            <w:r>
              <w:t xml:space="preserve"> </w:t>
            </w:r>
            <w:r w:rsidRPr="00862984">
              <w:t>are achieved</w:t>
            </w:r>
            <w:r>
              <w:t>*</w:t>
            </w:r>
            <w:r w:rsidRPr="00862984">
              <w:t>.</w:t>
            </w:r>
          </w:p>
        </w:tc>
        <w:tc>
          <w:tcPr>
            <w:tcW w:w="1580" w:type="dxa"/>
            <w:gridSpan w:val="2"/>
            <w:shd w:val="clear" w:color="auto" w:fill="auto"/>
          </w:tcPr>
          <w:p w14:paraId="4232CC8A" w14:textId="77777777" w:rsidR="003F4114" w:rsidRPr="00674275" w:rsidRDefault="003F4114" w:rsidP="00B74B75">
            <w:pPr>
              <w:jc w:val="center"/>
              <w:rPr>
                <w:b/>
                <w:bCs/>
              </w:rPr>
            </w:pPr>
            <w:r>
              <w:rPr>
                <w:b/>
                <w:bCs/>
              </w:rPr>
              <w:t>54.5%</w:t>
            </w:r>
          </w:p>
        </w:tc>
        <w:tc>
          <w:tcPr>
            <w:tcW w:w="790" w:type="dxa"/>
            <w:shd w:val="clear" w:color="auto" w:fill="auto"/>
          </w:tcPr>
          <w:p w14:paraId="31DDA3AC" w14:textId="77777777" w:rsidR="003F4114" w:rsidRPr="00674275" w:rsidRDefault="003F4114" w:rsidP="00B74B75">
            <w:pPr>
              <w:jc w:val="center"/>
              <w:rPr>
                <w:b/>
                <w:bCs/>
              </w:rPr>
            </w:pPr>
            <w:r>
              <w:rPr>
                <w:b/>
                <w:bCs/>
              </w:rPr>
              <w:t>82%</w:t>
            </w:r>
          </w:p>
        </w:tc>
        <w:tc>
          <w:tcPr>
            <w:tcW w:w="790" w:type="dxa"/>
            <w:shd w:val="clear" w:color="auto" w:fill="auto"/>
          </w:tcPr>
          <w:p w14:paraId="1EDCD9A6" w14:textId="77777777" w:rsidR="003F4114" w:rsidRPr="00674275" w:rsidRDefault="003F4114" w:rsidP="00B74B75">
            <w:pPr>
              <w:jc w:val="center"/>
              <w:rPr>
                <w:b/>
                <w:bCs/>
              </w:rPr>
            </w:pPr>
            <w:r>
              <w:rPr>
                <w:b/>
                <w:bCs/>
              </w:rPr>
              <w:t>89%</w:t>
            </w:r>
          </w:p>
        </w:tc>
        <w:tc>
          <w:tcPr>
            <w:tcW w:w="790" w:type="dxa"/>
            <w:shd w:val="clear" w:color="auto" w:fill="auto"/>
          </w:tcPr>
          <w:p w14:paraId="199678D1" w14:textId="38957487" w:rsidR="003F4114" w:rsidRPr="00674275" w:rsidRDefault="00F72B1C" w:rsidP="00B74B75">
            <w:pPr>
              <w:jc w:val="center"/>
              <w:rPr>
                <w:b/>
                <w:bCs/>
              </w:rPr>
            </w:pPr>
            <w:r>
              <w:rPr>
                <w:b/>
                <w:bCs/>
              </w:rPr>
              <w:t>87.5</w:t>
            </w:r>
            <w:r w:rsidR="00463EF6">
              <w:rPr>
                <w:b/>
                <w:bCs/>
              </w:rPr>
              <w:t>%</w:t>
            </w:r>
          </w:p>
        </w:tc>
        <w:tc>
          <w:tcPr>
            <w:tcW w:w="791" w:type="dxa"/>
            <w:shd w:val="clear" w:color="auto" w:fill="auto"/>
          </w:tcPr>
          <w:p w14:paraId="3CA5B6A7" w14:textId="031B77D8" w:rsidR="003F4114" w:rsidRPr="00674275" w:rsidRDefault="005004C9" w:rsidP="00B74B75">
            <w:pPr>
              <w:jc w:val="center"/>
              <w:rPr>
                <w:b/>
                <w:bCs/>
              </w:rPr>
            </w:pPr>
            <w:r>
              <w:rPr>
                <w:b/>
                <w:bCs/>
              </w:rPr>
              <w:t>88%</w:t>
            </w:r>
          </w:p>
        </w:tc>
      </w:tr>
      <w:tr w:rsidR="003F4114" w:rsidRPr="00674275" w14:paraId="131B2C13" w14:textId="77777777" w:rsidTr="00B74B75">
        <w:tblPrEx>
          <w:jc w:val="center"/>
          <w:tblCellMar>
            <w:top w:w="57" w:type="dxa"/>
            <w:left w:w="57" w:type="dxa"/>
            <w:bottom w:w="57" w:type="dxa"/>
            <w:right w:w="57" w:type="dxa"/>
          </w:tblCellMar>
        </w:tblPrEx>
        <w:trPr>
          <w:jc w:val="center"/>
        </w:trPr>
        <w:tc>
          <w:tcPr>
            <w:tcW w:w="4297" w:type="dxa"/>
            <w:shd w:val="clear" w:color="auto" w:fill="auto"/>
          </w:tcPr>
          <w:p w14:paraId="569C92E6" w14:textId="77777777" w:rsidR="003F4114" w:rsidRPr="006D2F6B" w:rsidRDefault="003F4114" w:rsidP="00B74B75">
            <w:r>
              <w:t>*Literacy goals</w:t>
            </w:r>
          </w:p>
        </w:tc>
        <w:tc>
          <w:tcPr>
            <w:tcW w:w="1580" w:type="dxa"/>
            <w:gridSpan w:val="2"/>
            <w:shd w:val="clear" w:color="auto" w:fill="auto"/>
          </w:tcPr>
          <w:p w14:paraId="4FBC5AF2" w14:textId="77777777" w:rsidR="003F4114" w:rsidRPr="00674275" w:rsidRDefault="003F4114" w:rsidP="00B74B75">
            <w:pPr>
              <w:jc w:val="center"/>
              <w:rPr>
                <w:b/>
                <w:bCs/>
              </w:rPr>
            </w:pPr>
            <w:r>
              <w:rPr>
                <w:b/>
                <w:bCs/>
              </w:rPr>
              <w:t>53%</w:t>
            </w:r>
          </w:p>
        </w:tc>
        <w:tc>
          <w:tcPr>
            <w:tcW w:w="790" w:type="dxa"/>
            <w:shd w:val="clear" w:color="auto" w:fill="auto"/>
          </w:tcPr>
          <w:p w14:paraId="07F9C425" w14:textId="77777777" w:rsidR="003F4114" w:rsidRPr="00674275" w:rsidRDefault="003F4114" w:rsidP="00B74B75">
            <w:pPr>
              <w:jc w:val="center"/>
              <w:rPr>
                <w:b/>
                <w:bCs/>
              </w:rPr>
            </w:pPr>
            <w:r>
              <w:rPr>
                <w:b/>
                <w:bCs/>
              </w:rPr>
              <w:t>82%</w:t>
            </w:r>
          </w:p>
        </w:tc>
        <w:tc>
          <w:tcPr>
            <w:tcW w:w="790" w:type="dxa"/>
            <w:shd w:val="clear" w:color="auto" w:fill="auto"/>
          </w:tcPr>
          <w:p w14:paraId="13E664D5" w14:textId="77777777" w:rsidR="003F4114" w:rsidRPr="00674275" w:rsidRDefault="003F4114" w:rsidP="00B74B75">
            <w:pPr>
              <w:jc w:val="center"/>
              <w:rPr>
                <w:b/>
                <w:bCs/>
              </w:rPr>
            </w:pPr>
            <w:r>
              <w:rPr>
                <w:b/>
                <w:bCs/>
              </w:rPr>
              <w:t>88%</w:t>
            </w:r>
          </w:p>
        </w:tc>
        <w:tc>
          <w:tcPr>
            <w:tcW w:w="790" w:type="dxa"/>
            <w:shd w:val="clear" w:color="auto" w:fill="auto"/>
          </w:tcPr>
          <w:p w14:paraId="08B70B5C" w14:textId="3472E621" w:rsidR="003F4114" w:rsidRPr="00674275" w:rsidRDefault="0060449F" w:rsidP="00B74B75">
            <w:pPr>
              <w:jc w:val="center"/>
              <w:rPr>
                <w:b/>
                <w:bCs/>
              </w:rPr>
            </w:pPr>
            <w:r>
              <w:rPr>
                <w:b/>
                <w:bCs/>
              </w:rPr>
              <w:t>87</w:t>
            </w:r>
            <w:r w:rsidR="00463EF6">
              <w:rPr>
                <w:b/>
                <w:bCs/>
              </w:rPr>
              <w:t>%</w:t>
            </w:r>
          </w:p>
        </w:tc>
        <w:tc>
          <w:tcPr>
            <w:tcW w:w="791" w:type="dxa"/>
            <w:shd w:val="clear" w:color="auto" w:fill="auto"/>
          </w:tcPr>
          <w:p w14:paraId="713B82F0" w14:textId="202360AD" w:rsidR="003F4114" w:rsidRPr="00674275" w:rsidRDefault="005004C9" w:rsidP="00B74B75">
            <w:pPr>
              <w:jc w:val="center"/>
              <w:rPr>
                <w:b/>
                <w:bCs/>
              </w:rPr>
            </w:pPr>
            <w:r>
              <w:rPr>
                <w:b/>
                <w:bCs/>
              </w:rPr>
              <w:t>88%</w:t>
            </w:r>
          </w:p>
        </w:tc>
      </w:tr>
      <w:tr w:rsidR="003F4114" w:rsidRPr="00674275" w14:paraId="34102112" w14:textId="77777777" w:rsidTr="00B74B75">
        <w:tblPrEx>
          <w:jc w:val="center"/>
          <w:tblCellMar>
            <w:top w:w="57" w:type="dxa"/>
            <w:left w:w="57" w:type="dxa"/>
            <w:bottom w:w="57" w:type="dxa"/>
            <w:right w:w="57" w:type="dxa"/>
          </w:tblCellMar>
        </w:tblPrEx>
        <w:trPr>
          <w:jc w:val="center"/>
        </w:trPr>
        <w:tc>
          <w:tcPr>
            <w:tcW w:w="4297" w:type="dxa"/>
            <w:shd w:val="clear" w:color="auto" w:fill="auto"/>
          </w:tcPr>
          <w:p w14:paraId="1476842F" w14:textId="77777777" w:rsidR="003F4114" w:rsidRDefault="003F4114" w:rsidP="00B74B75">
            <w:r>
              <w:t>*Numeracy goals</w:t>
            </w:r>
          </w:p>
        </w:tc>
        <w:tc>
          <w:tcPr>
            <w:tcW w:w="1580" w:type="dxa"/>
            <w:gridSpan w:val="2"/>
            <w:shd w:val="clear" w:color="auto" w:fill="auto"/>
          </w:tcPr>
          <w:p w14:paraId="21B9CA28" w14:textId="77777777" w:rsidR="003F4114" w:rsidRPr="00674275" w:rsidRDefault="003F4114" w:rsidP="00B74B75">
            <w:pPr>
              <w:jc w:val="center"/>
              <w:rPr>
                <w:b/>
                <w:bCs/>
              </w:rPr>
            </w:pPr>
            <w:r>
              <w:rPr>
                <w:b/>
                <w:bCs/>
              </w:rPr>
              <w:t>56%</w:t>
            </w:r>
          </w:p>
        </w:tc>
        <w:tc>
          <w:tcPr>
            <w:tcW w:w="790" w:type="dxa"/>
            <w:shd w:val="clear" w:color="auto" w:fill="auto"/>
          </w:tcPr>
          <w:p w14:paraId="6F8D1427" w14:textId="77777777" w:rsidR="003F4114" w:rsidRPr="00674275" w:rsidRDefault="003F4114" w:rsidP="00B74B75">
            <w:pPr>
              <w:jc w:val="center"/>
              <w:rPr>
                <w:b/>
                <w:bCs/>
              </w:rPr>
            </w:pPr>
            <w:r>
              <w:rPr>
                <w:b/>
                <w:bCs/>
              </w:rPr>
              <w:t>82%</w:t>
            </w:r>
          </w:p>
        </w:tc>
        <w:tc>
          <w:tcPr>
            <w:tcW w:w="790" w:type="dxa"/>
            <w:shd w:val="clear" w:color="auto" w:fill="auto"/>
          </w:tcPr>
          <w:p w14:paraId="124B2225" w14:textId="77777777" w:rsidR="003F4114" w:rsidRPr="00674275" w:rsidRDefault="003F4114" w:rsidP="00B74B75">
            <w:pPr>
              <w:jc w:val="center"/>
              <w:rPr>
                <w:b/>
                <w:bCs/>
              </w:rPr>
            </w:pPr>
            <w:r>
              <w:rPr>
                <w:b/>
                <w:bCs/>
              </w:rPr>
              <w:t>90%</w:t>
            </w:r>
          </w:p>
        </w:tc>
        <w:tc>
          <w:tcPr>
            <w:tcW w:w="790" w:type="dxa"/>
            <w:shd w:val="clear" w:color="auto" w:fill="auto"/>
          </w:tcPr>
          <w:p w14:paraId="67699039" w14:textId="6A3ECAC4" w:rsidR="003F4114" w:rsidRPr="00674275" w:rsidRDefault="00370EB3" w:rsidP="00B74B75">
            <w:pPr>
              <w:jc w:val="center"/>
              <w:rPr>
                <w:b/>
                <w:bCs/>
              </w:rPr>
            </w:pPr>
            <w:r>
              <w:rPr>
                <w:b/>
                <w:bCs/>
              </w:rPr>
              <w:t>88</w:t>
            </w:r>
            <w:r w:rsidR="00463EF6">
              <w:rPr>
                <w:b/>
                <w:bCs/>
              </w:rPr>
              <w:t>%</w:t>
            </w:r>
          </w:p>
        </w:tc>
        <w:tc>
          <w:tcPr>
            <w:tcW w:w="791" w:type="dxa"/>
            <w:shd w:val="clear" w:color="auto" w:fill="auto"/>
          </w:tcPr>
          <w:p w14:paraId="57CED00B" w14:textId="347BE960" w:rsidR="003F4114" w:rsidRPr="00674275" w:rsidRDefault="005004C9" w:rsidP="00B74B75">
            <w:pPr>
              <w:jc w:val="center"/>
              <w:rPr>
                <w:b/>
                <w:bCs/>
              </w:rPr>
            </w:pPr>
            <w:r>
              <w:rPr>
                <w:b/>
                <w:bCs/>
              </w:rPr>
              <w:t>88.5%</w:t>
            </w:r>
          </w:p>
        </w:tc>
      </w:tr>
      <w:tr w:rsidR="003F4114" w:rsidRPr="00674275" w14:paraId="2380612A" w14:textId="77777777" w:rsidTr="00B74B75">
        <w:tblPrEx>
          <w:jc w:val="center"/>
          <w:tblCellMar>
            <w:top w:w="57" w:type="dxa"/>
            <w:left w:w="57" w:type="dxa"/>
            <w:bottom w:w="57" w:type="dxa"/>
            <w:right w:w="57" w:type="dxa"/>
          </w:tblCellMar>
        </w:tblPrEx>
        <w:trPr>
          <w:jc w:val="center"/>
        </w:trPr>
        <w:tc>
          <w:tcPr>
            <w:tcW w:w="4297" w:type="dxa"/>
            <w:shd w:val="clear" w:color="auto" w:fill="auto"/>
          </w:tcPr>
          <w:p w14:paraId="69D178AB" w14:textId="77777777" w:rsidR="003F4114" w:rsidRDefault="003F4114" w:rsidP="00B74B75">
            <w:r>
              <w:t>ILP goals (disability)</w:t>
            </w:r>
          </w:p>
        </w:tc>
        <w:tc>
          <w:tcPr>
            <w:tcW w:w="1580" w:type="dxa"/>
            <w:gridSpan w:val="2"/>
            <w:shd w:val="clear" w:color="auto" w:fill="auto"/>
          </w:tcPr>
          <w:p w14:paraId="240F1CC0" w14:textId="77777777" w:rsidR="003F4114" w:rsidRPr="00674275" w:rsidRDefault="003F4114" w:rsidP="00B74B75">
            <w:pPr>
              <w:jc w:val="center"/>
              <w:rPr>
                <w:b/>
                <w:bCs/>
              </w:rPr>
            </w:pPr>
            <w:r>
              <w:rPr>
                <w:b/>
                <w:bCs/>
              </w:rPr>
              <w:t>77%</w:t>
            </w:r>
          </w:p>
        </w:tc>
        <w:tc>
          <w:tcPr>
            <w:tcW w:w="790" w:type="dxa"/>
            <w:shd w:val="clear" w:color="auto" w:fill="auto"/>
          </w:tcPr>
          <w:p w14:paraId="72CEC96A" w14:textId="77777777" w:rsidR="003F4114" w:rsidRPr="00674275" w:rsidRDefault="003F4114" w:rsidP="00B74B75">
            <w:pPr>
              <w:jc w:val="center"/>
              <w:rPr>
                <w:b/>
                <w:bCs/>
              </w:rPr>
            </w:pPr>
            <w:r>
              <w:rPr>
                <w:b/>
                <w:bCs/>
              </w:rPr>
              <w:t>51%</w:t>
            </w:r>
          </w:p>
        </w:tc>
        <w:tc>
          <w:tcPr>
            <w:tcW w:w="790" w:type="dxa"/>
            <w:shd w:val="clear" w:color="auto" w:fill="auto"/>
          </w:tcPr>
          <w:p w14:paraId="0211D548" w14:textId="77777777" w:rsidR="003F4114" w:rsidRPr="00674275" w:rsidRDefault="003F4114" w:rsidP="00B74B75">
            <w:pPr>
              <w:jc w:val="center"/>
              <w:rPr>
                <w:b/>
                <w:bCs/>
              </w:rPr>
            </w:pPr>
            <w:r>
              <w:rPr>
                <w:b/>
                <w:bCs/>
              </w:rPr>
              <w:t>51%</w:t>
            </w:r>
          </w:p>
        </w:tc>
        <w:tc>
          <w:tcPr>
            <w:tcW w:w="790" w:type="dxa"/>
            <w:shd w:val="clear" w:color="auto" w:fill="auto"/>
          </w:tcPr>
          <w:p w14:paraId="012FE2AF" w14:textId="1B9DCB7E" w:rsidR="003F4114" w:rsidRPr="00674275" w:rsidRDefault="00AB2642" w:rsidP="00B74B75">
            <w:pPr>
              <w:jc w:val="center"/>
              <w:rPr>
                <w:b/>
                <w:bCs/>
              </w:rPr>
            </w:pPr>
            <w:r>
              <w:rPr>
                <w:b/>
                <w:bCs/>
              </w:rPr>
              <w:t>66%</w:t>
            </w:r>
          </w:p>
        </w:tc>
        <w:tc>
          <w:tcPr>
            <w:tcW w:w="791" w:type="dxa"/>
            <w:shd w:val="clear" w:color="auto" w:fill="auto"/>
          </w:tcPr>
          <w:p w14:paraId="2517F78B" w14:textId="04CC11B9" w:rsidR="003F4114" w:rsidRPr="00674275" w:rsidRDefault="00231B62" w:rsidP="00B74B75">
            <w:pPr>
              <w:jc w:val="center"/>
              <w:rPr>
                <w:b/>
                <w:bCs/>
              </w:rPr>
            </w:pPr>
            <w:r>
              <w:rPr>
                <w:b/>
                <w:bCs/>
              </w:rPr>
              <w:t>83.5%</w:t>
            </w:r>
          </w:p>
        </w:tc>
      </w:tr>
      <w:tr w:rsidR="003F4114" w:rsidRPr="00674275" w14:paraId="1FA80667" w14:textId="77777777" w:rsidTr="00B74B75">
        <w:tblPrEx>
          <w:jc w:val="center"/>
          <w:tblCellMar>
            <w:top w:w="57" w:type="dxa"/>
            <w:left w:w="57" w:type="dxa"/>
            <w:bottom w:w="57" w:type="dxa"/>
            <w:right w:w="57" w:type="dxa"/>
          </w:tblCellMar>
        </w:tblPrEx>
        <w:trPr>
          <w:jc w:val="center"/>
        </w:trPr>
        <w:tc>
          <w:tcPr>
            <w:tcW w:w="4297" w:type="dxa"/>
            <w:shd w:val="clear" w:color="auto" w:fill="auto"/>
          </w:tcPr>
          <w:p w14:paraId="7C42B08F" w14:textId="57537B8E" w:rsidR="003F4114" w:rsidRDefault="003F4114" w:rsidP="003F4114">
            <w:r>
              <w:t>ILP</w:t>
            </w:r>
            <w:r w:rsidRPr="006A0AD2">
              <w:t xml:space="preserve"> goals (</w:t>
            </w:r>
            <w:r>
              <w:t>G</w:t>
            </w:r>
            <w:r w:rsidRPr="006A0AD2">
              <w:t>&amp;</w:t>
            </w:r>
            <w:r>
              <w:t>T</w:t>
            </w:r>
            <w:r w:rsidRPr="006A0AD2">
              <w:t>)</w:t>
            </w:r>
          </w:p>
        </w:tc>
        <w:tc>
          <w:tcPr>
            <w:tcW w:w="1580" w:type="dxa"/>
            <w:gridSpan w:val="2"/>
            <w:shd w:val="clear" w:color="auto" w:fill="auto"/>
          </w:tcPr>
          <w:p w14:paraId="257C5490" w14:textId="38B7EC13" w:rsidR="003F4114" w:rsidRDefault="003F4114" w:rsidP="003F4114">
            <w:pPr>
              <w:jc w:val="center"/>
              <w:rPr>
                <w:b/>
                <w:bCs/>
              </w:rPr>
            </w:pPr>
            <w:r>
              <w:rPr>
                <w:b/>
                <w:bCs/>
              </w:rPr>
              <w:t>55%</w:t>
            </w:r>
          </w:p>
        </w:tc>
        <w:tc>
          <w:tcPr>
            <w:tcW w:w="790" w:type="dxa"/>
            <w:shd w:val="clear" w:color="auto" w:fill="auto"/>
          </w:tcPr>
          <w:p w14:paraId="2DC4E078" w14:textId="02E8678D" w:rsidR="003F4114" w:rsidRDefault="003F4114" w:rsidP="003F4114">
            <w:pPr>
              <w:jc w:val="center"/>
              <w:rPr>
                <w:b/>
                <w:bCs/>
              </w:rPr>
            </w:pPr>
            <w:r>
              <w:rPr>
                <w:b/>
                <w:bCs/>
              </w:rPr>
              <w:t>90%</w:t>
            </w:r>
          </w:p>
        </w:tc>
        <w:tc>
          <w:tcPr>
            <w:tcW w:w="790" w:type="dxa"/>
            <w:shd w:val="clear" w:color="auto" w:fill="auto"/>
          </w:tcPr>
          <w:p w14:paraId="74E4325C" w14:textId="28D94D1D" w:rsidR="003F4114" w:rsidRDefault="003F4114" w:rsidP="003F4114">
            <w:pPr>
              <w:jc w:val="center"/>
              <w:rPr>
                <w:b/>
                <w:bCs/>
              </w:rPr>
            </w:pPr>
            <w:r>
              <w:rPr>
                <w:b/>
                <w:bCs/>
              </w:rPr>
              <w:t>92%</w:t>
            </w:r>
          </w:p>
        </w:tc>
        <w:tc>
          <w:tcPr>
            <w:tcW w:w="790" w:type="dxa"/>
            <w:shd w:val="clear" w:color="auto" w:fill="auto"/>
          </w:tcPr>
          <w:p w14:paraId="716CDA4C" w14:textId="5DF44ECC" w:rsidR="003F4114" w:rsidRPr="00674275" w:rsidRDefault="007420C1" w:rsidP="003F4114">
            <w:pPr>
              <w:jc w:val="center"/>
              <w:rPr>
                <w:b/>
                <w:bCs/>
              </w:rPr>
            </w:pPr>
            <w:r>
              <w:rPr>
                <w:b/>
                <w:bCs/>
              </w:rPr>
              <w:t>88</w:t>
            </w:r>
            <w:r w:rsidR="00A220FE">
              <w:rPr>
                <w:b/>
                <w:bCs/>
              </w:rPr>
              <w:t>%</w:t>
            </w:r>
          </w:p>
        </w:tc>
        <w:tc>
          <w:tcPr>
            <w:tcW w:w="791" w:type="dxa"/>
            <w:shd w:val="clear" w:color="auto" w:fill="auto"/>
          </w:tcPr>
          <w:p w14:paraId="77FF7E95" w14:textId="631107D8" w:rsidR="003F4114" w:rsidRPr="00674275" w:rsidRDefault="00455D55" w:rsidP="003F4114">
            <w:pPr>
              <w:jc w:val="center"/>
              <w:rPr>
                <w:b/>
                <w:bCs/>
              </w:rPr>
            </w:pPr>
            <w:r>
              <w:rPr>
                <w:b/>
                <w:bCs/>
              </w:rPr>
              <w:t>95%</w:t>
            </w:r>
          </w:p>
        </w:tc>
      </w:tr>
    </w:tbl>
    <w:p w14:paraId="14F0A5AD" w14:textId="77777777" w:rsidR="00C768A7" w:rsidRDefault="00C768A7" w:rsidP="00C0648C">
      <w:pPr>
        <w:pStyle w:val="Heading4"/>
      </w:pPr>
    </w:p>
    <w:p w14:paraId="422E91C1" w14:textId="490AE1D3" w:rsidR="003F4114" w:rsidRDefault="008A01DA" w:rsidP="003F4114">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3F4114" w14:paraId="33D23EE3" w14:textId="77777777" w:rsidTr="00B74B75">
        <w:trPr>
          <w:jc w:val="center"/>
        </w:trPr>
        <w:tc>
          <w:tcPr>
            <w:tcW w:w="4297" w:type="dxa"/>
            <w:shd w:val="clear" w:color="auto" w:fill="auto"/>
          </w:tcPr>
          <w:p w14:paraId="7A86D99B" w14:textId="77777777" w:rsidR="003F4114" w:rsidRPr="006D2F6B" w:rsidRDefault="003F4114" w:rsidP="00B74B75">
            <w:pPr>
              <w:rPr>
                <w:b/>
              </w:rPr>
            </w:pPr>
            <w:r w:rsidRPr="006D2F6B">
              <w:rPr>
                <w:b/>
              </w:rPr>
              <w:t>Targets or Measures</w:t>
            </w:r>
          </w:p>
        </w:tc>
        <w:tc>
          <w:tcPr>
            <w:tcW w:w="790" w:type="dxa"/>
            <w:shd w:val="clear" w:color="auto" w:fill="auto"/>
          </w:tcPr>
          <w:p w14:paraId="2256FE5B" w14:textId="77777777" w:rsidR="003F4114" w:rsidRPr="006D2F6B" w:rsidRDefault="003F4114" w:rsidP="00B74B75">
            <w:pPr>
              <w:jc w:val="center"/>
              <w:rPr>
                <w:b/>
              </w:rPr>
            </w:pPr>
            <w:r w:rsidRPr="006D2F6B">
              <w:rPr>
                <w:b/>
              </w:rPr>
              <w:t>Base</w:t>
            </w:r>
          </w:p>
        </w:tc>
        <w:tc>
          <w:tcPr>
            <w:tcW w:w="790" w:type="dxa"/>
            <w:shd w:val="clear" w:color="auto" w:fill="auto"/>
          </w:tcPr>
          <w:p w14:paraId="7E68A406" w14:textId="77777777" w:rsidR="003F4114" w:rsidRPr="006D2F6B" w:rsidRDefault="003F4114" w:rsidP="00B74B75">
            <w:pPr>
              <w:jc w:val="center"/>
              <w:rPr>
                <w:b/>
              </w:rPr>
            </w:pPr>
            <w:r w:rsidRPr="006D2F6B">
              <w:rPr>
                <w:b/>
              </w:rPr>
              <w:t>Year 1</w:t>
            </w:r>
          </w:p>
        </w:tc>
        <w:tc>
          <w:tcPr>
            <w:tcW w:w="790" w:type="dxa"/>
            <w:shd w:val="clear" w:color="auto" w:fill="auto"/>
          </w:tcPr>
          <w:p w14:paraId="0F697883" w14:textId="77777777" w:rsidR="003F4114" w:rsidRPr="006D2F6B" w:rsidRDefault="003F4114" w:rsidP="00B74B75">
            <w:pPr>
              <w:jc w:val="center"/>
              <w:rPr>
                <w:b/>
              </w:rPr>
            </w:pPr>
            <w:r w:rsidRPr="006D2F6B">
              <w:rPr>
                <w:b/>
              </w:rPr>
              <w:t>Year 2</w:t>
            </w:r>
          </w:p>
        </w:tc>
        <w:tc>
          <w:tcPr>
            <w:tcW w:w="790" w:type="dxa"/>
            <w:shd w:val="clear" w:color="auto" w:fill="auto"/>
          </w:tcPr>
          <w:p w14:paraId="5C40F6A8" w14:textId="77777777" w:rsidR="003F4114" w:rsidRPr="006D2F6B" w:rsidRDefault="003F4114" w:rsidP="00B74B75">
            <w:pPr>
              <w:jc w:val="center"/>
              <w:rPr>
                <w:b/>
              </w:rPr>
            </w:pPr>
            <w:r w:rsidRPr="006D2F6B">
              <w:rPr>
                <w:b/>
              </w:rPr>
              <w:t>Year 3</w:t>
            </w:r>
          </w:p>
        </w:tc>
        <w:tc>
          <w:tcPr>
            <w:tcW w:w="790" w:type="dxa"/>
            <w:shd w:val="clear" w:color="auto" w:fill="auto"/>
          </w:tcPr>
          <w:p w14:paraId="4343664B" w14:textId="77777777" w:rsidR="003F4114" w:rsidRPr="006D2F6B" w:rsidRDefault="003F4114" w:rsidP="00B74B75">
            <w:pPr>
              <w:jc w:val="center"/>
              <w:rPr>
                <w:b/>
              </w:rPr>
            </w:pPr>
            <w:r w:rsidRPr="006D2F6B">
              <w:rPr>
                <w:b/>
              </w:rPr>
              <w:t>Year 4</w:t>
            </w:r>
          </w:p>
        </w:tc>
        <w:tc>
          <w:tcPr>
            <w:tcW w:w="791" w:type="dxa"/>
            <w:shd w:val="clear" w:color="auto" w:fill="auto"/>
          </w:tcPr>
          <w:p w14:paraId="0BB82E3B" w14:textId="77777777" w:rsidR="003F4114" w:rsidRPr="006D2F6B" w:rsidRDefault="003F4114" w:rsidP="00B74B75">
            <w:pPr>
              <w:jc w:val="center"/>
              <w:rPr>
                <w:b/>
              </w:rPr>
            </w:pPr>
            <w:r w:rsidRPr="006D2F6B">
              <w:rPr>
                <w:b/>
              </w:rPr>
              <w:t>Year 5</w:t>
            </w:r>
          </w:p>
        </w:tc>
      </w:tr>
      <w:tr w:rsidR="003F4114" w14:paraId="223EF27F" w14:textId="77777777" w:rsidTr="00B74B75">
        <w:trPr>
          <w:jc w:val="center"/>
        </w:trPr>
        <w:tc>
          <w:tcPr>
            <w:tcW w:w="4297" w:type="dxa"/>
            <w:shd w:val="clear" w:color="auto" w:fill="auto"/>
          </w:tcPr>
          <w:p w14:paraId="23C35FCF" w14:textId="255C843F" w:rsidR="003F4114" w:rsidRPr="00A45827" w:rsidRDefault="003F4114" w:rsidP="00B74B75">
            <w:pPr>
              <w:pStyle w:val="BodyText"/>
              <w:widowControl w:val="0"/>
              <w:tabs>
                <w:tab w:val="left" w:pos="294"/>
                <w:tab w:val="left" w:pos="378"/>
              </w:tabs>
              <w:spacing w:after="0"/>
            </w:pPr>
            <w:r>
              <w:t>90</w:t>
            </w:r>
            <w:r w:rsidRPr="0071060D">
              <w:t>% or more of parents agree/strongly agree that they are satisfied with the education provided by the school</w:t>
            </w:r>
            <w:r w:rsidR="00916C83">
              <w:t>.</w:t>
            </w:r>
          </w:p>
        </w:tc>
        <w:tc>
          <w:tcPr>
            <w:tcW w:w="790" w:type="dxa"/>
            <w:shd w:val="clear" w:color="auto" w:fill="auto"/>
          </w:tcPr>
          <w:p w14:paraId="193F5DC5" w14:textId="77777777" w:rsidR="003F4114" w:rsidRPr="001A1F68" w:rsidRDefault="003F4114" w:rsidP="00B74B75">
            <w:pPr>
              <w:jc w:val="center"/>
              <w:rPr>
                <w:b/>
              </w:rPr>
            </w:pPr>
            <w:r w:rsidRPr="001A1F68">
              <w:rPr>
                <w:b/>
              </w:rPr>
              <w:t>80%</w:t>
            </w:r>
          </w:p>
        </w:tc>
        <w:tc>
          <w:tcPr>
            <w:tcW w:w="790" w:type="dxa"/>
            <w:shd w:val="clear" w:color="auto" w:fill="auto"/>
          </w:tcPr>
          <w:p w14:paraId="2EFD12AD" w14:textId="77777777" w:rsidR="003F4114" w:rsidRPr="006D2F6B" w:rsidRDefault="003F4114" w:rsidP="00B74B75">
            <w:pPr>
              <w:jc w:val="center"/>
              <w:rPr>
                <w:b/>
              </w:rPr>
            </w:pPr>
            <w:r>
              <w:rPr>
                <w:b/>
              </w:rPr>
              <w:t>89%</w:t>
            </w:r>
          </w:p>
        </w:tc>
        <w:tc>
          <w:tcPr>
            <w:tcW w:w="790" w:type="dxa"/>
            <w:shd w:val="clear" w:color="auto" w:fill="auto"/>
          </w:tcPr>
          <w:p w14:paraId="3DC254F5" w14:textId="77777777" w:rsidR="003F4114" w:rsidRPr="006D2F6B" w:rsidRDefault="003F4114" w:rsidP="00B74B75">
            <w:pPr>
              <w:jc w:val="center"/>
              <w:rPr>
                <w:b/>
              </w:rPr>
            </w:pPr>
            <w:r>
              <w:rPr>
                <w:b/>
              </w:rPr>
              <w:t>89%</w:t>
            </w:r>
          </w:p>
        </w:tc>
        <w:tc>
          <w:tcPr>
            <w:tcW w:w="790" w:type="dxa"/>
            <w:shd w:val="clear" w:color="auto" w:fill="auto"/>
          </w:tcPr>
          <w:p w14:paraId="63421A3C" w14:textId="77777777" w:rsidR="003F4114" w:rsidRPr="006D2F6B" w:rsidRDefault="003F4114" w:rsidP="00B74B75">
            <w:pPr>
              <w:jc w:val="center"/>
              <w:rPr>
                <w:b/>
              </w:rPr>
            </w:pPr>
            <w:r>
              <w:rPr>
                <w:b/>
              </w:rPr>
              <w:t>82%</w:t>
            </w:r>
          </w:p>
        </w:tc>
        <w:tc>
          <w:tcPr>
            <w:tcW w:w="790" w:type="dxa"/>
            <w:shd w:val="clear" w:color="auto" w:fill="auto"/>
          </w:tcPr>
          <w:p w14:paraId="79F56AD3" w14:textId="3903E567" w:rsidR="003F4114" w:rsidRPr="006D2F6B" w:rsidRDefault="004D447D" w:rsidP="00B74B75">
            <w:pPr>
              <w:jc w:val="center"/>
              <w:rPr>
                <w:b/>
              </w:rPr>
            </w:pPr>
            <w:r>
              <w:rPr>
                <w:b/>
              </w:rPr>
              <w:t>88.1%</w:t>
            </w:r>
          </w:p>
        </w:tc>
        <w:tc>
          <w:tcPr>
            <w:tcW w:w="791" w:type="dxa"/>
            <w:shd w:val="clear" w:color="auto" w:fill="auto"/>
          </w:tcPr>
          <w:p w14:paraId="57102A98" w14:textId="0817811D" w:rsidR="003F4114" w:rsidRPr="006D2F6B" w:rsidRDefault="009C0B83" w:rsidP="00B74B75">
            <w:pPr>
              <w:jc w:val="center"/>
              <w:rPr>
                <w:b/>
              </w:rPr>
            </w:pPr>
            <w:r>
              <w:rPr>
                <w:b/>
              </w:rPr>
              <w:t>88%</w:t>
            </w:r>
          </w:p>
        </w:tc>
      </w:tr>
      <w:tr w:rsidR="003F4114" w14:paraId="63242335" w14:textId="77777777" w:rsidTr="00B74B75">
        <w:trPr>
          <w:jc w:val="center"/>
        </w:trPr>
        <w:tc>
          <w:tcPr>
            <w:tcW w:w="4297" w:type="dxa"/>
            <w:shd w:val="clear" w:color="auto" w:fill="auto"/>
          </w:tcPr>
          <w:p w14:paraId="63E9AD7A" w14:textId="77777777" w:rsidR="003F4114" w:rsidRPr="006D2F6B" w:rsidRDefault="003F4114" w:rsidP="00B74B75">
            <w:pPr>
              <w:pStyle w:val="BodyText"/>
              <w:widowControl w:val="0"/>
              <w:tabs>
                <w:tab w:val="left" w:pos="294"/>
                <w:tab w:val="left" w:pos="378"/>
              </w:tabs>
              <w:spacing w:after="0"/>
            </w:pPr>
            <w:r>
              <w:t xml:space="preserve">85% of staff agree/strongly agree that </w:t>
            </w:r>
            <w:r w:rsidRPr="007918BA">
              <w:rPr>
                <w:iCs/>
              </w:rPr>
              <w:t>the use of learning technologies is an integral part of teaching and learning</w:t>
            </w:r>
            <w:r>
              <w:rPr>
                <w:iCs/>
              </w:rPr>
              <w:t xml:space="preserve"> in this school.</w:t>
            </w:r>
          </w:p>
        </w:tc>
        <w:tc>
          <w:tcPr>
            <w:tcW w:w="790" w:type="dxa"/>
            <w:shd w:val="clear" w:color="auto" w:fill="auto"/>
          </w:tcPr>
          <w:p w14:paraId="16B11C21" w14:textId="77777777" w:rsidR="003F4114" w:rsidRPr="001A1F68" w:rsidRDefault="003F4114" w:rsidP="00B74B75">
            <w:pPr>
              <w:jc w:val="center"/>
              <w:rPr>
                <w:b/>
              </w:rPr>
            </w:pPr>
            <w:r w:rsidRPr="001A1F68">
              <w:rPr>
                <w:b/>
              </w:rPr>
              <w:t>73%</w:t>
            </w:r>
          </w:p>
        </w:tc>
        <w:tc>
          <w:tcPr>
            <w:tcW w:w="790" w:type="dxa"/>
            <w:shd w:val="clear" w:color="auto" w:fill="auto"/>
          </w:tcPr>
          <w:p w14:paraId="2390ECAA" w14:textId="77777777" w:rsidR="003F4114" w:rsidRPr="00660EC1" w:rsidRDefault="003F4114" w:rsidP="00B74B75">
            <w:pPr>
              <w:jc w:val="center"/>
              <w:rPr>
                <w:b/>
                <w:bCs/>
              </w:rPr>
            </w:pPr>
            <w:r w:rsidRPr="00660EC1">
              <w:rPr>
                <w:b/>
                <w:bCs/>
              </w:rPr>
              <w:t>68%</w:t>
            </w:r>
          </w:p>
        </w:tc>
        <w:tc>
          <w:tcPr>
            <w:tcW w:w="790" w:type="dxa"/>
            <w:shd w:val="clear" w:color="auto" w:fill="auto"/>
          </w:tcPr>
          <w:p w14:paraId="09D404F6" w14:textId="77777777" w:rsidR="003F4114" w:rsidRPr="00660EC1" w:rsidRDefault="003F4114" w:rsidP="00B74B75">
            <w:pPr>
              <w:jc w:val="center"/>
              <w:rPr>
                <w:b/>
                <w:bCs/>
              </w:rPr>
            </w:pPr>
            <w:r>
              <w:rPr>
                <w:b/>
                <w:bCs/>
              </w:rPr>
              <w:t>89%</w:t>
            </w:r>
          </w:p>
        </w:tc>
        <w:tc>
          <w:tcPr>
            <w:tcW w:w="790" w:type="dxa"/>
            <w:shd w:val="clear" w:color="auto" w:fill="auto"/>
          </w:tcPr>
          <w:p w14:paraId="25CF049F" w14:textId="77777777" w:rsidR="003F4114" w:rsidRPr="00660EC1" w:rsidRDefault="003F4114" w:rsidP="00B74B75">
            <w:pPr>
              <w:jc w:val="center"/>
              <w:rPr>
                <w:b/>
                <w:bCs/>
              </w:rPr>
            </w:pPr>
            <w:r>
              <w:rPr>
                <w:b/>
                <w:bCs/>
              </w:rPr>
              <w:t>91%</w:t>
            </w:r>
          </w:p>
        </w:tc>
        <w:tc>
          <w:tcPr>
            <w:tcW w:w="790" w:type="dxa"/>
            <w:shd w:val="clear" w:color="auto" w:fill="auto"/>
          </w:tcPr>
          <w:p w14:paraId="11F10488" w14:textId="5A5944B1" w:rsidR="003F4114" w:rsidRPr="00660EC1" w:rsidRDefault="004D447D" w:rsidP="00B74B75">
            <w:pPr>
              <w:jc w:val="center"/>
              <w:rPr>
                <w:b/>
                <w:bCs/>
              </w:rPr>
            </w:pPr>
            <w:r>
              <w:rPr>
                <w:b/>
                <w:bCs/>
              </w:rPr>
              <w:t>84%</w:t>
            </w:r>
          </w:p>
        </w:tc>
        <w:tc>
          <w:tcPr>
            <w:tcW w:w="791" w:type="dxa"/>
            <w:shd w:val="clear" w:color="auto" w:fill="auto"/>
          </w:tcPr>
          <w:p w14:paraId="664794CB" w14:textId="3B08AF9A" w:rsidR="003F4114" w:rsidRPr="00660EC1" w:rsidRDefault="00C77D0E" w:rsidP="00B74B75">
            <w:pPr>
              <w:jc w:val="center"/>
              <w:rPr>
                <w:b/>
                <w:bCs/>
              </w:rPr>
            </w:pPr>
            <w:r>
              <w:rPr>
                <w:b/>
                <w:bCs/>
              </w:rPr>
              <w:t>85%</w:t>
            </w:r>
          </w:p>
        </w:tc>
      </w:tr>
      <w:tr w:rsidR="003F4114" w14:paraId="71B90769" w14:textId="77777777" w:rsidTr="00B74B75">
        <w:trPr>
          <w:jc w:val="center"/>
        </w:trPr>
        <w:tc>
          <w:tcPr>
            <w:tcW w:w="4297" w:type="dxa"/>
            <w:shd w:val="clear" w:color="auto" w:fill="auto"/>
          </w:tcPr>
          <w:p w14:paraId="7C67A4EE" w14:textId="77777777" w:rsidR="003F4114" w:rsidRPr="006D2F6B" w:rsidRDefault="003F4114" w:rsidP="00B74B75">
            <w:r>
              <w:t xml:space="preserve">80% of parents agree/strongly agree that </w:t>
            </w:r>
            <w:r w:rsidRPr="007918BA">
              <w:rPr>
                <w:iCs/>
              </w:rPr>
              <w:t>the use of learning technologies is an integral part of teaching and learning</w:t>
            </w:r>
            <w:r>
              <w:rPr>
                <w:iCs/>
              </w:rPr>
              <w:t xml:space="preserve"> in my child’s school.</w:t>
            </w:r>
          </w:p>
        </w:tc>
        <w:tc>
          <w:tcPr>
            <w:tcW w:w="790" w:type="dxa"/>
            <w:shd w:val="clear" w:color="auto" w:fill="auto"/>
          </w:tcPr>
          <w:p w14:paraId="2F2F4841" w14:textId="77777777" w:rsidR="003F4114" w:rsidRPr="00AF111C" w:rsidRDefault="003F4114" w:rsidP="00B74B75">
            <w:pPr>
              <w:jc w:val="center"/>
              <w:rPr>
                <w:b/>
                <w:bCs/>
              </w:rPr>
            </w:pPr>
            <w:r w:rsidRPr="00AF111C">
              <w:rPr>
                <w:b/>
                <w:bCs/>
              </w:rPr>
              <w:t>61%</w:t>
            </w:r>
          </w:p>
        </w:tc>
        <w:tc>
          <w:tcPr>
            <w:tcW w:w="790" w:type="dxa"/>
            <w:shd w:val="clear" w:color="auto" w:fill="auto"/>
          </w:tcPr>
          <w:p w14:paraId="43F3C0F3" w14:textId="77777777" w:rsidR="003F4114" w:rsidRPr="00660EC1" w:rsidRDefault="003F4114" w:rsidP="00B74B75">
            <w:pPr>
              <w:jc w:val="center"/>
              <w:rPr>
                <w:b/>
                <w:bCs/>
              </w:rPr>
            </w:pPr>
            <w:r w:rsidRPr="00660EC1">
              <w:rPr>
                <w:b/>
                <w:bCs/>
              </w:rPr>
              <w:t>69%</w:t>
            </w:r>
          </w:p>
        </w:tc>
        <w:tc>
          <w:tcPr>
            <w:tcW w:w="790" w:type="dxa"/>
            <w:shd w:val="clear" w:color="auto" w:fill="auto"/>
          </w:tcPr>
          <w:p w14:paraId="793E1439" w14:textId="77777777" w:rsidR="003F4114" w:rsidRPr="00660EC1" w:rsidRDefault="003F4114" w:rsidP="00B74B75">
            <w:pPr>
              <w:jc w:val="center"/>
              <w:rPr>
                <w:b/>
                <w:bCs/>
              </w:rPr>
            </w:pPr>
            <w:r>
              <w:rPr>
                <w:b/>
                <w:bCs/>
              </w:rPr>
              <w:t>85%</w:t>
            </w:r>
          </w:p>
        </w:tc>
        <w:tc>
          <w:tcPr>
            <w:tcW w:w="790" w:type="dxa"/>
            <w:shd w:val="clear" w:color="auto" w:fill="auto"/>
          </w:tcPr>
          <w:p w14:paraId="5D9AC8C4" w14:textId="77777777" w:rsidR="003F4114" w:rsidRPr="00660EC1" w:rsidRDefault="003F4114" w:rsidP="00B74B75">
            <w:pPr>
              <w:jc w:val="center"/>
              <w:rPr>
                <w:b/>
                <w:bCs/>
              </w:rPr>
            </w:pPr>
            <w:r>
              <w:rPr>
                <w:b/>
                <w:bCs/>
              </w:rPr>
              <w:t>85%</w:t>
            </w:r>
          </w:p>
        </w:tc>
        <w:tc>
          <w:tcPr>
            <w:tcW w:w="790" w:type="dxa"/>
            <w:shd w:val="clear" w:color="auto" w:fill="auto"/>
          </w:tcPr>
          <w:p w14:paraId="1614DD00" w14:textId="428892E5" w:rsidR="003F4114" w:rsidRPr="00660EC1" w:rsidRDefault="004D447D" w:rsidP="00B74B75">
            <w:pPr>
              <w:jc w:val="center"/>
              <w:rPr>
                <w:b/>
                <w:bCs/>
              </w:rPr>
            </w:pPr>
            <w:r>
              <w:rPr>
                <w:b/>
                <w:bCs/>
              </w:rPr>
              <w:t>78.6%</w:t>
            </w:r>
          </w:p>
        </w:tc>
        <w:tc>
          <w:tcPr>
            <w:tcW w:w="791" w:type="dxa"/>
            <w:shd w:val="clear" w:color="auto" w:fill="auto"/>
          </w:tcPr>
          <w:p w14:paraId="396EFBA7" w14:textId="507ACC46" w:rsidR="003F4114" w:rsidRPr="00660EC1" w:rsidRDefault="00C77D0E" w:rsidP="00B74B75">
            <w:pPr>
              <w:jc w:val="center"/>
              <w:rPr>
                <w:b/>
                <w:bCs/>
              </w:rPr>
            </w:pPr>
            <w:r>
              <w:rPr>
                <w:b/>
                <w:bCs/>
              </w:rPr>
              <w:t>84%</w:t>
            </w:r>
          </w:p>
        </w:tc>
      </w:tr>
      <w:tr w:rsidR="003F4114" w14:paraId="69ADC353" w14:textId="77777777" w:rsidTr="00B74B75">
        <w:trPr>
          <w:jc w:val="center"/>
        </w:trPr>
        <w:tc>
          <w:tcPr>
            <w:tcW w:w="4297" w:type="dxa"/>
            <w:shd w:val="clear" w:color="auto" w:fill="auto"/>
          </w:tcPr>
          <w:p w14:paraId="625E4DDD" w14:textId="29CD91CE" w:rsidR="003F4114" w:rsidRPr="0071060D" w:rsidRDefault="003F4114" w:rsidP="00B74B75">
            <w:r>
              <w:t>95% of students agree/strongly agree that  they</w:t>
            </w:r>
            <w:r w:rsidRPr="00E3078D">
              <w:rPr>
                <w:iCs/>
              </w:rPr>
              <w:t xml:space="preserve"> have access to computers, internet and digital cameras</w:t>
            </w:r>
            <w:r>
              <w:rPr>
                <w:iCs/>
              </w:rPr>
              <w:t>.</w:t>
            </w:r>
            <w:r w:rsidR="004D447D">
              <w:rPr>
                <w:iCs/>
              </w:rPr>
              <w:t>*</w:t>
            </w:r>
          </w:p>
        </w:tc>
        <w:tc>
          <w:tcPr>
            <w:tcW w:w="790" w:type="dxa"/>
            <w:shd w:val="clear" w:color="auto" w:fill="auto"/>
          </w:tcPr>
          <w:p w14:paraId="56DE07E7" w14:textId="77777777" w:rsidR="003F4114" w:rsidRPr="006D2F6B" w:rsidRDefault="003F4114" w:rsidP="00B74B75">
            <w:pPr>
              <w:jc w:val="center"/>
            </w:pPr>
            <w:r>
              <w:rPr>
                <w:b/>
              </w:rPr>
              <w:t>93%</w:t>
            </w:r>
          </w:p>
        </w:tc>
        <w:tc>
          <w:tcPr>
            <w:tcW w:w="790" w:type="dxa"/>
            <w:shd w:val="clear" w:color="auto" w:fill="auto"/>
          </w:tcPr>
          <w:p w14:paraId="1EE202FC" w14:textId="77777777" w:rsidR="003F4114" w:rsidRPr="00660EC1" w:rsidRDefault="003F4114" w:rsidP="00B74B75">
            <w:pPr>
              <w:jc w:val="center"/>
              <w:rPr>
                <w:b/>
                <w:bCs/>
              </w:rPr>
            </w:pPr>
            <w:r w:rsidRPr="00660EC1">
              <w:rPr>
                <w:b/>
                <w:bCs/>
              </w:rPr>
              <w:t>95%</w:t>
            </w:r>
          </w:p>
        </w:tc>
        <w:tc>
          <w:tcPr>
            <w:tcW w:w="790" w:type="dxa"/>
            <w:shd w:val="clear" w:color="auto" w:fill="auto"/>
          </w:tcPr>
          <w:p w14:paraId="5F993DC2" w14:textId="77777777" w:rsidR="003F4114" w:rsidRPr="00660EC1" w:rsidRDefault="003F4114" w:rsidP="00B74B75">
            <w:pPr>
              <w:jc w:val="center"/>
              <w:rPr>
                <w:b/>
                <w:bCs/>
              </w:rPr>
            </w:pPr>
            <w:r>
              <w:rPr>
                <w:b/>
                <w:bCs/>
              </w:rPr>
              <w:t>82%</w:t>
            </w:r>
          </w:p>
        </w:tc>
        <w:tc>
          <w:tcPr>
            <w:tcW w:w="790" w:type="dxa"/>
            <w:shd w:val="clear" w:color="auto" w:fill="auto"/>
          </w:tcPr>
          <w:p w14:paraId="14E32EDE" w14:textId="77777777" w:rsidR="003F4114" w:rsidRPr="00660EC1" w:rsidRDefault="003F4114" w:rsidP="00B74B75">
            <w:pPr>
              <w:jc w:val="center"/>
              <w:rPr>
                <w:b/>
                <w:bCs/>
              </w:rPr>
            </w:pPr>
            <w:r>
              <w:rPr>
                <w:b/>
                <w:bCs/>
              </w:rPr>
              <w:t>93%</w:t>
            </w:r>
          </w:p>
        </w:tc>
        <w:tc>
          <w:tcPr>
            <w:tcW w:w="790" w:type="dxa"/>
            <w:shd w:val="clear" w:color="auto" w:fill="auto"/>
          </w:tcPr>
          <w:p w14:paraId="271961B5" w14:textId="77777777" w:rsidR="003F4114" w:rsidRDefault="004D447D" w:rsidP="00B74B75">
            <w:pPr>
              <w:jc w:val="center"/>
              <w:rPr>
                <w:b/>
                <w:bCs/>
              </w:rPr>
            </w:pPr>
            <w:r>
              <w:rPr>
                <w:b/>
                <w:bCs/>
              </w:rPr>
              <w:t>94.1%</w:t>
            </w:r>
          </w:p>
          <w:p w14:paraId="2DE2D344" w14:textId="77777777" w:rsidR="00F963C4" w:rsidRDefault="00F963C4" w:rsidP="00B74B75">
            <w:pPr>
              <w:jc w:val="center"/>
              <w:rPr>
                <w:b/>
                <w:bCs/>
              </w:rPr>
            </w:pPr>
          </w:p>
          <w:p w14:paraId="6A89C9FF" w14:textId="11596776" w:rsidR="004D447D" w:rsidRPr="00660EC1" w:rsidRDefault="004D447D" w:rsidP="00B74B75">
            <w:pPr>
              <w:jc w:val="center"/>
              <w:rPr>
                <w:b/>
                <w:bCs/>
              </w:rPr>
            </w:pPr>
            <w:r>
              <w:rPr>
                <w:b/>
                <w:bCs/>
              </w:rPr>
              <w:t>91.3%</w:t>
            </w:r>
          </w:p>
        </w:tc>
        <w:tc>
          <w:tcPr>
            <w:tcW w:w="791" w:type="dxa"/>
            <w:shd w:val="clear" w:color="auto" w:fill="auto"/>
          </w:tcPr>
          <w:p w14:paraId="2055D2E9" w14:textId="77777777" w:rsidR="003F4114" w:rsidRDefault="00C77D0E" w:rsidP="00B74B75">
            <w:pPr>
              <w:jc w:val="center"/>
              <w:rPr>
                <w:b/>
                <w:bCs/>
              </w:rPr>
            </w:pPr>
            <w:r>
              <w:rPr>
                <w:b/>
                <w:bCs/>
              </w:rPr>
              <w:t>84.8%</w:t>
            </w:r>
          </w:p>
          <w:p w14:paraId="7ECCCA6C" w14:textId="77777777" w:rsidR="00C77D0E" w:rsidRDefault="00C77D0E" w:rsidP="00B74B75">
            <w:pPr>
              <w:jc w:val="center"/>
              <w:rPr>
                <w:b/>
                <w:bCs/>
              </w:rPr>
            </w:pPr>
          </w:p>
          <w:p w14:paraId="43172330" w14:textId="371AF243" w:rsidR="00C77D0E" w:rsidRPr="00660EC1" w:rsidRDefault="00C77D0E" w:rsidP="00B74B75">
            <w:pPr>
              <w:jc w:val="center"/>
              <w:rPr>
                <w:b/>
                <w:bCs/>
              </w:rPr>
            </w:pPr>
            <w:r>
              <w:rPr>
                <w:b/>
                <w:bCs/>
              </w:rPr>
              <w:t>73.5%</w:t>
            </w:r>
          </w:p>
        </w:tc>
      </w:tr>
    </w:tbl>
    <w:p w14:paraId="6D092A05" w14:textId="2A230665" w:rsidR="008A01DA" w:rsidRDefault="004D447D" w:rsidP="004D447D">
      <w:pPr>
        <w:pStyle w:val="BodyText"/>
      </w:pPr>
      <w:r>
        <w:t xml:space="preserve">*Replaced in </w:t>
      </w:r>
      <w:r w:rsidR="00C77D0E">
        <w:t xml:space="preserve">2019 and </w:t>
      </w:r>
      <w:r>
        <w:t>20</w:t>
      </w:r>
      <w:r w:rsidR="00C925C5">
        <w:t>20</w:t>
      </w:r>
      <w:r>
        <w:t xml:space="preserve"> by “At this school digital technologies help me learn” and “Digital technologies help me manage my </w:t>
      </w:r>
      <w:r w:rsidR="00C14341">
        <w:t>schoolwork</w:t>
      </w:r>
      <w:r>
        <w:t xml:space="preserve">”. </w:t>
      </w: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485AEC38" w14:textId="32CD6CEE" w:rsidR="00DE51BE" w:rsidRPr="00DE51BE" w:rsidRDefault="00A65BA0" w:rsidP="00231B62">
            <w:pPr>
              <w:pStyle w:val="PlainText"/>
              <w:rPr>
                <w:rFonts w:asciiTheme="minorHAnsi" w:hAnsiTheme="minorHAnsi" w:cstheme="minorHAnsi"/>
                <w:szCs w:val="22"/>
              </w:rPr>
            </w:pPr>
            <w:r>
              <w:t xml:space="preserve">Since 2016 our key improvement strategies and related actions have focussed specifically on the learning areas of writing and mathematics. NAPLAN average scaled score growth data </w:t>
            </w:r>
            <w:r w:rsidR="00DC7D8C">
              <w:t xml:space="preserve">for 2018 and 2019 </w:t>
            </w:r>
            <w:r>
              <w:t>indicate</w:t>
            </w:r>
            <w:r w:rsidR="00DC7D8C">
              <w:t>d</w:t>
            </w:r>
            <w:r>
              <w:t xml:space="preserve"> that these focus areas </w:t>
            </w:r>
            <w:r w:rsidR="00DC7D8C">
              <w:t>we</w:t>
            </w:r>
            <w:r>
              <w:t xml:space="preserve">re still an improvement priority, as the school’s results </w:t>
            </w:r>
            <w:r w:rsidR="00DC7D8C">
              <w:t>wer</w:t>
            </w:r>
            <w:r>
              <w:t xml:space="preserve">e not yet equalling those of the region and state. </w:t>
            </w:r>
            <w:r w:rsidR="00CD3C60">
              <w:t>It was our intention in 2020 to continue focussing on both learning areas, however g</w:t>
            </w:r>
            <w:r w:rsidR="00DC7D8C">
              <w:t xml:space="preserve">iven the </w:t>
            </w:r>
            <w:r w:rsidR="00CD3C60">
              <w:t xml:space="preserve">significant disruptions </w:t>
            </w:r>
            <w:r w:rsidR="00DC7D8C">
              <w:t xml:space="preserve">of </w:t>
            </w:r>
            <w:r w:rsidR="00CD3C60">
              <w:t>the year,</w:t>
            </w:r>
            <w:r w:rsidR="00DC7D8C">
              <w:t xml:space="preserve"> the school </w:t>
            </w:r>
            <w:r w:rsidR="00DC7D8C" w:rsidRPr="00CD3C60">
              <w:t>reprioritised its efforts</w:t>
            </w:r>
            <w:r w:rsidR="00CD3C60" w:rsidRPr="00CD3C60">
              <w:t xml:space="preserve"> to focus </w:t>
            </w:r>
            <w:r w:rsidR="00231B62">
              <w:t>on improving writing outcomes through powerful learning goals and further professional development</w:t>
            </w:r>
            <w:r w:rsidR="00DC7D8C" w:rsidRPr="00CD3C60">
              <w:t>.</w:t>
            </w:r>
            <w:r w:rsidR="00DC7D8C">
              <w:t xml:space="preserve"> </w:t>
            </w:r>
          </w:p>
          <w:p w14:paraId="5D67604A" w14:textId="34BE6B6E" w:rsidR="00DC7D8C" w:rsidRDefault="00DC7D8C" w:rsidP="00A117D9">
            <w:pPr>
              <w:pStyle w:val="PlainText"/>
            </w:pPr>
          </w:p>
          <w:p w14:paraId="570562F5" w14:textId="22A2FF2E" w:rsidR="009141F4" w:rsidRDefault="00C20C69" w:rsidP="00A117D9">
            <w:pPr>
              <w:pStyle w:val="PlainText"/>
            </w:pPr>
            <w:r>
              <w:t xml:space="preserve">As </w:t>
            </w:r>
            <w:r w:rsidR="00CD3C60">
              <w:t xml:space="preserve">NAPLAN results were not available for 2020, </w:t>
            </w:r>
            <w:r>
              <w:t>attention was paid to the results of Progressive Achievement Testing (PAT</w:t>
            </w:r>
            <w:r w:rsidR="00231B62">
              <w:t>*</w:t>
            </w:r>
            <w:r w:rsidR="00231B62">
              <w:rPr>
                <w:rStyle w:val="FootnoteReference"/>
              </w:rPr>
              <w:footnoteReference w:id="1"/>
            </w:r>
            <w:r>
              <w:t>) in writing for senior students and other</w:t>
            </w:r>
            <w:r w:rsidR="00F57F44" w:rsidRPr="00F57F44">
              <w:t xml:space="preserve"> alternative data sources such as </w:t>
            </w:r>
            <w:r w:rsidR="00F57F44">
              <w:t>students’ w</w:t>
            </w:r>
            <w:r>
              <w:t>ork</w:t>
            </w:r>
            <w:r w:rsidR="00F57F44">
              <w:t xml:space="preserve"> sample</w:t>
            </w:r>
            <w:r w:rsidR="00F25243">
              <w:t>s</w:t>
            </w:r>
            <w:r w:rsidR="00CB18DA">
              <w:t>, progression mapping</w:t>
            </w:r>
            <w:r w:rsidR="00F25243">
              <w:t xml:space="preserve"> and </w:t>
            </w:r>
            <w:r w:rsidR="00F57F44" w:rsidRPr="00F57F44">
              <w:t xml:space="preserve">A-E grades to </w:t>
            </w:r>
            <w:r>
              <w:t xml:space="preserve">establish whether students </w:t>
            </w:r>
            <w:r w:rsidR="006F0E61">
              <w:t xml:space="preserve">made expected </w:t>
            </w:r>
            <w:r w:rsidR="00F57F44" w:rsidRPr="00F57F44">
              <w:t>growth.</w:t>
            </w:r>
            <w:r w:rsidR="00A117D9">
              <w:t xml:space="preserve"> </w:t>
            </w:r>
          </w:p>
          <w:p w14:paraId="2A81FD61" w14:textId="57E24170" w:rsidR="002A0A1F" w:rsidRDefault="002A0A1F" w:rsidP="00A117D9">
            <w:pPr>
              <w:pStyle w:val="PlainText"/>
            </w:pPr>
          </w:p>
          <w:p w14:paraId="1DF53F4E" w14:textId="4F8D9ED7" w:rsidR="002A0A1F" w:rsidRDefault="002A0A1F" w:rsidP="00A117D9">
            <w:pPr>
              <w:pStyle w:val="PlainText"/>
            </w:pPr>
            <w:r>
              <w:t xml:space="preserve">An examination of PAT E-Write data for years 5 and 6 in 2020 demonstrated that </w:t>
            </w:r>
            <w:r w:rsidR="00DC7753">
              <w:t xml:space="preserve">these </w:t>
            </w:r>
            <w:r>
              <w:t>students made sound growth in writing. The following was noted.</w:t>
            </w:r>
          </w:p>
          <w:p w14:paraId="44A6552C" w14:textId="557D3495" w:rsidR="009141F4" w:rsidRDefault="002A0A1F" w:rsidP="00A117D9">
            <w:pPr>
              <w:pStyle w:val="PlainText"/>
              <w:numPr>
                <w:ilvl w:val="0"/>
                <w:numId w:val="40"/>
              </w:numPr>
            </w:pPr>
            <w:r>
              <w:lastRenderedPageBreak/>
              <w:t xml:space="preserve">Whilst the percentage of year 5 students who made expected or greater progress was similar in 2019 and 2020, </w:t>
            </w:r>
            <w:r w:rsidR="001F24FC">
              <w:t xml:space="preserve">a greater percentage of students </w:t>
            </w:r>
            <w:r w:rsidR="00BB6177">
              <w:t>achieved</w:t>
            </w:r>
            <w:r w:rsidR="001F24FC">
              <w:t xml:space="preserve"> multiple bands growth in 2020 (58%). </w:t>
            </w:r>
          </w:p>
          <w:p w14:paraId="1F1797ED" w14:textId="77777777" w:rsidR="001F24FC" w:rsidRDefault="001F24FC" w:rsidP="00A117D9">
            <w:pPr>
              <w:pStyle w:val="PlainText"/>
              <w:numPr>
                <w:ilvl w:val="0"/>
                <w:numId w:val="40"/>
              </w:numPr>
            </w:pPr>
            <w:r>
              <w:t>A greater percentage of year 5 students achieved in the proficiency bands (16.5%) in 2020.</w:t>
            </w:r>
          </w:p>
          <w:p w14:paraId="0FF1C705" w14:textId="0736E3AF" w:rsidR="00A0745D" w:rsidRDefault="00B67335" w:rsidP="00A117D9">
            <w:pPr>
              <w:pStyle w:val="PlainText"/>
              <w:numPr>
                <w:ilvl w:val="0"/>
                <w:numId w:val="40"/>
              </w:numPr>
            </w:pPr>
            <w:r>
              <w:t>In the</w:t>
            </w:r>
            <w:r w:rsidR="00A0745D">
              <w:t xml:space="preserve"> year 6 cohort</w:t>
            </w:r>
            <w:r w:rsidR="00C73826">
              <w:t>,</w:t>
            </w:r>
            <w:r w:rsidR="00A0745D">
              <w:t xml:space="preserve"> fewer students demonstrated limited growth</w:t>
            </w:r>
            <w:r>
              <w:t xml:space="preserve"> in 2020</w:t>
            </w:r>
            <w:r w:rsidR="00A0745D">
              <w:t xml:space="preserve"> than in 2019 and a greater percentage of students (77%) progressed by multiple bands.</w:t>
            </w:r>
          </w:p>
          <w:p w14:paraId="6CCF0CBA" w14:textId="51766272" w:rsidR="00C73826" w:rsidRDefault="00C73826" w:rsidP="00A117D9">
            <w:pPr>
              <w:pStyle w:val="PlainText"/>
              <w:numPr>
                <w:ilvl w:val="0"/>
                <w:numId w:val="40"/>
              </w:numPr>
            </w:pPr>
            <w:r>
              <w:t>A greater percentage of the year 6 cohort achieved proficiency in 2020 (21%) than in 2019.</w:t>
            </w:r>
          </w:p>
          <w:p w14:paraId="67861409" w14:textId="41241E37" w:rsidR="001F1F85" w:rsidRPr="00ED20CA" w:rsidRDefault="00BB6177" w:rsidP="00A117D9">
            <w:pPr>
              <w:pStyle w:val="PlainText"/>
              <w:numPr>
                <w:ilvl w:val="0"/>
                <w:numId w:val="40"/>
              </w:numPr>
            </w:pPr>
            <w:r>
              <w:t xml:space="preserve">The </w:t>
            </w:r>
            <w:r w:rsidR="00B67335">
              <w:t xml:space="preserve">E-Write </w:t>
            </w:r>
            <w:r w:rsidR="00DC7753">
              <w:t xml:space="preserve">assessment </w:t>
            </w:r>
            <w:r>
              <w:t xml:space="preserve">measures progress by points, with </w:t>
            </w:r>
            <w:r w:rsidR="00ED20CA">
              <w:t xml:space="preserve">50 points being allocated to each of the </w:t>
            </w:r>
            <w:r>
              <w:t>bands</w:t>
            </w:r>
            <w:r w:rsidR="00ED20CA">
              <w:rPr>
                <w:rStyle w:val="FootnoteReference"/>
              </w:rPr>
              <w:footnoteReference w:id="2"/>
            </w:r>
            <w:r w:rsidR="00DC7753">
              <w:t>. By 2020 84%</w:t>
            </w:r>
            <w:r w:rsidR="00C73826">
              <w:t xml:space="preserve"> of year 6 students </w:t>
            </w:r>
            <w:r w:rsidR="00DC7753">
              <w:t xml:space="preserve">had </w:t>
            </w:r>
            <w:r w:rsidR="00C73826">
              <w:t xml:space="preserve">progressed by at least 100 points from </w:t>
            </w:r>
            <w:r w:rsidR="00DC7753">
              <w:t>2018 and</w:t>
            </w:r>
            <w:r w:rsidR="00C73826">
              <w:t xml:space="preserve"> 40.5% </w:t>
            </w:r>
            <w:r w:rsidR="00DC7753">
              <w:t xml:space="preserve">had </w:t>
            </w:r>
            <w:r w:rsidR="00C73826">
              <w:t>progressed by more than 200 points</w:t>
            </w:r>
            <w:r w:rsidR="00066E86">
              <w:t xml:space="preserve">. </w:t>
            </w:r>
          </w:p>
          <w:p w14:paraId="71EEFF3C" w14:textId="77777777" w:rsidR="009141F4" w:rsidRDefault="009141F4" w:rsidP="00A117D9">
            <w:pPr>
              <w:pStyle w:val="PlainText"/>
            </w:pPr>
          </w:p>
          <w:tbl>
            <w:tblPr>
              <w:tblStyle w:val="TableGrid"/>
              <w:tblW w:w="6795" w:type="dxa"/>
              <w:tblInd w:w="997" w:type="dxa"/>
              <w:tblLook w:val="0600" w:firstRow="0" w:lastRow="0" w:firstColumn="0" w:lastColumn="0" w:noHBand="1" w:noVBand="1"/>
            </w:tblPr>
            <w:tblGrid>
              <w:gridCol w:w="4527"/>
              <w:gridCol w:w="1133"/>
              <w:gridCol w:w="1135"/>
            </w:tblGrid>
            <w:tr w:rsidR="00ED20CA" w:rsidRPr="00DC06AF" w14:paraId="4BF7445A" w14:textId="77777777" w:rsidTr="00ED20CA">
              <w:trPr>
                <w:trHeight w:hRule="exact" w:val="567"/>
              </w:trPr>
              <w:tc>
                <w:tcPr>
                  <w:tcW w:w="6795" w:type="dxa"/>
                  <w:gridSpan w:val="3"/>
                </w:tcPr>
                <w:p w14:paraId="00D023BA" w14:textId="6715577C" w:rsidR="00ED20CA" w:rsidRPr="005354FE" w:rsidRDefault="00ED20CA" w:rsidP="00ED20CA">
                  <w:pPr>
                    <w:rPr>
                      <w:rFonts w:cstheme="minorHAnsi"/>
                      <w:b/>
                      <w:bCs/>
                      <w:sz w:val="20"/>
                      <w:szCs w:val="20"/>
                    </w:rPr>
                  </w:pPr>
                  <w:r w:rsidRPr="005354FE">
                    <w:rPr>
                      <w:b/>
                      <w:bCs/>
                      <w:i/>
                      <w:iCs/>
                      <w:sz w:val="20"/>
                      <w:szCs w:val="20"/>
                    </w:rPr>
                    <w:t>Table 1: Percentage of Year 5 students who made expected or above growth in PAT E-Write (n=78: 2018-2019, 2019-2020)</w:t>
                  </w:r>
                </w:p>
              </w:tc>
            </w:tr>
            <w:tr w:rsidR="001F1F85" w:rsidRPr="00DC06AF" w14:paraId="6FCD9EE8" w14:textId="77777777" w:rsidTr="00F8027D">
              <w:trPr>
                <w:trHeight w:hRule="exact" w:val="284"/>
              </w:trPr>
              <w:tc>
                <w:tcPr>
                  <w:tcW w:w="4527" w:type="dxa"/>
                  <w:hideMark/>
                </w:tcPr>
                <w:p w14:paraId="3FA5E80E" w14:textId="77777777" w:rsidR="001F1F85" w:rsidRPr="00DC06AF" w:rsidRDefault="001F1F85" w:rsidP="001F1F85">
                  <w:pPr>
                    <w:spacing w:after="160" w:line="259" w:lineRule="auto"/>
                    <w:rPr>
                      <w:rFonts w:cstheme="minorHAnsi"/>
                      <w:sz w:val="20"/>
                      <w:szCs w:val="20"/>
                    </w:rPr>
                  </w:pPr>
                </w:p>
              </w:tc>
              <w:tc>
                <w:tcPr>
                  <w:tcW w:w="1133" w:type="dxa"/>
                  <w:hideMark/>
                </w:tcPr>
                <w:p w14:paraId="5AC438E7" w14:textId="77777777" w:rsidR="001F1F85" w:rsidRPr="00DC06AF" w:rsidRDefault="001F1F85" w:rsidP="001F1F85">
                  <w:pPr>
                    <w:spacing w:after="160" w:line="259" w:lineRule="auto"/>
                    <w:jc w:val="center"/>
                    <w:rPr>
                      <w:rFonts w:cstheme="minorHAnsi"/>
                      <w:sz w:val="20"/>
                      <w:szCs w:val="20"/>
                    </w:rPr>
                  </w:pPr>
                  <w:r w:rsidRPr="00DC06AF">
                    <w:rPr>
                      <w:rFonts w:cstheme="minorHAnsi"/>
                      <w:b/>
                      <w:bCs/>
                      <w:sz w:val="20"/>
                      <w:szCs w:val="20"/>
                    </w:rPr>
                    <w:t>2018-2019</w:t>
                  </w:r>
                </w:p>
              </w:tc>
              <w:tc>
                <w:tcPr>
                  <w:tcW w:w="1135" w:type="dxa"/>
                  <w:hideMark/>
                </w:tcPr>
                <w:p w14:paraId="34C7CB43" w14:textId="77777777" w:rsidR="001F1F85" w:rsidRPr="00DC06AF" w:rsidRDefault="001F1F85" w:rsidP="001F1F85">
                  <w:pPr>
                    <w:spacing w:after="160" w:line="259" w:lineRule="auto"/>
                    <w:jc w:val="center"/>
                    <w:rPr>
                      <w:rFonts w:cstheme="minorHAnsi"/>
                      <w:sz w:val="20"/>
                      <w:szCs w:val="20"/>
                    </w:rPr>
                  </w:pPr>
                  <w:r w:rsidRPr="00DC06AF">
                    <w:rPr>
                      <w:rFonts w:cstheme="minorHAnsi"/>
                      <w:b/>
                      <w:bCs/>
                      <w:sz w:val="20"/>
                      <w:szCs w:val="20"/>
                    </w:rPr>
                    <w:t>2019-2020</w:t>
                  </w:r>
                </w:p>
              </w:tc>
            </w:tr>
            <w:tr w:rsidR="001F1F85" w:rsidRPr="00DC06AF" w14:paraId="65147F1C" w14:textId="77777777" w:rsidTr="00F8027D">
              <w:trPr>
                <w:trHeight w:hRule="exact" w:val="284"/>
              </w:trPr>
              <w:tc>
                <w:tcPr>
                  <w:tcW w:w="4527" w:type="dxa"/>
                  <w:hideMark/>
                </w:tcPr>
                <w:p w14:paraId="3E5614C1" w14:textId="77777777" w:rsidR="001F1F85" w:rsidRPr="00DC06AF" w:rsidRDefault="001F1F85" w:rsidP="001F1F85">
                  <w:pPr>
                    <w:spacing w:after="160" w:line="259" w:lineRule="auto"/>
                    <w:rPr>
                      <w:rFonts w:cstheme="minorHAnsi"/>
                      <w:sz w:val="20"/>
                      <w:szCs w:val="20"/>
                    </w:rPr>
                  </w:pPr>
                  <w:r w:rsidRPr="00DC06AF">
                    <w:rPr>
                      <w:rFonts w:cstheme="minorHAnsi"/>
                      <w:sz w:val="20"/>
                      <w:szCs w:val="20"/>
                    </w:rPr>
                    <w:t xml:space="preserve">Limited or no growth </w:t>
                  </w:r>
                </w:p>
              </w:tc>
              <w:tc>
                <w:tcPr>
                  <w:tcW w:w="1133" w:type="dxa"/>
                  <w:vAlign w:val="center"/>
                  <w:hideMark/>
                </w:tcPr>
                <w:p w14:paraId="07670E4D"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8%</w:t>
                  </w:r>
                </w:p>
              </w:tc>
              <w:tc>
                <w:tcPr>
                  <w:tcW w:w="1135" w:type="dxa"/>
                  <w:vAlign w:val="center"/>
                  <w:hideMark/>
                </w:tcPr>
                <w:p w14:paraId="179C5FD0"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9%</w:t>
                  </w:r>
                </w:p>
              </w:tc>
            </w:tr>
            <w:tr w:rsidR="001F1F85" w:rsidRPr="00DC06AF" w14:paraId="1B70CA09" w14:textId="77777777" w:rsidTr="00F8027D">
              <w:trPr>
                <w:trHeight w:hRule="exact" w:val="284"/>
              </w:trPr>
              <w:tc>
                <w:tcPr>
                  <w:tcW w:w="4527" w:type="dxa"/>
                  <w:hideMark/>
                </w:tcPr>
                <w:p w14:paraId="5E5D3920" w14:textId="77777777" w:rsidR="001F1F85" w:rsidRPr="00DC06AF" w:rsidRDefault="001F1F85" w:rsidP="001F1F85">
                  <w:pPr>
                    <w:spacing w:after="160" w:line="259" w:lineRule="auto"/>
                    <w:rPr>
                      <w:rFonts w:cstheme="minorHAnsi"/>
                      <w:sz w:val="20"/>
                      <w:szCs w:val="20"/>
                    </w:rPr>
                  </w:pPr>
                  <w:r w:rsidRPr="00DC06AF">
                    <w:rPr>
                      <w:rFonts w:cstheme="minorHAnsi"/>
                      <w:sz w:val="20"/>
                      <w:szCs w:val="20"/>
                    </w:rPr>
                    <w:t>Band 3 but at least 100 points scaled score growth</w:t>
                  </w:r>
                </w:p>
              </w:tc>
              <w:tc>
                <w:tcPr>
                  <w:tcW w:w="1133" w:type="dxa"/>
                  <w:vAlign w:val="center"/>
                  <w:hideMark/>
                </w:tcPr>
                <w:p w14:paraId="3965664E"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14%</w:t>
                  </w:r>
                </w:p>
              </w:tc>
              <w:tc>
                <w:tcPr>
                  <w:tcW w:w="1135" w:type="dxa"/>
                  <w:vAlign w:val="center"/>
                  <w:hideMark/>
                </w:tcPr>
                <w:p w14:paraId="02128479"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9%</w:t>
                  </w:r>
                </w:p>
              </w:tc>
            </w:tr>
            <w:tr w:rsidR="001F1F85" w:rsidRPr="00DC06AF" w14:paraId="294C22B5" w14:textId="77777777" w:rsidTr="00F8027D">
              <w:trPr>
                <w:trHeight w:hRule="exact" w:val="284"/>
              </w:trPr>
              <w:tc>
                <w:tcPr>
                  <w:tcW w:w="4527" w:type="dxa"/>
                  <w:hideMark/>
                </w:tcPr>
                <w:p w14:paraId="510377F7" w14:textId="77777777" w:rsidR="001F1F85" w:rsidRPr="00DC06AF" w:rsidRDefault="001F1F85" w:rsidP="001F1F85">
                  <w:pPr>
                    <w:spacing w:after="160" w:line="259" w:lineRule="auto"/>
                    <w:rPr>
                      <w:rFonts w:cstheme="minorHAnsi"/>
                      <w:sz w:val="20"/>
                      <w:szCs w:val="20"/>
                    </w:rPr>
                  </w:pPr>
                  <w:r>
                    <w:rPr>
                      <w:rFonts w:cstheme="minorHAnsi"/>
                      <w:sz w:val="20"/>
                      <w:szCs w:val="20"/>
                    </w:rPr>
                    <w:t>O</w:t>
                  </w:r>
                  <w:r w:rsidRPr="00DC06AF">
                    <w:rPr>
                      <w:rFonts w:cstheme="minorHAnsi"/>
                      <w:sz w:val="20"/>
                      <w:szCs w:val="20"/>
                    </w:rPr>
                    <w:t>ne band growth</w:t>
                  </w:r>
                </w:p>
              </w:tc>
              <w:tc>
                <w:tcPr>
                  <w:tcW w:w="1133" w:type="dxa"/>
                  <w:vAlign w:val="center"/>
                  <w:hideMark/>
                </w:tcPr>
                <w:p w14:paraId="0D1E0E28"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34.5%</w:t>
                  </w:r>
                </w:p>
              </w:tc>
              <w:tc>
                <w:tcPr>
                  <w:tcW w:w="1135" w:type="dxa"/>
                  <w:vAlign w:val="center"/>
                  <w:hideMark/>
                </w:tcPr>
                <w:p w14:paraId="5511DCB0"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24%</w:t>
                  </w:r>
                </w:p>
              </w:tc>
            </w:tr>
            <w:tr w:rsidR="001F1F85" w:rsidRPr="00DC06AF" w14:paraId="2F4FB909" w14:textId="77777777" w:rsidTr="00F8027D">
              <w:trPr>
                <w:trHeight w:hRule="exact" w:val="284"/>
              </w:trPr>
              <w:tc>
                <w:tcPr>
                  <w:tcW w:w="4527" w:type="dxa"/>
                  <w:hideMark/>
                </w:tcPr>
                <w:p w14:paraId="68DC3A44" w14:textId="77777777" w:rsidR="001F1F85" w:rsidRPr="00DC06AF" w:rsidRDefault="001F1F85" w:rsidP="001F1F85">
                  <w:pPr>
                    <w:spacing w:after="160" w:line="259" w:lineRule="auto"/>
                    <w:rPr>
                      <w:rFonts w:cstheme="minorHAnsi"/>
                      <w:sz w:val="20"/>
                      <w:szCs w:val="20"/>
                    </w:rPr>
                  </w:pPr>
                  <w:r>
                    <w:rPr>
                      <w:rFonts w:cstheme="minorHAnsi"/>
                      <w:sz w:val="20"/>
                      <w:szCs w:val="20"/>
                    </w:rPr>
                    <w:t>M</w:t>
                  </w:r>
                  <w:r w:rsidRPr="00DC06AF">
                    <w:rPr>
                      <w:rFonts w:cstheme="minorHAnsi"/>
                      <w:sz w:val="20"/>
                      <w:szCs w:val="20"/>
                    </w:rPr>
                    <w:t>ultiple bands growth</w:t>
                  </w:r>
                </w:p>
              </w:tc>
              <w:tc>
                <w:tcPr>
                  <w:tcW w:w="1133" w:type="dxa"/>
                  <w:vAlign w:val="center"/>
                  <w:hideMark/>
                </w:tcPr>
                <w:p w14:paraId="63B42B9A"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43.50%</w:t>
                  </w:r>
                </w:p>
              </w:tc>
              <w:tc>
                <w:tcPr>
                  <w:tcW w:w="1135" w:type="dxa"/>
                  <w:vAlign w:val="center"/>
                  <w:hideMark/>
                </w:tcPr>
                <w:p w14:paraId="11F9982D"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58%</w:t>
                  </w:r>
                </w:p>
              </w:tc>
            </w:tr>
            <w:tr w:rsidR="001F1F85" w:rsidRPr="00DC06AF" w14:paraId="7B1CA0DD" w14:textId="77777777" w:rsidTr="00F8027D">
              <w:trPr>
                <w:trHeight w:hRule="exact" w:val="284"/>
              </w:trPr>
              <w:tc>
                <w:tcPr>
                  <w:tcW w:w="4527" w:type="dxa"/>
                  <w:hideMark/>
                </w:tcPr>
                <w:p w14:paraId="207A5B13" w14:textId="77777777" w:rsidR="001F1F85" w:rsidRPr="00DC06AF" w:rsidRDefault="001F1F85" w:rsidP="001F1F85">
                  <w:pPr>
                    <w:spacing w:after="160" w:line="259" w:lineRule="auto"/>
                    <w:rPr>
                      <w:rFonts w:cstheme="minorHAnsi"/>
                      <w:sz w:val="20"/>
                      <w:szCs w:val="20"/>
                    </w:rPr>
                  </w:pPr>
                  <w:r>
                    <w:rPr>
                      <w:rFonts w:cstheme="minorHAnsi"/>
                      <w:sz w:val="20"/>
                      <w:szCs w:val="20"/>
                    </w:rPr>
                    <w:t>Proficiency band achievement (</w:t>
                  </w:r>
                  <w:r w:rsidRPr="00DC06AF">
                    <w:rPr>
                      <w:rFonts w:cstheme="minorHAnsi"/>
                      <w:sz w:val="20"/>
                      <w:szCs w:val="20"/>
                    </w:rPr>
                    <w:t>band</w:t>
                  </w:r>
                  <w:r>
                    <w:rPr>
                      <w:rFonts w:cstheme="minorHAnsi"/>
                      <w:sz w:val="20"/>
                      <w:szCs w:val="20"/>
                    </w:rPr>
                    <w:t>s</w:t>
                  </w:r>
                  <w:r w:rsidRPr="00DC06AF">
                    <w:rPr>
                      <w:rFonts w:cstheme="minorHAnsi"/>
                      <w:sz w:val="20"/>
                      <w:szCs w:val="20"/>
                    </w:rPr>
                    <w:t xml:space="preserve"> 7/8/9</w:t>
                  </w:r>
                  <w:r>
                    <w:rPr>
                      <w:rFonts w:cstheme="minorHAnsi"/>
                      <w:sz w:val="20"/>
                      <w:szCs w:val="20"/>
                    </w:rPr>
                    <w:t>)</w:t>
                  </w:r>
                </w:p>
              </w:tc>
              <w:tc>
                <w:tcPr>
                  <w:tcW w:w="1133" w:type="dxa"/>
                  <w:vAlign w:val="center"/>
                  <w:hideMark/>
                </w:tcPr>
                <w:p w14:paraId="1104A259"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6%</w:t>
                  </w:r>
                </w:p>
              </w:tc>
              <w:tc>
                <w:tcPr>
                  <w:tcW w:w="1135" w:type="dxa"/>
                  <w:vAlign w:val="center"/>
                  <w:hideMark/>
                </w:tcPr>
                <w:p w14:paraId="79D4FDE1" w14:textId="77777777" w:rsidR="001F1F85" w:rsidRPr="00DC06AF" w:rsidRDefault="001F1F85" w:rsidP="001F1F85">
                  <w:pPr>
                    <w:spacing w:after="160" w:line="259" w:lineRule="auto"/>
                    <w:jc w:val="center"/>
                    <w:rPr>
                      <w:rFonts w:cstheme="minorHAnsi"/>
                      <w:sz w:val="20"/>
                      <w:szCs w:val="20"/>
                    </w:rPr>
                  </w:pPr>
                  <w:r w:rsidRPr="00DC06AF">
                    <w:rPr>
                      <w:rFonts w:cstheme="minorHAnsi"/>
                      <w:sz w:val="20"/>
                      <w:szCs w:val="20"/>
                    </w:rPr>
                    <w:t>16.5%</w:t>
                  </w:r>
                </w:p>
              </w:tc>
            </w:tr>
            <w:tr w:rsidR="001F1F85" w:rsidRPr="00DC06AF" w14:paraId="4452DD87" w14:textId="77777777" w:rsidTr="00F8027D">
              <w:trPr>
                <w:trHeight w:hRule="exact" w:val="284"/>
              </w:trPr>
              <w:tc>
                <w:tcPr>
                  <w:tcW w:w="4527" w:type="dxa"/>
                  <w:hideMark/>
                </w:tcPr>
                <w:p w14:paraId="14542F81" w14:textId="77777777" w:rsidR="001F1F85" w:rsidRPr="00DC06AF" w:rsidRDefault="001F1F85" w:rsidP="001F1F85">
                  <w:pPr>
                    <w:spacing w:after="160" w:line="259" w:lineRule="auto"/>
                    <w:rPr>
                      <w:rFonts w:cstheme="minorHAnsi"/>
                      <w:sz w:val="20"/>
                      <w:szCs w:val="20"/>
                    </w:rPr>
                  </w:pPr>
                  <w:r w:rsidRPr="00DC06AF">
                    <w:rPr>
                      <w:rFonts w:cstheme="minorHAnsi"/>
                      <w:sz w:val="20"/>
                      <w:szCs w:val="20"/>
                    </w:rPr>
                    <w:t xml:space="preserve">Total </w:t>
                  </w:r>
                  <w:r>
                    <w:rPr>
                      <w:rFonts w:cstheme="minorHAnsi"/>
                      <w:sz w:val="20"/>
                      <w:szCs w:val="20"/>
                    </w:rPr>
                    <w:t xml:space="preserve">at or above expected </w:t>
                  </w:r>
                  <w:r w:rsidRPr="00DC06AF">
                    <w:rPr>
                      <w:rFonts w:cstheme="minorHAnsi"/>
                      <w:sz w:val="20"/>
                      <w:szCs w:val="20"/>
                    </w:rPr>
                    <w:t xml:space="preserve">growth </w:t>
                  </w:r>
                </w:p>
              </w:tc>
              <w:tc>
                <w:tcPr>
                  <w:tcW w:w="1133" w:type="dxa"/>
                  <w:vAlign w:val="center"/>
                  <w:hideMark/>
                </w:tcPr>
                <w:p w14:paraId="7CAF2D05" w14:textId="77777777" w:rsidR="001F1F85" w:rsidRPr="00DC06AF" w:rsidRDefault="001F1F85" w:rsidP="001F1F85">
                  <w:pPr>
                    <w:spacing w:after="160" w:line="259" w:lineRule="auto"/>
                    <w:jc w:val="center"/>
                    <w:rPr>
                      <w:rFonts w:cstheme="minorHAnsi"/>
                      <w:sz w:val="20"/>
                      <w:szCs w:val="20"/>
                    </w:rPr>
                  </w:pPr>
                  <w:r>
                    <w:rPr>
                      <w:rFonts w:cstheme="minorHAnsi"/>
                      <w:sz w:val="20"/>
                      <w:szCs w:val="20"/>
                    </w:rPr>
                    <w:t>92</w:t>
                  </w:r>
                  <w:r w:rsidRPr="00DC06AF">
                    <w:rPr>
                      <w:rFonts w:cstheme="minorHAnsi"/>
                      <w:sz w:val="20"/>
                      <w:szCs w:val="20"/>
                    </w:rPr>
                    <w:t>%</w:t>
                  </w:r>
                </w:p>
              </w:tc>
              <w:tc>
                <w:tcPr>
                  <w:tcW w:w="1135" w:type="dxa"/>
                  <w:vAlign w:val="center"/>
                  <w:hideMark/>
                </w:tcPr>
                <w:p w14:paraId="675F0BC1" w14:textId="77777777" w:rsidR="001F1F85" w:rsidRPr="00DC06AF" w:rsidRDefault="001F1F85" w:rsidP="001F1F85">
                  <w:pPr>
                    <w:spacing w:after="160" w:line="259" w:lineRule="auto"/>
                    <w:jc w:val="center"/>
                    <w:rPr>
                      <w:rFonts w:cstheme="minorHAnsi"/>
                      <w:sz w:val="20"/>
                      <w:szCs w:val="20"/>
                    </w:rPr>
                  </w:pPr>
                  <w:r>
                    <w:rPr>
                      <w:rFonts w:cstheme="minorHAnsi"/>
                      <w:sz w:val="20"/>
                      <w:szCs w:val="20"/>
                    </w:rPr>
                    <w:t>91</w:t>
                  </w:r>
                  <w:r w:rsidRPr="00DC06AF">
                    <w:rPr>
                      <w:rFonts w:cstheme="minorHAnsi"/>
                      <w:sz w:val="20"/>
                      <w:szCs w:val="20"/>
                    </w:rPr>
                    <w:t>%</w:t>
                  </w:r>
                </w:p>
              </w:tc>
            </w:tr>
          </w:tbl>
          <w:p w14:paraId="69672A48" w14:textId="77777777" w:rsidR="002A0A1F" w:rsidRPr="00F8027D" w:rsidRDefault="002A0A1F" w:rsidP="00A117D9">
            <w:pPr>
              <w:pStyle w:val="PlainText"/>
            </w:pPr>
          </w:p>
          <w:tbl>
            <w:tblPr>
              <w:tblW w:w="6796" w:type="dxa"/>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4528"/>
              <w:gridCol w:w="1133"/>
              <w:gridCol w:w="1135"/>
            </w:tblGrid>
            <w:tr w:rsidR="00ED20CA" w:rsidRPr="00E63AB7" w14:paraId="695864AE" w14:textId="77777777" w:rsidTr="00ED20CA">
              <w:trPr>
                <w:trHeight w:hRule="exact" w:val="567"/>
              </w:trPr>
              <w:tc>
                <w:tcPr>
                  <w:tcW w:w="6796" w:type="dxa"/>
                  <w:gridSpan w:val="3"/>
                  <w:shd w:val="clear" w:color="auto" w:fill="auto"/>
                  <w:tcMar>
                    <w:top w:w="8" w:type="dxa"/>
                    <w:left w:w="8" w:type="dxa"/>
                    <w:bottom w:w="0" w:type="dxa"/>
                    <w:right w:w="8" w:type="dxa"/>
                  </w:tcMar>
                  <w:vAlign w:val="bottom"/>
                </w:tcPr>
                <w:p w14:paraId="1F29BCF7" w14:textId="6938C85E" w:rsidR="00ED20CA" w:rsidRPr="005354FE" w:rsidRDefault="00ED20CA" w:rsidP="00ED20CA">
                  <w:pPr>
                    <w:pStyle w:val="PlainText"/>
                    <w:rPr>
                      <w:sz w:val="20"/>
                      <w:szCs w:val="20"/>
                    </w:rPr>
                  </w:pPr>
                  <w:r w:rsidRPr="005354FE">
                    <w:rPr>
                      <w:b/>
                      <w:bCs/>
                      <w:i/>
                      <w:iCs/>
                      <w:sz w:val="20"/>
                      <w:szCs w:val="20"/>
                    </w:rPr>
                    <w:t>Table 2: Percentage of Year 6 students who made expected or above growth in PAT E-Write 2018-2020 (n=78)</w:t>
                  </w:r>
                  <w:r w:rsidRPr="005354FE">
                    <w:rPr>
                      <w:sz w:val="20"/>
                      <w:szCs w:val="20"/>
                    </w:rPr>
                    <w:t xml:space="preserve"> </w:t>
                  </w:r>
                </w:p>
                <w:p w14:paraId="6BC7C188" w14:textId="77777777" w:rsidR="00ED20CA" w:rsidRPr="00E63AB7" w:rsidRDefault="00ED20CA" w:rsidP="00A0745D">
                  <w:pPr>
                    <w:jc w:val="center"/>
                    <w:rPr>
                      <w:b/>
                      <w:bCs/>
                      <w:sz w:val="20"/>
                      <w:szCs w:val="20"/>
                    </w:rPr>
                  </w:pPr>
                </w:p>
              </w:tc>
            </w:tr>
            <w:tr w:rsidR="00510220" w:rsidRPr="00E63AB7" w14:paraId="090F3959" w14:textId="77777777" w:rsidTr="00A0745D">
              <w:trPr>
                <w:trHeight w:hRule="exact" w:val="284"/>
              </w:trPr>
              <w:tc>
                <w:tcPr>
                  <w:tcW w:w="4528" w:type="dxa"/>
                  <w:shd w:val="clear" w:color="auto" w:fill="auto"/>
                  <w:tcMar>
                    <w:top w:w="8" w:type="dxa"/>
                    <w:left w:w="8" w:type="dxa"/>
                    <w:bottom w:w="0" w:type="dxa"/>
                    <w:right w:w="8" w:type="dxa"/>
                  </w:tcMar>
                  <w:vAlign w:val="bottom"/>
                  <w:hideMark/>
                </w:tcPr>
                <w:p w14:paraId="5E9E1FBD" w14:textId="77777777" w:rsidR="00510220" w:rsidRPr="00E63AB7" w:rsidRDefault="00510220" w:rsidP="00510220">
                  <w:pPr>
                    <w:rPr>
                      <w:sz w:val="20"/>
                      <w:szCs w:val="20"/>
                    </w:rPr>
                  </w:pPr>
                </w:p>
              </w:tc>
              <w:tc>
                <w:tcPr>
                  <w:tcW w:w="1133" w:type="dxa"/>
                  <w:shd w:val="clear" w:color="auto" w:fill="auto"/>
                  <w:tcMar>
                    <w:top w:w="8" w:type="dxa"/>
                    <w:left w:w="8" w:type="dxa"/>
                    <w:bottom w:w="0" w:type="dxa"/>
                    <w:right w:w="8" w:type="dxa"/>
                  </w:tcMar>
                  <w:vAlign w:val="center"/>
                  <w:hideMark/>
                </w:tcPr>
                <w:p w14:paraId="3FE99BDA" w14:textId="77777777" w:rsidR="00510220" w:rsidRPr="00E63AB7" w:rsidRDefault="00510220" w:rsidP="00A0745D">
                  <w:pPr>
                    <w:jc w:val="center"/>
                    <w:rPr>
                      <w:sz w:val="20"/>
                      <w:szCs w:val="20"/>
                    </w:rPr>
                  </w:pPr>
                  <w:r w:rsidRPr="00E63AB7">
                    <w:rPr>
                      <w:b/>
                      <w:bCs/>
                      <w:sz w:val="20"/>
                      <w:szCs w:val="20"/>
                    </w:rPr>
                    <w:t>2018-2019</w:t>
                  </w:r>
                </w:p>
              </w:tc>
              <w:tc>
                <w:tcPr>
                  <w:tcW w:w="1135" w:type="dxa"/>
                  <w:shd w:val="clear" w:color="auto" w:fill="auto"/>
                  <w:tcMar>
                    <w:top w:w="8" w:type="dxa"/>
                    <w:left w:w="8" w:type="dxa"/>
                    <w:bottom w:w="0" w:type="dxa"/>
                    <w:right w:w="8" w:type="dxa"/>
                  </w:tcMar>
                  <w:vAlign w:val="center"/>
                  <w:hideMark/>
                </w:tcPr>
                <w:p w14:paraId="000CE08D" w14:textId="77777777" w:rsidR="00510220" w:rsidRPr="00E63AB7" w:rsidRDefault="00510220" w:rsidP="00A0745D">
                  <w:pPr>
                    <w:jc w:val="center"/>
                    <w:rPr>
                      <w:sz w:val="20"/>
                      <w:szCs w:val="20"/>
                    </w:rPr>
                  </w:pPr>
                  <w:r w:rsidRPr="00E63AB7">
                    <w:rPr>
                      <w:b/>
                      <w:bCs/>
                      <w:sz w:val="20"/>
                      <w:szCs w:val="20"/>
                    </w:rPr>
                    <w:t>2019-2020</w:t>
                  </w:r>
                </w:p>
              </w:tc>
            </w:tr>
            <w:tr w:rsidR="00510220" w:rsidRPr="00E63AB7" w14:paraId="14546654" w14:textId="77777777" w:rsidTr="00A0745D">
              <w:trPr>
                <w:trHeight w:hRule="exact" w:val="284"/>
              </w:trPr>
              <w:tc>
                <w:tcPr>
                  <w:tcW w:w="4528" w:type="dxa"/>
                  <w:shd w:val="clear" w:color="auto" w:fill="auto"/>
                  <w:tcMar>
                    <w:top w:w="8" w:type="dxa"/>
                    <w:left w:w="8" w:type="dxa"/>
                    <w:bottom w:w="0" w:type="dxa"/>
                    <w:right w:w="8" w:type="dxa"/>
                  </w:tcMar>
                  <w:vAlign w:val="bottom"/>
                  <w:hideMark/>
                </w:tcPr>
                <w:p w14:paraId="2817C0AF" w14:textId="77777777" w:rsidR="00510220" w:rsidRPr="00E63AB7" w:rsidRDefault="00510220" w:rsidP="00510220">
                  <w:pPr>
                    <w:rPr>
                      <w:sz w:val="20"/>
                      <w:szCs w:val="20"/>
                    </w:rPr>
                  </w:pPr>
                  <w:r w:rsidRPr="008F1375">
                    <w:rPr>
                      <w:sz w:val="20"/>
                      <w:szCs w:val="20"/>
                    </w:rPr>
                    <w:t>Limited or no growth</w:t>
                  </w:r>
                </w:p>
              </w:tc>
              <w:tc>
                <w:tcPr>
                  <w:tcW w:w="1133" w:type="dxa"/>
                  <w:shd w:val="clear" w:color="auto" w:fill="auto"/>
                  <w:tcMar>
                    <w:top w:w="8" w:type="dxa"/>
                    <w:left w:w="8" w:type="dxa"/>
                    <w:bottom w:w="0" w:type="dxa"/>
                    <w:right w:w="8" w:type="dxa"/>
                  </w:tcMar>
                  <w:vAlign w:val="center"/>
                  <w:hideMark/>
                </w:tcPr>
                <w:p w14:paraId="7866AD51" w14:textId="77777777" w:rsidR="00510220" w:rsidRPr="00E63AB7" w:rsidRDefault="00510220" w:rsidP="00A0745D">
                  <w:pPr>
                    <w:jc w:val="center"/>
                    <w:rPr>
                      <w:sz w:val="20"/>
                      <w:szCs w:val="20"/>
                    </w:rPr>
                  </w:pPr>
                  <w:r>
                    <w:rPr>
                      <w:sz w:val="20"/>
                      <w:szCs w:val="20"/>
                    </w:rPr>
                    <w:t>8</w:t>
                  </w:r>
                  <w:r w:rsidRPr="00E63AB7">
                    <w:rPr>
                      <w:sz w:val="20"/>
                      <w:szCs w:val="20"/>
                    </w:rPr>
                    <w:t>%</w:t>
                  </w:r>
                </w:p>
              </w:tc>
              <w:tc>
                <w:tcPr>
                  <w:tcW w:w="1135" w:type="dxa"/>
                  <w:shd w:val="clear" w:color="auto" w:fill="auto"/>
                  <w:tcMar>
                    <w:top w:w="8" w:type="dxa"/>
                    <w:left w:w="8" w:type="dxa"/>
                    <w:bottom w:w="0" w:type="dxa"/>
                    <w:right w:w="8" w:type="dxa"/>
                  </w:tcMar>
                  <w:vAlign w:val="center"/>
                  <w:hideMark/>
                </w:tcPr>
                <w:p w14:paraId="1613E567" w14:textId="77777777" w:rsidR="00510220" w:rsidRPr="00E63AB7" w:rsidRDefault="00510220" w:rsidP="00A0745D">
                  <w:pPr>
                    <w:jc w:val="center"/>
                    <w:rPr>
                      <w:sz w:val="20"/>
                      <w:szCs w:val="20"/>
                    </w:rPr>
                  </w:pPr>
                  <w:r w:rsidRPr="008F1375">
                    <w:rPr>
                      <w:sz w:val="20"/>
                      <w:szCs w:val="20"/>
                    </w:rPr>
                    <w:t>3</w:t>
                  </w:r>
                  <w:r w:rsidRPr="00E63AB7">
                    <w:rPr>
                      <w:sz w:val="20"/>
                      <w:szCs w:val="20"/>
                    </w:rPr>
                    <w:t>%</w:t>
                  </w:r>
                </w:p>
              </w:tc>
            </w:tr>
            <w:tr w:rsidR="00510220" w:rsidRPr="00E63AB7" w14:paraId="12D64D6D" w14:textId="77777777" w:rsidTr="00A0745D">
              <w:trPr>
                <w:trHeight w:hRule="exact" w:val="284"/>
              </w:trPr>
              <w:tc>
                <w:tcPr>
                  <w:tcW w:w="4528" w:type="dxa"/>
                  <w:shd w:val="clear" w:color="auto" w:fill="auto"/>
                  <w:tcMar>
                    <w:top w:w="8" w:type="dxa"/>
                    <w:left w:w="8" w:type="dxa"/>
                    <w:bottom w:w="0" w:type="dxa"/>
                    <w:right w:w="8" w:type="dxa"/>
                  </w:tcMar>
                  <w:vAlign w:val="bottom"/>
                  <w:hideMark/>
                </w:tcPr>
                <w:p w14:paraId="7C1376D5" w14:textId="21F11A10" w:rsidR="00510220" w:rsidRPr="00E63AB7" w:rsidRDefault="001F24FC" w:rsidP="00510220">
                  <w:pPr>
                    <w:rPr>
                      <w:sz w:val="20"/>
                      <w:szCs w:val="20"/>
                    </w:rPr>
                  </w:pPr>
                  <w:r>
                    <w:rPr>
                      <w:sz w:val="20"/>
                      <w:szCs w:val="20"/>
                    </w:rPr>
                    <w:t>M</w:t>
                  </w:r>
                  <w:r w:rsidR="00510220" w:rsidRPr="00E63AB7">
                    <w:rPr>
                      <w:sz w:val="20"/>
                      <w:szCs w:val="20"/>
                    </w:rPr>
                    <w:t>ultiple bands growth</w:t>
                  </w:r>
                </w:p>
              </w:tc>
              <w:tc>
                <w:tcPr>
                  <w:tcW w:w="1133" w:type="dxa"/>
                  <w:shd w:val="clear" w:color="auto" w:fill="auto"/>
                  <w:tcMar>
                    <w:top w:w="8" w:type="dxa"/>
                    <w:left w:w="8" w:type="dxa"/>
                    <w:bottom w:w="0" w:type="dxa"/>
                    <w:right w:w="8" w:type="dxa"/>
                  </w:tcMar>
                  <w:vAlign w:val="center"/>
                  <w:hideMark/>
                </w:tcPr>
                <w:p w14:paraId="1AD358F5" w14:textId="77777777" w:rsidR="00510220" w:rsidRPr="00E63AB7" w:rsidRDefault="00510220" w:rsidP="00A0745D">
                  <w:pPr>
                    <w:jc w:val="center"/>
                    <w:rPr>
                      <w:sz w:val="20"/>
                      <w:szCs w:val="20"/>
                    </w:rPr>
                  </w:pPr>
                  <w:r w:rsidRPr="00E63AB7">
                    <w:rPr>
                      <w:sz w:val="20"/>
                      <w:szCs w:val="20"/>
                    </w:rPr>
                    <w:t>43.50%</w:t>
                  </w:r>
                </w:p>
              </w:tc>
              <w:tc>
                <w:tcPr>
                  <w:tcW w:w="1135" w:type="dxa"/>
                  <w:shd w:val="clear" w:color="auto" w:fill="auto"/>
                  <w:tcMar>
                    <w:top w:w="8" w:type="dxa"/>
                    <w:left w:w="8" w:type="dxa"/>
                    <w:bottom w:w="0" w:type="dxa"/>
                    <w:right w:w="8" w:type="dxa"/>
                  </w:tcMar>
                  <w:vAlign w:val="center"/>
                  <w:hideMark/>
                </w:tcPr>
                <w:p w14:paraId="390869F9" w14:textId="77777777" w:rsidR="00510220" w:rsidRPr="00E63AB7" w:rsidRDefault="00510220" w:rsidP="00A0745D">
                  <w:pPr>
                    <w:jc w:val="center"/>
                    <w:rPr>
                      <w:sz w:val="20"/>
                      <w:szCs w:val="20"/>
                    </w:rPr>
                  </w:pPr>
                  <w:r w:rsidRPr="00E63AB7">
                    <w:rPr>
                      <w:sz w:val="20"/>
                      <w:szCs w:val="20"/>
                    </w:rPr>
                    <w:t>77%</w:t>
                  </w:r>
                </w:p>
              </w:tc>
            </w:tr>
            <w:tr w:rsidR="00510220" w:rsidRPr="00E63AB7" w14:paraId="60A3C2CE" w14:textId="77777777" w:rsidTr="00A0745D">
              <w:trPr>
                <w:trHeight w:hRule="exact" w:val="284"/>
              </w:trPr>
              <w:tc>
                <w:tcPr>
                  <w:tcW w:w="4528" w:type="dxa"/>
                  <w:shd w:val="clear" w:color="auto" w:fill="auto"/>
                  <w:tcMar>
                    <w:top w:w="8" w:type="dxa"/>
                    <w:left w:w="8" w:type="dxa"/>
                    <w:bottom w:w="0" w:type="dxa"/>
                    <w:right w:w="8" w:type="dxa"/>
                  </w:tcMar>
                  <w:vAlign w:val="bottom"/>
                  <w:hideMark/>
                </w:tcPr>
                <w:p w14:paraId="42650B84" w14:textId="77777777" w:rsidR="00510220" w:rsidRPr="00E63AB7" w:rsidRDefault="00510220" w:rsidP="00510220">
                  <w:pPr>
                    <w:rPr>
                      <w:sz w:val="20"/>
                      <w:szCs w:val="20"/>
                    </w:rPr>
                  </w:pPr>
                  <w:r w:rsidRPr="008F1375">
                    <w:rPr>
                      <w:sz w:val="20"/>
                      <w:szCs w:val="20"/>
                    </w:rPr>
                    <w:t>Proficiency achievement (</w:t>
                  </w:r>
                  <w:r w:rsidRPr="00E63AB7">
                    <w:rPr>
                      <w:sz w:val="20"/>
                      <w:szCs w:val="20"/>
                    </w:rPr>
                    <w:t>band</w:t>
                  </w:r>
                  <w:r w:rsidRPr="008F1375">
                    <w:rPr>
                      <w:sz w:val="20"/>
                      <w:szCs w:val="20"/>
                    </w:rPr>
                    <w:t>s</w:t>
                  </w:r>
                  <w:r w:rsidRPr="00E63AB7">
                    <w:rPr>
                      <w:sz w:val="20"/>
                      <w:szCs w:val="20"/>
                    </w:rPr>
                    <w:t xml:space="preserve"> 7/8/9</w:t>
                  </w:r>
                  <w:r w:rsidRPr="008F1375">
                    <w:rPr>
                      <w:sz w:val="20"/>
                      <w:szCs w:val="20"/>
                    </w:rPr>
                    <w:t>)</w:t>
                  </w:r>
                </w:p>
              </w:tc>
              <w:tc>
                <w:tcPr>
                  <w:tcW w:w="1133" w:type="dxa"/>
                  <w:shd w:val="clear" w:color="auto" w:fill="auto"/>
                  <w:tcMar>
                    <w:top w:w="8" w:type="dxa"/>
                    <w:left w:w="8" w:type="dxa"/>
                    <w:bottom w:w="0" w:type="dxa"/>
                    <w:right w:w="8" w:type="dxa"/>
                  </w:tcMar>
                  <w:vAlign w:val="center"/>
                  <w:hideMark/>
                </w:tcPr>
                <w:p w14:paraId="44FD9785" w14:textId="77777777" w:rsidR="00510220" w:rsidRPr="00E63AB7" w:rsidRDefault="00510220" w:rsidP="00A0745D">
                  <w:pPr>
                    <w:jc w:val="center"/>
                    <w:rPr>
                      <w:sz w:val="20"/>
                      <w:szCs w:val="20"/>
                    </w:rPr>
                  </w:pPr>
                  <w:r w:rsidRPr="00E63AB7">
                    <w:rPr>
                      <w:sz w:val="20"/>
                      <w:szCs w:val="20"/>
                    </w:rPr>
                    <w:t>6%</w:t>
                  </w:r>
                </w:p>
              </w:tc>
              <w:tc>
                <w:tcPr>
                  <w:tcW w:w="1135" w:type="dxa"/>
                  <w:shd w:val="clear" w:color="auto" w:fill="auto"/>
                  <w:tcMar>
                    <w:top w:w="8" w:type="dxa"/>
                    <w:left w:w="8" w:type="dxa"/>
                    <w:bottom w:w="0" w:type="dxa"/>
                    <w:right w:w="8" w:type="dxa"/>
                  </w:tcMar>
                  <w:vAlign w:val="center"/>
                  <w:hideMark/>
                </w:tcPr>
                <w:p w14:paraId="4FAAA5B4" w14:textId="77777777" w:rsidR="00510220" w:rsidRPr="00E63AB7" w:rsidRDefault="00510220" w:rsidP="00A0745D">
                  <w:pPr>
                    <w:jc w:val="center"/>
                    <w:rPr>
                      <w:sz w:val="20"/>
                      <w:szCs w:val="20"/>
                    </w:rPr>
                  </w:pPr>
                  <w:r w:rsidRPr="00E63AB7">
                    <w:rPr>
                      <w:sz w:val="20"/>
                      <w:szCs w:val="20"/>
                    </w:rPr>
                    <w:t>21%</w:t>
                  </w:r>
                </w:p>
              </w:tc>
            </w:tr>
            <w:tr w:rsidR="00510220" w:rsidRPr="008F1375" w14:paraId="6DA728D5" w14:textId="77777777" w:rsidTr="00A0745D">
              <w:trPr>
                <w:trHeight w:hRule="exact" w:val="284"/>
              </w:trPr>
              <w:tc>
                <w:tcPr>
                  <w:tcW w:w="4528" w:type="dxa"/>
                  <w:shd w:val="clear" w:color="auto" w:fill="auto"/>
                  <w:tcMar>
                    <w:top w:w="8" w:type="dxa"/>
                    <w:left w:w="8" w:type="dxa"/>
                    <w:bottom w:w="0" w:type="dxa"/>
                    <w:right w:w="8" w:type="dxa"/>
                  </w:tcMar>
                  <w:vAlign w:val="bottom"/>
                </w:tcPr>
                <w:p w14:paraId="05753F91" w14:textId="77777777" w:rsidR="00510220" w:rsidRPr="008F1375" w:rsidRDefault="00510220" w:rsidP="00510220">
                  <w:pPr>
                    <w:rPr>
                      <w:sz w:val="20"/>
                      <w:szCs w:val="20"/>
                    </w:rPr>
                  </w:pPr>
                  <w:r>
                    <w:rPr>
                      <w:sz w:val="20"/>
                      <w:szCs w:val="20"/>
                    </w:rPr>
                    <w:t>Total at or above expected growth</w:t>
                  </w:r>
                </w:p>
              </w:tc>
              <w:tc>
                <w:tcPr>
                  <w:tcW w:w="1133" w:type="dxa"/>
                  <w:shd w:val="clear" w:color="auto" w:fill="auto"/>
                  <w:tcMar>
                    <w:top w:w="8" w:type="dxa"/>
                    <w:left w:w="8" w:type="dxa"/>
                    <w:bottom w:w="0" w:type="dxa"/>
                    <w:right w:w="8" w:type="dxa"/>
                  </w:tcMar>
                  <w:vAlign w:val="center"/>
                </w:tcPr>
                <w:p w14:paraId="18EB43EF" w14:textId="77777777" w:rsidR="00510220" w:rsidRPr="008F1375" w:rsidRDefault="00510220" w:rsidP="00A0745D">
                  <w:pPr>
                    <w:jc w:val="center"/>
                    <w:rPr>
                      <w:sz w:val="20"/>
                      <w:szCs w:val="20"/>
                    </w:rPr>
                  </w:pPr>
                  <w:r>
                    <w:rPr>
                      <w:sz w:val="20"/>
                      <w:szCs w:val="20"/>
                    </w:rPr>
                    <w:t>92%</w:t>
                  </w:r>
                </w:p>
              </w:tc>
              <w:tc>
                <w:tcPr>
                  <w:tcW w:w="1135" w:type="dxa"/>
                  <w:shd w:val="clear" w:color="auto" w:fill="auto"/>
                  <w:tcMar>
                    <w:top w:w="8" w:type="dxa"/>
                    <w:left w:w="8" w:type="dxa"/>
                    <w:bottom w:w="0" w:type="dxa"/>
                    <w:right w:w="8" w:type="dxa"/>
                  </w:tcMar>
                  <w:vAlign w:val="center"/>
                </w:tcPr>
                <w:p w14:paraId="1499DC5A" w14:textId="77777777" w:rsidR="00510220" w:rsidRPr="008F1375" w:rsidRDefault="00510220" w:rsidP="00A0745D">
                  <w:pPr>
                    <w:jc w:val="center"/>
                    <w:rPr>
                      <w:sz w:val="20"/>
                      <w:szCs w:val="20"/>
                    </w:rPr>
                  </w:pPr>
                  <w:r>
                    <w:rPr>
                      <w:sz w:val="20"/>
                      <w:szCs w:val="20"/>
                    </w:rPr>
                    <w:t>97%</w:t>
                  </w:r>
                </w:p>
              </w:tc>
            </w:tr>
            <w:tr w:rsidR="002A0A1F" w:rsidRPr="00E63AB7" w14:paraId="0B23EFB4" w14:textId="77777777" w:rsidTr="00A8687A">
              <w:trPr>
                <w:trHeight w:hRule="exact" w:val="284"/>
              </w:trPr>
              <w:tc>
                <w:tcPr>
                  <w:tcW w:w="6796" w:type="dxa"/>
                  <w:gridSpan w:val="3"/>
                  <w:shd w:val="clear" w:color="auto" w:fill="auto"/>
                  <w:tcMar>
                    <w:top w:w="8" w:type="dxa"/>
                    <w:left w:w="8" w:type="dxa"/>
                    <w:bottom w:w="0" w:type="dxa"/>
                    <w:right w:w="8" w:type="dxa"/>
                  </w:tcMar>
                  <w:vAlign w:val="bottom"/>
                </w:tcPr>
                <w:p w14:paraId="1FC14FC8" w14:textId="77777777" w:rsidR="002A0A1F" w:rsidRDefault="002A0A1F" w:rsidP="002A0A1F">
                  <w:pPr>
                    <w:pStyle w:val="PlainText"/>
                  </w:pPr>
                  <w:r w:rsidRPr="00E63AB7">
                    <w:rPr>
                      <w:i/>
                      <w:iCs/>
                      <w:sz w:val="20"/>
                      <w:szCs w:val="20"/>
                    </w:rPr>
                    <w:t>Note: 40.5% of year 6 made &gt;200 points growth; 84% made &gt;100 points growth</w:t>
                  </w:r>
                </w:p>
                <w:p w14:paraId="682C6B79" w14:textId="77777777" w:rsidR="002A0A1F" w:rsidRPr="00E63AB7" w:rsidRDefault="002A0A1F" w:rsidP="00510220">
                  <w:pPr>
                    <w:rPr>
                      <w:sz w:val="20"/>
                      <w:szCs w:val="20"/>
                    </w:rPr>
                  </w:pPr>
                </w:p>
              </w:tc>
            </w:tr>
          </w:tbl>
          <w:p w14:paraId="5AD947FA" w14:textId="2C444780" w:rsidR="002A0A1F" w:rsidRPr="005354FE" w:rsidRDefault="005354FE" w:rsidP="00A117D9">
            <w:pPr>
              <w:pStyle w:val="PlainText"/>
              <w:rPr>
                <w:i/>
                <w:iCs/>
                <w:sz w:val="20"/>
                <w:szCs w:val="20"/>
              </w:rPr>
            </w:pPr>
            <w:r>
              <w:t xml:space="preserve">                    </w:t>
            </w:r>
            <w:r w:rsidRPr="005354FE">
              <w:rPr>
                <w:i/>
                <w:iCs/>
                <w:sz w:val="20"/>
                <w:szCs w:val="20"/>
              </w:rPr>
              <w:t xml:space="preserve">Source: </w:t>
            </w:r>
            <w:r>
              <w:rPr>
                <w:i/>
                <w:iCs/>
                <w:sz w:val="20"/>
                <w:szCs w:val="20"/>
              </w:rPr>
              <w:t xml:space="preserve">Red Hill School </w:t>
            </w:r>
            <w:r w:rsidRPr="005354FE">
              <w:rPr>
                <w:i/>
                <w:iCs/>
                <w:sz w:val="20"/>
                <w:szCs w:val="20"/>
              </w:rPr>
              <w:t>PAT E-Write (ACER) 2018-2020</w:t>
            </w:r>
          </w:p>
          <w:p w14:paraId="0AA95D80" w14:textId="477A49BC" w:rsidR="005354FE" w:rsidRDefault="005354FE" w:rsidP="00A117D9">
            <w:pPr>
              <w:pStyle w:val="PlainText"/>
              <w:rPr>
                <w:i/>
                <w:iCs/>
              </w:rPr>
            </w:pPr>
          </w:p>
          <w:p w14:paraId="396B8870" w14:textId="4962CAC0" w:rsidR="000F1C8F" w:rsidRDefault="000F1C8F" w:rsidP="00A117D9">
            <w:pPr>
              <w:pStyle w:val="PlainText"/>
            </w:pPr>
            <w:r>
              <w:t xml:space="preserve">Teachers’ mapping of student achievement using the ACARA Literacy </w:t>
            </w:r>
            <w:r w:rsidR="00CB18DA">
              <w:t xml:space="preserve">Learning </w:t>
            </w:r>
            <w:r>
              <w:t xml:space="preserve">Progression also provided evidence that students were making growth in writing across all year levels. </w:t>
            </w:r>
          </w:p>
          <w:p w14:paraId="77A1F86B" w14:textId="77777777" w:rsidR="000F1C8F" w:rsidRPr="000F1C8F" w:rsidRDefault="000F1C8F" w:rsidP="00A117D9">
            <w:pPr>
              <w:pStyle w:val="PlainText"/>
            </w:pPr>
          </w:p>
          <w:p w14:paraId="2B1E3182" w14:textId="1BFC5538" w:rsidR="003201FB" w:rsidRDefault="004E2B63" w:rsidP="0081513B">
            <w:pPr>
              <w:pStyle w:val="PlainText"/>
            </w:pPr>
            <w:r>
              <w:t xml:space="preserve">An examination of </w:t>
            </w:r>
            <w:r w:rsidR="001D7F72">
              <w:t xml:space="preserve">A-E grades </w:t>
            </w:r>
            <w:r w:rsidR="00B170DE">
              <w:t>from 2016 to 2</w:t>
            </w:r>
            <w:r w:rsidR="00692A36">
              <w:t>0</w:t>
            </w:r>
            <w:r w:rsidR="006F0E61">
              <w:t>20</w:t>
            </w:r>
            <w:r w:rsidR="00692A36">
              <w:t xml:space="preserve"> inclusive </w:t>
            </w:r>
            <w:r w:rsidR="00CB18DA">
              <w:t xml:space="preserve">also </w:t>
            </w:r>
            <w:r w:rsidR="0023706A">
              <w:t>demonstrate</w:t>
            </w:r>
            <w:r w:rsidR="005354FE">
              <w:t>d</w:t>
            </w:r>
            <w:r w:rsidR="0023706A">
              <w:t xml:space="preserve"> </w:t>
            </w:r>
            <w:r w:rsidR="0081513B">
              <w:t xml:space="preserve">that the </w:t>
            </w:r>
            <w:r w:rsidR="00C8121C">
              <w:t xml:space="preserve">percentage of students achieving at or above the achievement standards </w:t>
            </w:r>
            <w:r w:rsidR="009F0335">
              <w:t>for English</w:t>
            </w:r>
            <w:r w:rsidR="004064C0">
              <w:t xml:space="preserve"> and </w:t>
            </w:r>
            <w:r w:rsidR="009F0335">
              <w:t xml:space="preserve">mathematics has </w:t>
            </w:r>
            <w:r w:rsidR="00752E47">
              <w:t>increased over t</w:t>
            </w:r>
            <w:r w:rsidR="003724AD">
              <w:t>he life of the strategic plan</w:t>
            </w:r>
            <w:r w:rsidR="00752E47">
              <w:t xml:space="preserve">. </w:t>
            </w:r>
          </w:p>
          <w:p w14:paraId="2CAA17D8" w14:textId="77777777" w:rsidR="00E12F5B" w:rsidRDefault="00E12F5B" w:rsidP="00E12F5B">
            <w:pPr>
              <w:pStyle w:val="PlainText"/>
              <w:ind w:left="454"/>
            </w:pPr>
          </w:p>
          <w:tbl>
            <w:tblPr>
              <w:tblStyle w:val="TableGrid"/>
              <w:tblW w:w="0" w:type="auto"/>
              <w:tblInd w:w="352" w:type="dxa"/>
              <w:tblLook w:val="04A0" w:firstRow="1" w:lastRow="0" w:firstColumn="1" w:lastColumn="0" w:noHBand="0" w:noVBand="1"/>
            </w:tblPr>
            <w:tblGrid>
              <w:gridCol w:w="1591"/>
              <w:gridCol w:w="1315"/>
              <w:gridCol w:w="1315"/>
              <w:gridCol w:w="1316"/>
              <w:gridCol w:w="1316"/>
              <w:gridCol w:w="1228"/>
            </w:tblGrid>
            <w:tr w:rsidR="005354FE" w14:paraId="3B5173CA" w14:textId="77777777" w:rsidTr="005354FE">
              <w:tc>
                <w:tcPr>
                  <w:tcW w:w="8081" w:type="dxa"/>
                  <w:gridSpan w:val="6"/>
                </w:tcPr>
                <w:p w14:paraId="59E82E9F" w14:textId="21F9965C" w:rsidR="005354FE" w:rsidRPr="005354FE" w:rsidRDefault="005354FE" w:rsidP="005354FE">
                  <w:pPr>
                    <w:pStyle w:val="PlainText"/>
                    <w:rPr>
                      <w:b/>
                      <w:bCs/>
                      <w:i/>
                      <w:iCs/>
                      <w:sz w:val="20"/>
                      <w:szCs w:val="20"/>
                    </w:rPr>
                  </w:pPr>
                  <w:r w:rsidRPr="005354FE">
                    <w:rPr>
                      <w:b/>
                      <w:bCs/>
                      <w:i/>
                      <w:iCs/>
                      <w:sz w:val="20"/>
                      <w:szCs w:val="20"/>
                    </w:rPr>
                    <w:t>Table 3: Percentage of students achieving at or above the achievement standards for English and mathematics 2016-2020</w:t>
                  </w:r>
                </w:p>
              </w:tc>
            </w:tr>
            <w:tr w:rsidR="006F0E61" w14:paraId="4F764DE4" w14:textId="62F22FE2" w:rsidTr="0081513B">
              <w:tc>
                <w:tcPr>
                  <w:tcW w:w="1591" w:type="dxa"/>
                  <w:vAlign w:val="center"/>
                </w:tcPr>
                <w:p w14:paraId="155932DE" w14:textId="77777777" w:rsidR="006F0E61" w:rsidRPr="005354FE" w:rsidRDefault="006F0E61" w:rsidP="00E12F5B">
                  <w:pPr>
                    <w:pStyle w:val="PlainText"/>
                    <w:ind w:left="454" w:hanging="283"/>
                    <w:jc w:val="center"/>
                    <w:rPr>
                      <w:sz w:val="20"/>
                      <w:szCs w:val="20"/>
                    </w:rPr>
                  </w:pPr>
                </w:p>
              </w:tc>
              <w:tc>
                <w:tcPr>
                  <w:tcW w:w="1315" w:type="dxa"/>
                  <w:vAlign w:val="center"/>
                </w:tcPr>
                <w:p w14:paraId="1A011923" w14:textId="053C7DC4" w:rsidR="006F0E61" w:rsidRPr="005354FE" w:rsidRDefault="006F0E61" w:rsidP="00E12F5B">
                  <w:pPr>
                    <w:pStyle w:val="PlainText"/>
                    <w:ind w:left="454" w:hanging="283"/>
                    <w:jc w:val="center"/>
                    <w:rPr>
                      <w:b/>
                      <w:bCs/>
                      <w:sz w:val="20"/>
                      <w:szCs w:val="20"/>
                    </w:rPr>
                  </w:pPr>
                  <w:r w:rsidRPr="005354FE">
                    <w:rPr>
                      <w:b/>
                      <w:bCs/>
                      <w:sz w:val="20"/>
                      <w:szCs w:val="20"/>
                    </w:rPr>
                    <w:t>2016</w:t>
                  </w:r>
                </w:p>
              </w:tc>
              <w:tc>
                <w:tcPr>
                  <w:tcW w:w="1315" w:type="dxa"/>
                  <w:vAlign w:val="center"/>
                </w:tcPr>
                <w:p w14:paraId="372E06D1" w14:textId="03C4DA05" w:rsidR="006F0E61" w:rsidRPr="005354FE" w:rsidRDefault="006F0E61" w:rsidP="00E12F5B">
                  <w:pPr>
                    <w:pStyle w:val="PlainText"/>
                    <w:ind w:left="454" w:hanging="283"/>
                    <w:jc w:val="center"/>
                    <w:rPr>
                      <w:b/>
                      <w:bCs/>
                      <w:sz w:val="20"/>
                      <w:szCs w:val="20"/>
                    </w:rPr>
                  </w:pPr>
                  <w:r w:rsidRPr="005354FE">
                    <w:rPr>
                      <w:b/>
                      <w:bCs/>
                      <w:sz w:val="20"/>
                      <w:szCs w:val="20"/>
                    </w:rPr>
                    <w:t>2017</w:t>
                  </w:r>
                </w:p>
              </w:tc>
              <w:tc>
                <w:tcPr>
                  <w:tcW w:w="1316" w:type="dxa"/>
                  <w:vAlign w:val="center"/>
                </w:tcPr>
                <w:p w14:paraId="7BC8551E" w14:textId="18FB61FC" w:rsidR="006F0E61" w:rsidRPr="005354FE" w:rsidRDefault="006F0E61" w:rsidP="00E12F5B">
                  <w:pPr>
                    <w:pStyle w:val="PlainText"/>
                    <w:ind w:left="454" w:hanging="283"/>
                    <w:jc w:val="center"/>
                    <w:rPr>
                      <w:b/>
                      <w:bCs/>
                      <w:sz w:val="20"/>
                      <w:szCs w:val="20"/>
                    </w:rPr>
                  </w:pPr>
                  <w:r w:rsidRPr="005354FE">
                    <w:rPr>
                      <w:b/>
                      <w:bCs/>
                      <w:sz w:val="20"/>
                      <w:szCs w:val="20"/>
                    </w:rPr>
                    <w:t>2018</w:t>
                  </w:r>
                </w:p>
              </w:tc>
              <w:tc>
                <w:tcPr>
                  <w:tcW w:w="1316" w:type="dxa"/>
                  <w:vAlign w:val="center"/>
                </w:tcPr>
                <w:p w14:paraId="4523A830" w14:textId="7B2FFF6D" w:rsidR="006F0E61" w:rsidRPr="005354FE" w:rsidRDefault="006F0E61" w:rsidP="00E12F5B">
                  <w:pPr>
                    <w:pStyle w:val="PlainText"/>
                    <w:ind w:left="454" w:hanging="283"/>
                    <w:jc w:val="center"/>
                    <w:rPr>
                      <w:b/>
                      <w:bCs/>
                      <w:sz w:val="20"/>
                      <w:szCs w:val="20"/>
                    </w:rPr>
                  </w:pPr>
                  <w:r w:rsidRPr="005354FE">
                    <w:rPr>
                      <w:b/>
                      <w:bCs/>
                      <w:sz w:val="20"/>
                      <w:szCs w:val="20"/>
                    </w:rPr>
                    <w:t>2019</w:t>
                  </w:r>
                </w:p>
              </w:tc>
              <w:tc>
                <w:tcPr>
                  <w:tcW w:w="1228" w:type="dxa"/>
                </w:tcPr>
                <w:p w14:paraId="0023D9DB" w14:textId="38132E34" w:rsidR="006F0E61" w:rsidRPr="005354FE" w:rsidRDefault="006F0E61" w:rsidP="00E12F5B">
                  <w:pPr>
                    <w:pStyle w:val="PlainText"/>
                    <w:ind w:left="454" w:hanging="283"/>
                    <w:jc w:val="center"/>
                    <w:rPr>
                      <w:b/>
                      <w:bCs/>
                      <w:sz w:val="20"/>
                      <w:szCs w:val="20"/>
                    </w:rPr>
                  </w:pPr>
                  <w:r w:rsidRPr="005354FE">
                    <w:rPr>
                      <w:b/>
                      <w:bCs/>
                      <w:sz w:val="20"/>
                      <w:szCs w:val="20"/>
                    </w:rPr>
                    <w:t>2020</w:t>
                  </w:r>
                </w:p>
              </w:tc>
            </w:tr>
            <w:tr w:rsidR="006F0E61" w14:paraId="0F2082D0" w14:textId="7A69577C" w:rsidTr="0081513B">
              <w:tc>
                <w:tcPr>
                  <w:tcW w:w="1591" w:type="dxa"/>
                </w:tcPr>
                <w:p w14:paraId="0897168C" w14:textId="3A999459" w:rsidR="006F0E61" w:rsidRPr="005354FE" w:rsidRDefault="006F0E61" w:rsidP="00E12F5B">
                  <w:pPr>
                    <w:pStyle w:val="PlainText"/>
                    <w:ind w:left="454" w:hanging="283"/>
                    <w:rPr>
                      <w:b/>
                      <w:bCs/>
                      <w:sz w:val="20"/>
                      <w:szCs w:val="20"/>
                    </w:rPr>
                  </w:pPr>
                  <w:r w:rsidRPr="005354FE">
                    <w:rPr>
                      <w:b/>
                      <w:bCs/>
                      <w:sz w:val="20"/>
                      <w:szCs w:val="20"/>
                    </w:rPr>
                    <w:t>English</w:t>
                  </w:r>
                </w:p>
              </w:tc>
              <w:tc>
                <w:tcPr>
                  <w:tcW w:w="1315" w:type="dxa"/>
                  <w:vAlign w:val="center"/>
                </w:tcPr>
                <w:p w14:paraId="2748AFDC" w14:textId="271FF92F" w:rsidR="006F0E61" w:rsidRPr="005354FE" w:rsidRDefault="006F0E61" w:rsidP="00E12F5B">
                  <w:pPr>
                    <w:pStyle w:val="PlainText"/>
                    <w:ind w:left="454" w:hanging="283"/>
                    <w:jc w:val="center"/>
                    <w:rPr>
                      <w:sz w:val="20"/>
                      <w:szCs w:val="20"/>
                    </w:rPr>
                  </w:pPr>
                  <w:r w:rsidRPr="005354FE">
                    <w:rPr>
                      <w:sz w:val="20"/>
                      <w:szCs w:val="20"/>
                    </w:rPr>
                    <w:t>86</w:t>
                  </w:r>
                </w:p>
              </w:tc>
              <w:tc>
                <w:tcPr>
                  <w:tcW w:w="1315" w:type="dxa"/>
                  <w:vAlign w:val="center"/>
                </w:tcPr>
                <w:p w14:paraId="2A8F4AD6" w14:textId="7F34178C" w:rsidR="006F0E61" w:rsidRPr="005354FE" w:rsidRDefault="006F0E61" w:rsidP="00E12F5B">
                  <w:pPr>
                    <w:pStyle w:val="PlainText"/>
                    <w:ind w:left="454" w:hanging="283"/>
                    <w:jc w:val="center"/>
                    <w:rPr>
                      <w:sz w:val="20"/>
                      <w:szCs w:val="20"/>
                    </w:rPr>
                  </w:pPr>
                  <w:r w:rsidRPr="005354FE">
                    <w:rPr>
                      <w:sz w:val="20"/>
                      <w:szCs w:val="20"/>
                    </w:rPr>
                    <w:t>88</w:t>
                  </w:r>
                </w:p>
              </w:tc>
              <w:tc>
                <w:tcPr>
                  <w:tcW w:w="1316" w:type="dxa"/>
                  <w:vAlign w:val="center"/>
                </w:tcPr>
                <w:p w14:paraId="5636CB42" w14:textId="7EDB1D85" w:rsidR="006F0E61" w:rsidRPr="005354FE" w:rsidRDefault="006F0E61" w:rsidP="00E12F5B">
                  <w:pPr>
                    <w:pStyle w:val="PlainText"/>
                    <w:ind w:left="454" w:hanging="283"/>
                    <w:jc w:val="center"/>
                    <w:rPr>
                      <w:sz w:val="20"/>
                      <w:szCs w:val="20"/>
                    </w:rPr>
                  </w:pPr>
                  <w:r w:rsidRPr="005354FE">
                    <w:rPr>
                      <w:sz w:val="20"/>
                      <w:szCs w:val="20"/>
                    </w:rPr>
                    <w:t>92</w:t>
                  </w:r>
                </w:p>
              </w:tc>
              <w:tc>
                <w:tcPr>
                  <w:tcW w:w="1316" w:type="dxa"/>
                  <w:vAlign w:val="center"/>
                </w:tcPr>
                <w:p w14:paraId="3A94A0ED" w14:textId="0569145A" w:rsidR="006F0E61" w:rsidRPr="005354FE" w:rsidRDefault="006F0E61" w:rsidP="00E12F5B">
                  <w:pPr>
                    <w:pStyle w:val="PlainText"/>
                    <w:ind w:left="454" w:hanging="283"/>
                    <w:jc w:val="center"/>
                    <w:rPr>
                      <w:sz w:val="20"/>
                      <w:szCs w:val="20"/>
                    </w:rPr>
                  </w:pPr>
                  <w:r w:rsidRPr="005354FE">
                    <w:rPr>
                      <w:sz w:val="20"/>
                      <w:szCs w:val="20"/>
                    </w:rPr>
                    <w:t>93</w:t>
                  </w:r>
                </w:p>
              </w:tc>
              <w:tc>
                <w:tcPr>
                  <w:tcW w:w="1228" w:type="dxa"/>
                </w:tcPr>
                <w:p w14:paraId="364E2157" w14:textId="3365D4C7" w:rsidR="006F0E61" w:rsidRPr="005354FE" w:rsidRDefault="0081513B" w:rsidP="00E12F5B">
                  <w:pPr>
                    <w:pStyle w:val="PlainText"/>
                    <w:ind w:left="454" w:hanging="283"/>
                    <w:jc w:val="center"/>
                    <w:rPr>
                      <w:sz w:val="20"/>
                      <w:szCs w:val="20"/>
                    </w:rPr>
                  </w:pPr>
                  <w:r w:rsidRPr="005354FE">
                    <w:rPr>
                      <w:sz w:val="20"/>
                      <w:szCs w:val="20"/>
                    </w:rPr>
                    <w:t>92</w:t>
                  </w:r>
                </w:p>
              </w:tc>
            </w:tr>
            <w:tr w:rsidR="006F0E61" w14:paraId="2F6250E6" w14:textId="6E61E10B" w:rsidTr="0081513B">
              <w:tc>
                <w:tcPr>
                  <w:tcW w:w="1591" w:type="dxa"/>
                </w:tcPr>
                <w:p w14:paraId="6D472540" w14:textId="5148D16E" w:rsidR="006F0E61" w:rsidRPr="005354FE" w:rsidRDefault="006F0E61" w:rsidP="00E12F5B">
                  <w:pPr>
                    <w:pStyle w:val="PlainText"/>
                    <w:ind w:left="454" w:hanging="283"/>
                    <w:rPr>
                      <w:b/>
                      <w:bCs/>
                      <w:sz w:val="20"/>
                      <w:szCs w:val="20"/>
                    </w:rPr>
                  </w:pPr>
                  <w:r w:rsidRPr="005354FE">
                    <w:rPr>
                      <w:b/>
                      <w:bCs/>
                      <w:sz w:val="20"/>
                      <w:szCs w:val="20"/>
                    </w:rPr>
                    <w:t>Mathematics</w:t>
                  </w:r>
                </w:p>
              </w:tc>
              <w:tc>
                <w:tcPr>
                  <w:tcW w:w="1315" w:type="dxa"/>
                  <w:vAlign w:val="center"/>
                </w:tcPr>
                <w:p w14:paraId="5D6CF139" w14:textId="16350B13" w:rsidR="006F0E61" w:rsidRPr="005354FE" w:rsidRDefault="006F0E61" w:rsidP="00E12F5B">
                  <w:pPr>
                    <w:pStyle w:val="PlainText"/>
                    <w:ind w:left="454" w:hanging="283"/>
                    <w:jc w:val="center"/>
                    <w:rPr>
                      <w:sz w:val="20"/>
                      <w:szCs w:val="20"/>
                    </w:rPr>
                  </w:pPr>
                  <w:r w:rsidRPr="005354FE">
                    <w:rPr>
                      <w:sz w:val="20"/>
                      <w:szCs w:val="20"/>
                    </w:rPr>
                    <w:t>87</w:t>
                  </w:r>
                </w:p>
              </w:tc>
              <w:tc>
                <w:tcPr>
                  <w:tcW w:w="1315" w:type="dxa"/>
                  <w:vAlign w:val="center"/>
                </w:tcPr>
                <w:p w14:paraId="376F03FB" w14:textId="0D630BDF" w:rsidR="006F0E61" w:rsidRPr="005354FE" w:rsidRDefault="006F0E61" w:rsidP="00E12F5B">
                  <w:pPr>
                    <w:pStyle w:val="PlainText"/>
                    <w:ind w:left="454" w:hanging="283"/>
                    <w:jc w:val="center"/>
                    <w:rPr>
                      <w:sz w:val="20"/>
                      <w:szCs w:val="20"/>
                    </w:rPr>
                  </w:pPr>
                  <w:r w:rsidRPr="005354FE">
                    <w:rPr>
                      <w:sz w:val="20"/>
                      <w:szCs w:val="20"/>
                    </w:rPr>
                    <w:t>88.5</w:t>
                  </w:r>
                </w:p>
              </w:tc>
              <w:tc>
                <w:tcPr>
                  <w:tcW w:w="1316" w:type="dxa"/>
                  <w:vAlign w:val="center"/>
                </w:tcPr>
                <w:p w14:paraId="38F879B8" w14:textId="2B22CB7B" w:rsidR="006F0E61" w:rsidRPr="005354FE" w:rsidRDefault="006F0E61" w:rsidP="00E12F5B">
                  <w:pPr>
                    <w:pStyle w:val="PlainText"/>
                    <w:ind w:left="454" w:hanging="283"/>
                    <w:jc w:val="center"/>
                    <w:rPr>
                      <w:sz w:val="20"/>
                      <w:szCs w:val="20"/>
                    </w:rPr>
                  </w:pPr>
                  <w:r w:rsidRPr="005354FE">
                    <w:rPr>
                      <w:sz w:val="20"/>
                      <w:szCs w:val="20"/>
                    </w:rPr>
                    <w:t>92</w:t>
                  </w:r>
                </w:p>
              </w:tc>
              <w:tc>
                <w:tcPr>
                  <w:tcW w:w="1316" w:type="dxa"/>
                  <w:vAlign w:val="center"/>
                </w:tcPr>
                <w:p w14:paraId="2DFB2C76" w14:textId="18A727AC" w:rsidR="006F0E61" w:rsidRPr="005354FE" w:rsidRDefault="006F0E61" w:rsidP="00E12F5B">
                  <w:pPr>
                    <w:pStyle w:val="PlainText"/>
                    <w:ind w:left="454" w:hanging="283"/>
                    <w:jc w:val="center"/>
                    <w:rPr>
                      <w:sz w:val="20"/>
                      <w:szCs w:val="20"/>
                    </w:rPr>
                  </w:pPr>
                  <w:r w:rsidRPr="005354FE">
                    <w:rPr>
                      <w:sz w:val="20"/>
                      <w:szCs w:val="20"/>
                    </w:rPr>
                    <w:t>95</w:t>
                  </w:r>
                </w:p>
              </w:tc>
              <w:tc>
                <w:tcPr>
                  <w:tcW w:w="1228" w:type="dxa"/>
                </w:tcPr>
                <w:p w14:paraId="3C03460D" w14:textId="011F4D39" w:rsidR="006F0E61" w:rsidRPr="005354FE" w:rsidRDefault="0081513B" w:rsidP="00E12F5B">
                  <w:pPr>
                    <w:pStyle w:val="PlainText"/>
                    <w:ind w:left="454" w:hanging="283"/>
                    <w:jc w:val="center"/>
                    <w:rPr>
                      <w:sz w:val="20"/>
                      <w:szCs w:val="20"/>
                    </w:rPr>
                  </w:pPr>
                  <w:r w:rsidRPr="005354FE">
                    <w:rPr>
                      <w:sz w:val="20"/>
                      <w:szCs w:val="20"/>
                    </w:rPr>
                    <w:t>95</w:t>
                  </w:r>
                </w:p>
              </w:tc>
            </w:tr>
          </w:tbl>
          <w:p w14:paraId="46B6DA97" w14:textId="016A89AA" w:rsidR="00D677F9" w:rsidRDefault="005354FE" w:rsidP="005354FE">
            <w:pPr>
              <w:pStyle w:val="PlainText"/>
              <w:rPr>
                <w:sz w:val="20"/>
                <w:szCs w:val="20"/>
              </w:rPr>
            </w:pPr>
            <w:r>
              <w:rPr>
                <w:sz w:val="20"/>
                <w:szCs w:val="20"/>
              </w:rPr>
              <w:t xml:space="preserve">        Source: Red Hill School A-E grade data 2016-2020</w:t>
            </w:r>
          </w:p>
          <w:p w14:paraId="5DD752AB" w14:textId="77777777" w:rsidR="005354FE" w:rsidRPr="005354FE" w:rsidRDefault="005354FE" w:rsidP="005354FE">
            <w:pPr>
              <w:pStyle w:val="PlainText"/>
              <w:rPr>
                <w:sz w:val="20"/>
                <w:szCs w:val="20"/>
              </w:rPr>
            </w:pPr>
          </w:p>
          <w:p w14:paraId="00498627" w14:textId="040F4D9D" w:rsidR="00A65BA0" w:rsidRDefault="00B1532C" w:rsidP="00C45EAC">
            <w:pPr>
              <w:pStyle w:val="PlainText"/>
            </w:pPr>
            <w:r>
              <w:t>Furthermore, t</w:t>
            </w:r>
            <w:r w:rsidR="001536E0">
              <w:t xml:space="preserve">he percentage of students who have achieved at or above the achievement standards for English and mathematics </w:t>
            </w:r>
            <w:r w:rsidR="00644426">
              <w:t>has increased for every year level cohort</w:t>
            </w:r>
            <w:r w:rsidR="004A42AE">
              <w:t xml:space="preserve"> as they have </w:t>
            </w:r>
            <w:r w:rsidR="004A42AE">
              <w:lastRenderedPageBreak/>
              <w:t xml:space="preserve">progressed through </w:t>
            </w:r>
            <w:r w:rsidR="00B825E1">
              <w:t>kindergarten to year six</w:t>
            </w:r>
            <w:r w:rsidR="00751850">
              <w:t xml:space="preserve"> from 2016. </w:t>
            </w:r>
            <w:r w:rsidR="00C45EAC">
              <w:t xml:space="preserve">Whilst these grade increases can </w:t>
            </w:r>
            <w:r w:rsidR="00E97720">
              <w:t xml:space="preserve">also </w:t>
            </w:r>
            <w:r w:rsidR="00C45EAC">
              <w:t xml:space="preserve">be attributed to other factors </w:t>
            </w:r>
            <w:r w:rsidR="00CB18DA">
              <w:t>(</w:t>
            </w:r>
            <w:r w:rsidR="00025911">
              <w:t>e.g. more accurate moderation processes</w:t>
            </w:r>
            <w:r w:rsidR="00CB18DA">
              <w:t xml:space="preserve"> and more accurate understanding of the achievement standards)</w:t>
            </w:r>
            <w:r w:rsidR="005D3C75">
              <w:t xml:space="preserve"> they do suggest </w:t>
            </w:r>
            <w:r w:rsidR="009F2C9A">
              <w:t xml:space="preserve">whole school </w:t>
            </w:r>
            <w:r w:rsidR="005D3C75">
              <w:t xml:space="preserve">academic </w:t>
            </w:r>
            <w:r w:rsidR="009F2C9A">
              <w:t>growth</w:t>
            </w:r>
            <w:r>
              <w:t xml:space="preserve"> in the learning areas of </w:t>
            </w:r>
            <w:r w:rsidR="005354FE">
              <w:t xml:space="preserve">English and </w:t>
            </w:r>
            <w:r>
              <w:t>mathematics</w:t>
            </w:r>
            <w:r w:rsidR="00113E86">
              <w:t xml:space="preserve">. </w:t>
            </w:r>
            <w:r w:rsidR="009F2C9A">
              <w:t xml:space="preserve"> </w:t>
            </w:r>
          </w:p>
          <w:p w14:paraId="184C0F53" w14:textId="77777777" w:rsidR="000F1C8F" w:rsidRDefault="000F1C8F" w:rsidP="00C45EAC">
            <w:pPr>
              <w:pStyle w:val="PlainText"/>
            </w:pPr>
          </w:p>
          <w:p w14:paraId="47B64F45" w14:textId="77777777" w:rsidR="00CB18DA" w:rsidRDefault="00A65BA0" w:rsidP="00656EBF">
            <w:pPr>
              <w:pStyle w:val="PlainText"/>
            </w:pPr>
            <w:r w:rsidRPr="00A54BC1">
              <w:t xml:space="preserve">Other student learning and perception data indicates that specific improvement strategies have resulted in sound progress towards achieving the remaining five targets. </w:t>
            </w:r>
            <w:r w:rsidR="00941A1E">
              <w:t xml:space="preserve">An average of </w:t>
            </w:r>
            <w:r w:rsidR="00AB555D">
              <w:t>88%</w:t>
            </w:r>
            <w:r w:rsidR="00A54BC1" w:rsidRPr="00A54BC1">
              <w:t xml:space="preserve"> </w:t>
            </w:r>
            <w:r w:rsidRPr="00A54BC1">
              <w:t xml:space="preserve">of students’ individual learning goals </w:t>
            </w:r>
            <w:r w:rsidR="00AB555D">
              <w:t>were</w:t>
            </w:r>
            <w:r w:rsidRPr="00A54BC1">
              <w:t xml:space="preserve"> achieved</w:t>
            </w:r>
            <w:r w:rsidR="00AB555D">
              <w:t xml:space="preserve"> in 2020</w:t>
            </w:r>
            <w:r w:rsidR="00A95667" w:rsidRPr="00A54BC1">
              <w:t>,</w:t>
            </w:r>
            <w:r w:rsidRPr="00A54BC1">
              <w:t xml:space="preserve"> </w:t>
            </w:r>
            <w:r w:rsidR="00AB555D">
              <w:t xml:space="preserve">again </w:t>
            </w:r>
            <w:r w:rsidRPr="00A54BC1">
              <w:t xml:space="preserve">surpassing the </w:t>
            </w:r>
            <w:r w:rsidR="00AB555D">
              <w:t>five-year</w:t>
            </w:r>
            <w:r w:rsidRPr="00A54BC1">
              <w:t xml:space="preserve"> target</w:t>
            </w:r>
            <w:r w:rsidR="006F2E29">
              <w:rPr>
                <w:rStyle w:val="FootnoteReference"/>
              </w:rPr>
              <w:footnoteReference w:id="3"/>
            </w:r>
            <w:r w:rsidRPr="00A54BC1">
              <w:t xml:space="preserve">. </w:t>
            </w:r>
            <w:r w:rsidR="00AB555D">
              <w:t>Similarly, 95%</w:t>
            </w:r>
            <w:r w:rsidR="00C078CD">
              <w:t xml:space="preserve"> of ILP goals for gifted and talented students </w:t>
            </w:r>
            <w:r w:rsidR="00AB555D">
              <w:t>were</w:t>
            </w:r>
            <w:r w:rsidR="00C078CD">
              <w:t xml:space="preserve"> achieved</w:t>
            </w:r>
            <w:r w:rsidR="00AB555D">
              <w:t>,</w:t>
            </w:r>
            <w:r w:rsidR="00C078CD">
              <w:t xml:space="preserve"> </w:t>
            </w:r>
            <w:r w:rsidR="006F2E29">
              <w:t xml:space="preserve">again </w:t>
            </w:r>
            <w:r w:rsidR="00AB555D" w:rsidRPr="00A54BC1">
              <w:t xml:space="preserve">surpassing the </w:t>
            </w:r>
            <w:r w:rsidR="00AB555D">
              <w:t>five-year</w:t>
            </w:r>
            <w:r w:rsidR="00AB555D" w:rsidRPr="00A54BC1">
              <w:t xml:space="preserve"> target</w:t>
            </w:r>
            <w:r w:rsidR="00C078CD">
              <w:t>.</w:t>
            </w:r>
            <w:r w:rsidR="000363FF">
              <w:t xml:space="preserve"> </w:t>
            </w:r>
            <w:r w:rsidR="006F2E29">
              <w:t>Moreover 83.5%</w:t>
            </w:r>
            <w:r w:rsidRPr="00656EBF">
              <w:t xml:space="preserve"> of ILP</w:t>
            </w:r>
            <w:r w:rsidR="006F2E29">
              <w:t xml:space="preserve"> </w:t>
            </w:r>
            <w:r w:rsidRPr="00656EBF">
              <w:t>goals</w:t>
            </w:r>
            <w:r w:rsidR="006F2E29">
              <w:rPr>
                <w:rStyle w:val="FootnoteReference"/>
              </w:rPr>
              <w:footnoteReference w:id="4"/>
            </w:r>
            <w:r w:rsidRPr="00656EBF">
              <w:t xml:space="preserve"> </w:t>
            </w:r>
            <w:r w:rsidR="006F2E29">
              <w:t>were</w:t>
            </w:r>
            <w:r w:rsidRPr="00656EBF">
              <w:t xml:space="preserve"> achieved by students with a disability</w:t>
            </w:r>
            <w:r w:rsidR="006F2E29">
              <w:t>, surpassing the target for the first time</w:t>
            </w:r>
            <w:r w:rsidRPr="00656EBF">
              <w:t xml:space="preserve">. </w:t>
            </w:r>
          </w:p>
          <w:p w14:paraId="3A613665" w14:textId="77777777" w:rsidR="00CB18DA" w:rsidRDefault="00CB18DA" w:rsidP="00656EBF">
            <w:pPr>
              <w:pStyle w:val="PlainText"/>
            </w:pPr>
          </w:p>
          <w:p w14:paraId="2E57332B" w14:textId="380BDE70" w:rsidR="00A65BA0" w:rsidRDefault="009D1355" w:rsidP="00656EBF">
            <w:pPr>
              <w:pStyle w:val="PlainText"/>
            </w:pPr>
            <w:r>
              <w:t xml:space="preserve">Over 3,600 writing goals were set for students in 2020, evidence of a significant focus on this learning area to support improvement in outcomes. </w:t>
            </w:r>
            <w:r w:rsidR="006F2E29">
              <w:t xml:space="preserve">It is </w:t>
            </w:r>
            <w:r>
              <w:t xml:space="preserve">also </w:t>
            </w:r>
            <w:r w:rsidR="006F2E29">
              <w:t>worth noting that new goals had been set for many students at the time this report was being written, hence it is natural and appropriate that not all goals have been achieved</w:t>
            </w:r>
            <w:r>
              <w:t xml:space="preserve"> yet.</w:t>
            </w:r>
          </w:p>
          <w:p w14:paraId="6252B370" w14:textId="77777777" w:rsidR="00A65BA0" w:rsidRDefault="00A65BA0" w:rsidP="00A65BA0">
            <w:pPr>
              <w:pStyle w:val="PlainText"/>
            </w:pPr>
          </w:p>
          <w:p w14:paraId="2C67AACA" w14:textId="195CAC15" w:rsidR="00A65BA0" w:rsidRDefault="001E3E46" w:rsidP="00A65BA0">
            <w:pPr>
              <w:pStyle w:val="PlainText"/>
            </w:pPr>
            <w:r>
              <w:t>O</w:t>
            </w:r>
            <w:r w:rsidR="00A65BA0">
              <w:t xml:space="preserve">ver the past </w:t>
            </w:r>
            <w:r w:rsidR="00604FEB">
              <w:t>five</w:t>
            </w:r>
            <w:r w:rsidR="00A65BA0">
              <w:t xml:space="preserve"> years an average of 8</w:t>
            </w:r>
            <w:r w:rsidR="00604FEB">
              <w:t>7</w:t>
            </w:r>
            <w:r w:rsidR="00A65BA0">
              <w:t>% of parents have expressed satisfaction with their children’s education at Red Hill School</w:t>
            </w:r>
            <w:r w:rsidR="00604FEB">
              <w:t>. In the last two years this average has been 88%, i</w:t>
            </w:r>
            <w:r w:rsidR="00A65BA0">
              <w:t xml:space="preserve">ndicating that we </w:t>
            </w:r>
            <w:r w:rsidR="00604FEB">
              <w:t>narrowly missed</w:t>
            </w:r>
            <w:r w:rsidR="00217074">
              <w:t xml:space="preserve"> our</w:t>
            </w:r>
            <w:r w:rsidR="00A65BA0">
              <w:t xml:space="preserve"> </w:t>
            </w:r>
            <w:r w:rsidR="00CC78ED">
              <w:t>five-year</w:t>
            </w:r>
            <w:r w:rsidR="00A65BA0">
              <w:t xml:space="preserve"> target of 90%</w:t>
            </w:r>
            <w:r w:rsidR="00CB18DA">
              <w:t>. H</w:t>
            </w:r>
            <w:r w:rsidR="007154A4">
              <w:t>owever</w:t>
            </w:r>
            <w:r w:rsidR="00CB18DA">
              <w:t>,</w:t>
            </w:r>
            <w:r w:rsidR="00AB0A37">
              <w:t xml:space="preserve"> our results are greater than the </w:t>
            </w:r>
            <w:r w:rsidR="007154A4">
              <w:t xml:space="preserve">average </w:t>
            </w:r>
            <w:r w:rsidR="00AB0A37">
              <w:t>result for all ACT primary schools.</w:t>
            </w:r>
          </w:p>
          <w:p w14:paraId="498E43B3" w14:textId="77777777" w:rsidR="00AB0A37" w:rsidRDefault="00AB0A37" w:rsidP="00A65BA0">
            <w:pPr>
              <w:pStyle w:val="PlainText"/>
            </w:pPr>
          </w:p>
          <w:p w14:paraId="2DFB70DA" w14:textId="4C1CEB77" w:rsidR="001E29E7" w:rsidRPr="007154A4" w:rsidRDefault="00CE64BC" w:rsidP="00CB1359">
            <w:pPr>
              <w:pStyle w:val="PlainText"/>
            </w:pPr>
            <w:r>
              <w:t>Over</w:t>
            </w:r>
            <w:r w:rsidR="00A65BA0">
              <w:t xml:space="preserve"> the </w:t>
            </w:r>
            <w:r w:rsidR="00FA23D8">
              <w:t xml:space="preserve">past </w:t>
            </w:r>
            <w:r w:rsidR="006F0E61">
              <w:t>four</w:t>
            </w:r>
            <w:r w:rsidR="00A65BA0">
              <w:t xml:space="preserve"> years </w:t>
            </w:r>
            <w:r>
              <w:t>an average of 8</w:t>
            </w:r>
            <w:r w:rsidR="006F0E61">
              <w:t>3</w:t>
            </w:r>
            <w:r>
              <w:t>% of parents and 8</w:t>
            </w:r>
            <w:r w:rsidR="006F0E61">
              <w:t>7</w:t>
            </w:r>
            <w:r>
              <w:t xml:space="preserve">% of staff </w:t>
            </w:r>
            <w:r w:rsidR="00A65BA0">
              <w:t xml:space="preserve">have demonstrated that they perceive the use of learning technologies as integral to teaching and learning in our school. </w:t>
            </w:r>
            <w:r w:rsidR="00A5094B">
              <w:t>Therefore</w:t>
            </w:r>
            <w:r w:rsidR="00092DC1">
              <w:t>,</w:t>
            </w:r>
            <w:r w:rsidR="00A5094B">
              <w:t xml:space="preserve"> the</w:t>
            </w:r>
            <w:r w:rsidR="00A65BA0">
              <w:t xml:space="preserve"> </w:t>
            </w:r>
            <w:r w:rsidR="00CC78ED">
              <w:t>five-year</w:t>
            </w:r>
            <w:r w:rsidR="00A65BA0">
              <w:t xml:space="preserve"> plan targets for these stakeholder groups </w:t>
            </w:r>
            <w:r w:rsidR="00B66404">
              <w:t>have been</w:t>
            </w:r>
            <w:r w:rsidR="00FE087E">
              <w:t xml:space="preserve"> </w:t>
            </w:r>
            <w:r w:rsidR="00960474">
              <w:t>surpassed</w:t>
            </w:r>
            <w:r w:rsidR="00A65BA0">
              <w:t>.</w:t>
            </w:r>
            <w:r w:rsidR="00904B1B">
              <w:t xml:space="preserve"> </w:t>
            </w:r>
            <w:r w:rsidR="00B66404">
              <w:t xml:space="preserve">In 2020 both results also surpassed those of all ACT primary schools. </w:t>
            </w:r>
            <w:r w:rsidR="001157F1">
              <w:t>S</w:t>
            </w:r>
            <w:r w:rsidR="00A65BA0">
              <w:t>tudent</w:t>
            </w:r>
            <w:r w:rsidR="00DC4C53">
              <w:t xml:space="preserve"> perceptio</w:t>
            </w:r>
            <w:r w:rsidR="00A65BA0">
              <w:t xml:space="preserve">n </w:t>
            </w:r>
            <w:r w:rsidR="001157F1">
              <w:t xml:space="preserve">over the last two years </w:t>
            </w:r>
            <w:r w:rsidR="00A65BA0">
              <w:t xml:space="preserve">about the use of learning technologies </w:t>
            </w:r>
            <w:r w:rsidR="00C54D87">
              <w:t>had</w:t>
            </w:r>
            <w:r w:rsidR="00A65BA0">
              <w:t xml:space="preserve"> also </w:t>
            </w:r>
            <w:r w:rsidR="00C54D87">
              <w:t xml:space="preserve">been </w:t>
            </w:r>
            <w:r w:rsidR="00DC4C53">
              <w:t>strong (93.5% average)</w:t>
            </w:r>
            <w:r w:rsidR="00C54D87">
              <w:t>, giving</w:t>
            </w:r>
            <w:r w:rsidR="00A65BA0">
              <w:t xml:space="preserve"> us confidence that th</w:t>
            </w:r>
            <w:r w:rsidR="009A7038">
              <w:t>is</w:t>
            </w:r>
            <w:r w:rsidR="00A65BA0">
              <w:t xml:space="preserve"> </w:t>
            </w:r>
            <w:r w:rsidR="00CC78ED">
              <w:t>five-year</w:t>
            </w:r>
            <w:r w:rsidR="00A65BA0">
              <w:t xml:space="preserve"> target w</w:t>
            </w:r>
            <w:r w:rsidR="00C54D87">
              <w:t>ould</w:t>
            </w:r>
            <w:r w:rsidR="00A65BA0">
              <w:t xml:space="preserve"> be met. Unfortunately, the system survey question</w:t>
            </w:r>
            <w:r w:rsidR="00630D09">
              <w:t>s</w:t>
            </w:r>
            <w:r w:rsidR="00CB1359">
              <w:t xml:space="preserve"> connected to the student perception target </w:t>
            </w:r>
            <w:r w:rsidR="00C54D87">
              <w:t xml:space="preserve">have </w:t>
            </w:r>
            <w:r w:rsidR="00CB1359">
              <w:t xml:space="preserve">changed since the inception of our school plan, making a comparison over time </w:t>
            </w:r>
            <w:r w:rsidR="00EE5D3D">
              <w:t xml:space="preserve">challenging and potentially </w:t>
            </w:r>
            <w:r w:rsidR="00CB1359">
              <w:t xml:space="preserve">unreliable. </w:t>
            </w:r>
          </w:p>
        </w:tc>
      </w:tr>
    </w:tbl>
    <w:p w14:paraId="2C475ECA" w14:textId="51EE3DFC" w:rsidR="005611F4" w:rsidRPr="005611F4" w:rsidRDefault="00937D6F" w:rsidP="00095687">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B74B75">
        <w:trPr>
          <w:trHeight w:val="223"/>
          <w:jc w:val="center"/>
        </w:trPr>
        <w:tc>
          <w:tcPr>
            <w:tcW w:w="9016" w:type="dxa"/>
            <w:shd w:val="clear" w:color="auto" w:fill="auto"/>
          </w:tcPr>
          <w:p w14:paraId="7C93C593" w14:textId="48C3373F" w:rsidR="00022D0C" w:rsidRDefault="002C3645" w:rsidP="00022D0C">
            <w:pPr>
              <w:pStyle w:val="BodyText"/>
              <w:rPr>
                <w:b/>
              </w:rPr>
            </w:pPr>
            <w:r w:rsidRPr="00B75299">
              <w:rPr>
                <w:b/>
                <w:bCs/>
                <w:color w:val="000000" w:themeColor="text1"/>
              </w:rPr>
              <w:t>Buil</w:t>
            </w:r>
            <w:r w:rsidR="007154A4">
              <w:rPr>
                <w:b/>
                <w:bCs/>
                <w:color w:val="000000" w:themeColor="text1"/>
              </w:rPr>
              <w:t>ding</w:t>
            </w:r>
            <w:r w:rsidR="00816F27">
              <w:rPr>
                <w:b/>
                <w:bCs/>
                <w:color w:val="000000" w:themeColor="text1"/>
              </w:rPr>
              <w:t xml:space="preserve"> </w:t>
            </w:r>
            <w:r w:rsidRPr="00B75299">
              <w:rPr>
                <w:b/>
                <w:bCs/>
                <w:color w:val="000000" w:themeColor="text1"/>
              </w:rPr>
              <w:t xml:space="preserve">teacher capacity to teach </w:t>
            </w:r>
            <w:r w:rsidR="00AE4A9A">
              <w:rPr>
                <w:b/>
              </w:rPr>
              <w:t xml:space="preserve">writing </w:t>
            </w:r>
          </w:p>
          <w:p w14:paraId="3DF56498" w14:textId="776A5CCF" w:rsidR="00701DE9" w:rsidRDefault="00701DE9" w:rsidP="00FE6EE9">
            <w:pPr>
              <w:pStyle w:val="NoSpacing"/>
              <w:numPr>
                <w:ilvl w:val="0"/>
                <w:numId w:val="27"/>
              </w:numPr>
              <w:tabs>
                <w:tab w:val="left" w:pos="313"/>
              </w:tabs>
            </w:pPr>
            <w:r>
              <w:t>An instructional leadership team c</w:t>
            </w:r>
            <w:r w:rsidR="00A3017D">
              <w:t>ompleted</w:t>
            </w:r>
            <w:r>
              <w:t xml:space="preserve"> professional learning in </w:t>
            </w:r>
            <w:r w:rsidR="00CB18DA">
              <w:t>t</w:t>
            </w:r>
            <w:r>
              <w:t xml:space="preserve">he </w:t>
            </w:r>
            <w:r w:rsidR="00CB18DA">
              <w:t>“</w:t>
            </w:r>
            <w:r>
              <w:t>10 Essential Literacy Practices”.</w:t>
            </w:r>
          </w:p>
          <w:p w14:paraId="2513616B" w14:textId="10E481ED" w:rsidR="0095257D" w:rsidRPr="00816F27" w:rsidRDefault="00701DE9" w:rsidP="00FE6EE9">
            <w:pPr>
              <w:pStyle w:val="NoSpacing"/>
              <w:numPr>
                <w:ilvl w:val="0"/>
                <w:numId w:val="27"/>
              </w:numPr>
              <w:tabs>
                <w:tab w:val="left" w:pos="313"/>
              </w:tabs>
            </w:pPr>
            <w:r>
              <w:t xml:space="preserve">All staff </w:t>
            </w:r>
            <w:r w:rsidR="00A3017D">
              <w:t xml:space="preserve">were introduced to the </w:t>
            </w:r>
            <w:r>
              <w:t>“The 10 Essential Literacy Practices”</w:t>
            </w:r>
            <w:r w:rsidR="007154A4">
              <w:t xml:space="preserve">, </w:t>
            </w:r>
            <w:r w:rsidR="00A3017D">
              <w:t>complet</w:t>
            </w:r>
            <w:r w:rsidR="007154A4">
              <w:t>ing</w:t>
            </w:r>
            <w:r w:rsidR="00A3017D">
              <w:t xml:space="preserve"> a</w:t>
            </w:r>
            <w:r w:rsidR="007154A4">
              <w:t xml:space="preserve"> whole school</w:t>
            </w:r>
            <w:r w:rsidR="00A3017D">
              <w:t xml:space="preserve"> </w:t>
            </w:r>
            <w:r>
              <w:t>audit</w:t>
            </w:r>
            <w:r w:rsidR="00A3017D">
              <w:t xml:space="preserve"> </w:t>
            </w:r>
            <w:r w:rsidR="007154A4">
              <w:t>against the</w:t>
            </w:r>
            <w:r>
              <w:t xml:space="preserve"> practices</w:t>
            </w:r>
            <w:r w:rsidR="00A3017D">
              <w:t>, then s</w:t>
            </w:r>
            <w:r>
              <w:t>etting individual and year level goals.</w:t>
            </w:r>
          </w:p>
          <w:p w14:paraId="535B8AB9" w14:textId="008B52E2" w:rsidR="006B24F0" w:rsidRPr="00AE4A9A" w:rsidRDefault="00262CDC" w:rsidP="00FE6EE9">
            <w:pPr>
              <w:pStyle w:val="NoSpacing"/>
              <w:numPr>
                <w:ilvl w:val="0"/>
                <w:numId w:val="27"/>
              </w:numPr>
              <w:tabs>
                <w:tab w:val="left" w:pos="313"/>
              </w:tabs>
            </w:pPr>
            <w:r>
              <w:t>P</w:t>
            </w:r>
            <w:r w:rsidR="002F3729">
              <w:t xml:space="preserve">rofessional learning </w:t>
            </w:r>
            <w:r w:rsidR="007E08F8">
              <w:t xml:space="preserve">community (PLC) </w:t>
            </w:r>
            <w:r w:rsidR="002F3729">
              <w:t>inquiries</w:t>
            </w:r>
            <w:r w:rsidR="008E197C">
              <w:t xml:space="preserve"> </w:t>
            </w:r>
            <w:r w:rsidR="00701DE9">
              <w:t xml:space="preserve">in writing and spelling </w:t>
            </w:r>
            <w:r w:rsidR="008E197C">
              <w:t>took place</w:t>
            </w:r>
            <w:r w:rsidR="00A4153A">
              <w:t xml:space="preserve"> and were shared with peers</w:t>
            </w:r>
            <w:r w:rsidR="008E197C">
              <w:t xml:space="preserve">. </w:t>
            </w:r>
            <w:r w:rsidR="008B0D1F" w:rsidRPr="00AE4A9A">
              <w:rPr>
                <w:b/>
                <w:bCs/>
              </w:rPr>
              <w:t xml:space="preserve"> </w:t>
            </w:r>
          </w:p>
          <w:p w14:paraId="02345C59" w14:textId="5E16B7C3" w:rsidR="00867BF9" w:rsidRDefault="009B0B0B" w:rsidP="00FE6EE9">
            <w:pPr>
              <w:pStyle w:val="ListBullet"/>
              <w:numPr>
                <w:ilvl w:val="0"/>
                <w:numId w:val="27"/>
              </w:numPr>
              <w:tabs>
                <w:tab w:val="left" w:pos="313"/>
              </w:tabs>
            </w:pPr>
            <w:r>
              <w:t xml:space="preserve">Professional learning in </w:t>
            </w:r>
            <w:r w:rsidR="00816F27">
              <w:t>Writer’s Workshop</w:t>
            </w:r>
            <w:r>
              <w:t xml:space="preserve"> </w:t>
            </w:r>
            <w:r w:rsidR="00A3017D">
              <w:t xml:space="preserve">was </w:t>
            </w:r>
            <w:r>
              <w:t>delivered</w:t>
            </w:r>
            <w:r w:rsidR="00AE4A9A">
              <w:t xml:space="preserve"> to all staff</w:t>
            </w:r>
            <w:r>
              <w:t>.</w:t>
            </w:r>
          </w:p>
          <w:p w14:paraId="2BA123D6" w14:textId="0F0ECBDC" w:rsidR="00F73969" w:rsidRDefault="00AE4A9A" w:rsidP="00FE6EE9">
            <w:pPr>
              <w:pStyle w:val="ListBullet"/>
              <w:numPr>
                <w:ilvl w:val="0"/>
                <w:numId w:val="27"/>
              </w:numPr>
              <w:tabs>
                <w:tab w:val="left" w:pos="313"/>
              </w:tabs>
            </w:pPr>
            <w:r>
              <w:t xml:space="preserve"> </w:t>
            </w:r>
            <w:r w:rsidR="00F73969">
              <w:t xml:space="preserve">‘Daily Five’ </w:t>
            </w:r>
            <w:r w:rsidR="00CB18DA">
              <w:t>continued</w:t>
            </w:r>
            <w:r w:rsidR="003116ED">
              <w:t xml:space="preserve"> </w:t>
            </w:r>
            <w:r w:rsidR="00A50C93">
              <w:t xml:space="preserve">in </w:t>
            </w:r>
            <w:r w:rsidR="00CB18DA">
              <w:t>the early childhood</w:t>
            </w:r>
            <w:r w:rsidR="00A50C93">
              <w:t xml:space="preserve"> classrooms.</w:t>
            </w:r>
          </w:p>
          <w:p w14:paraId="6A08DDF1" w14:textId="144FFE03" w:rsidR="00816F27" w:rsidRDefault="00CB18DA" w:rsidP="00FE6EE9">
            <w:pPr>
              <w:pStyle w:val="ListBullet"/>
              <w:numPr>
                <w:ilvl w:val="0"/>
                <w:numId w:val="27"/>
              </w:numPr>
              <w:tabs>
                <w:tab w:val="left" w:pos="313"/>
              </w:tabs>
            </w:pPr>
            <w:r>
              <w:t xml:space="preserve">The </w:t>
            </w:r>
            <w:r w:rsidR="00816F27">
              <w:t>‘Smart Spelling’ program demonstrat</w:t>
            </w:r>
            <w:r w:rsidR="00701DE9">
              <w:t>ed</w:t>
            </w:r>
            <w:r w:rsidR="00816F27">
              <w:t xml:space="preserve"> high effect sizes</w:t>
            </w:r>
            <w:r w:rsidR="00701DE9">
              <w:t xml:space="preserve"> when trialled in some year levels</w:t>
            </w:r>
            <w:r w:rsidR="00816F27">
              <w:t>.</w:t>
            </w:r>
          </w:p>
          <w:p w14:paraId="42086EDC" w14:textId="714FF4CF" w:rsidR="00A3017D" w:rsidRDefault="00CB18DA" w:rsidP="00A3017D">
            <w:pPr>
              <w:pStyle w:val="ListBullet"/>
              <w:numPr>
                <w:ilvl w:val="0"/>
                <w:numId w:val="27"/>
              </w:numPr>
              <w:tabs>
                <w:tab w:val="left" w:pos="313"/>
              </w:tabs>
            </w:pPr>
            <w:r>
              <w:t xml:space="preserve">The Macquarie University </w:t>
            </w:r>
            <w:r w:rsidR="00175521">
              <w:t>‘</w:t>
            </w:r>
            <w:proofErr w:type="spellStart"/>
            <w:r w:rsidR="00175521">
              <w:t>PreLit</w:t>
            </w:r>
            <w:proofErr w:type="spellEnd"/>
            <w:r w:rsidR="00175521">
              <w:t xml:space="preserve">’ program </w:t>
            </w:r>
            <w:r w:rsidR="0031037B">
              <w:t xml:space="preserve">and early childhood screening </w:t>
            </w:r>
            <w:r w:rsidR="00A3017D">
              <w:t xml:space="preserve">were </w:t>
            </w:r>
            <w:r w:rsidR="00816F27">
              <w:t>implemented</w:t>
            </w:r>
            <w:r w:rsidR="00FD091B">
              <w:t xml:space="preserve"> in preschool.</w:t>
            </w:r>
          </w:p>
          <w:p w14:paraId="69E8E9AF" w14:textId="236FADC0" w:rsidR="00A3017D" w:rsidRDefault="00701DE9" w:rsidP="00A3017D">
            <w:pPr>
              <w:pStyle w:val="ListBullet"/>
              <w:numPr>
                <w:ilvl w:val="0"/>
                <w:numId w:val="27"/>
              </w:numPr>
              <w:tabs>
                <w:tab w:val="left" w:pos="313"/>
              </w:tabs>
            </w:pPr>
            <w:r w:rsidRPr="00816F27">
              <w:t>Peer</w:t>
            </w:r>
            <w:r w:rsidR="007154A4">
              <w:t xml:space="preserve"> experts</w:t>
            </w:r>
            <w:r w:rsidR="00A3017D">
              <w:t xml:space="preserve"> </w:t>
            </w:r>
            <w:r w:rsidR="007154A4">
              <w:t xml:space="preserve">provided </w:t>
            </w:r>
            <w:r w:rsidRPr="00816F27">
              <w:t>coach</w:t>
            </w:r>
            <w:r w:rsidR="007154A4">
              <w:t>ing</w:t>
            </w:r>
            <w:r w:rsidR="00A3017D">
              <w:t xml:space="preserve"> in Scaffolding Literacy</w:t>
            </w:r>
            <w:r w:rsidR="007154A4">
              <w:t xml:space="preserve"> for interested colleagues</w:t>
            </w:r>
            <w:r w:rsidR="00A3017D">
              <w:t>.</w:t>
            </w:r>
          </w:p>
          <w:p w14:paraId="7C7EFD9B" w14:textId="5891BC12" w:rsidR="006B24F0" w:rsidRDefault="00A3017D" w:rsidP="00A3017D">
            <w:pPr>
              <w:pStyle w:val="ListBullet"/>
              <w:numPr>
                <w:ilvl w:val="0"/>
                <w:numId w:val="0"/>
              </w:numPr>
              <w:tabs>
                <w:tab w:val="left" w:pos="313"/>
              </w:tabs>
              <w:ind w:left="720"/>
            </w:pPr>
            <w:r>
              <w:lastRenderedPageBreak/>
              <w:t xml:space="preserve"> </w:t>
            </w:r>
            <w:r w:rsidR="00701DE9" w:rsidRPr="00816F27">
              <w:t xml:space="preserve"> </w:t>
            </w:r>
          </w:p>
          <w:p w14:paraId="1BB3AF9F" w14:textId="3DC52553" w:rsidR="00F46497" w:rsidRPr="00FB217A" w:rsidRDefault="006B24F0" w:rsidP="00827D47">
            <w:pPr>
              <w:pStyle w:val="ListBullet"/>
              <w:numPr>
                <w:ilvl w:val="0"/>
                <w:numId w:val="0"/>
              </w:numPr>
              <w:tabs>
                <w:tab w:val="left" w:pos="277"/>
              </w:tabs>
              <w:rPr>
                <w:rFonts w:ascii="Calibri" w:hAnsi="Calibri" w:cs="Calibri"/>
                <w:b/>
                <w:bCs/>
                <w:color w:val="000000"/>
                <w:bdr w:val="none" w:sz="0" w:space="0" w:color="auto" w:frame="1"/>
                <w:lang w:val="en-US"/>
              </w:rPr>
            </w:pPr>
            <w:r>
              <w:rPr>
                <w:b/>
                <w:bCs/>
              </w:rPr>
              <w:t>Embed</w:t>
            </w:r>
            <w:r w:rsidR="0025009B">
              <w:rPr>
                <w:b/>
                <w:bCs/>
              </w:rPr>
              <w:t>d</w:t>
            </w:r>
            <w:r w:rsidR="00827D47">
              <w:rPr>
                <w:b/>
                <w:bCs/>
              </w:rPr>
              <w:t>ing</w:t>
            </w:r>
            <w:r>
              <w:rPr>
                <w:b/>
                <w:bCs/>
              </w:rPr>
              <w:t xml:space="preserve"> </w:t>
            </w:r>
            <w:r w:rsidR="00F46497" w:rsidRPr="00F46497">
              <w:rPr>
                <w:rStyle w:val="normaltextrun"/>
                <w:rFonts w:ascii="Calibri" w:hAnsi="Calibri" w:cs="Calibri"/>
                <w:b/>
                <w:bCs/>
                <w:color w:val="000000"/>
                <w:bdr w:val="none" w:sz="0" w:space="0" w:color="auto" w:frame="1"/>
                <w:lang w:val="en-US"/>
              </w:rPr>
              <w:t>consistent use of explicit learning intentions, success criteria and personal learning goals</w:t>
            </w:r>
          </w:p>
          <w:p w14:paraId="45EC82DC" w14:textId="1C1D3995" w:rsidR="00F46497" w:rsidRDefault="0006772B" w:rsidP="00FE6EE9">
            <w:pPr>
              <w:pStyle w:val="ListBullet"/>
              <w:numPr>
                <w:ilvl w:val="0"/>
                <w:numId w:val="27"/>
              </w:numPr>
              <w:tabs>
                <w:tab w:val="left" w:pos="277"/>
              </w:tabs>
            </w:pPr>
            <w:r w:rsidRPr="0006772B">
              <w:t xml:space="preserve">Teachers </w:t>
            </w:r>
            <w:r w:rsidR="00403035">
              <w:t>s</w:t>
            </w:r>
            <w:r w:rsidR="00514FAB">
              <w:t xml:space="preserve">upported students to set </w:t>
            </w:r>
            <w:r w:rsidR="00827D47">
              <w:t>over 3,600 powerful</w:t>
            </w:r>
            <w:r w:rsidR="002178B7">
              <w:t xml:space="preserve"> </w:t>
            </w:r>
            <w:r w:rsidR="00CC78ED">
              <w:t>short-term</w:t>
            </w:r>
            <w:r w:rsidR="002178B7">
              <w:t xml:space="preserve"> </w:t>
            </w:r>
            <w:r w:rsidR="000503A2">
              <w:t xml:space="preserve">learning </w:t>
            </w:r>
            <w:r w:rsidR="00614CAD">
              <w:t xml:space="preserve">goals </w:t>
            </w:r>
            <w:r w:rsidR="000503A2">
              <w:t xml:space="preserve">in writing, </w:t>
            </w:r>
            <w:r w:rsidR="003B7748">
              <w:t>which were connected to learning intentions</w:t>
            </w:r>
            <w:r w:rsidR="00827D47">
              <w:t xml:space="preserve"> and </w:t>
            </w:r>
            <w:r w:rsidR="003B7748">
              <w:t>success criteria.</w:t>
            </w:r>
          </w:p>
          <w:p w14:paraId="0A2EAC83" w14:textId="77777777" w:rsidR="00CB18DA" w:rsidRDefault="00CB18DA" w:rsidP="00827D47">
            <w:pPr>
              <w:pStyle w:val="ListBullet"/>
              <w:numPr>
                <w:ilvl w:val="0"/>
                <w:numId w:val="0"/>
              </w:numPr>
              <w:tabs>
                <w:tab w:val="left" w:pos="277"/>
              </w:tabs>
              <w:rPr>
                <w:rStyle w:val="normaltextrun"/>
                <w:rFonts w:ascii="Calibri" w:hAnsi="Calibri" w:cs="Calibri"/>
                <w:b/>
                <w:bCs/>
                <w:color w:val="000000"/>
                <w:lang w:val="en-US"/>
              </w:rPr>
            </w:pPr>
          </w:p>
          <w:p w14:paraId="61F70026" w14:textId="493ED2ED" w:rsidR="00DB439D" w:rsidRPr="00FB217A" w:rsidRDefault="00F36E1F" w:rsidP="00827D47">
            <w:pPr>
              <w:pStyle w:val="ListBullet"/>
              <w:numPr>
                <w:ilvl w:val="0"/>
                <w:numId w:val="0"/>
              </w:numPr>
              <w:tabs>
                <w:tab w:val="left" w:pos="277"/>
              </w:tabs>
              <w:rPr>
                <w:rFonts w:ascii="Calibri" w:hAnsi="Calibri" w:cs="Calibri"/>
                <w:b/>
                <w:bCs/>
                <w:color w:val="000000"/>
                <w:lang w:val="en-US"/>
              </w:rPr>
            </w:pPr>
            <w:r w:rsidRPr="008B6B36">
              <w:rPr>
                <w:rStyle w:val="normaltextrun"/>
                <w:rFonts w:ascii="Calibri" w:hAnsi="Calibri" w:cs="Calibri"/>
                <w:b/>
                <w:bCs/>
                <w:color w:val="000000"/>
                <w:lang w:val="en-US"/>
              </w:rPr>
              <w:t>Creat</w:t>
            </w:r>
            <w:r w:rsidR="00827D47">
              <w:rPr>
                <w:rStyle w:val="normaltextrun"/>
                <w:rFonts w:ascii="Calibri" w:hAnsi="Calibri" w:cs="Calibri"/>
                <w:b/>
                <w:bCs/>
                <w:color w:val="000000"/>
                <w:lang w:val="en-US"/>
              </w:rPr>
              <w:t>ing</w:t>
            </w:r>
            <w:r w:rsidRPr="008B6B36">
              <w:rPr>
                <w:rStyle w:val="normaltextrun"/>
                <w:rFonts w:ascii="Calibri" w:hAnsi="Calibri" w:cs="Calibri"/>
                <w:b/>
                <w:bCs/>
                <w:color w:val="000000"/>
                <w:lang w:val="en-US"/>
              </w:rPr>
              <w:t xml:space="preserve"> close links between assessment, data analysis,</w:t>
            </w:r>
            <w:r w:rsidRPr="008B6B36">
              <w:rPr>
                <w:rStyle w:val="normaltextrun"/>
                <w:b/>
                <w:bCs/>
                <w:color w:val="000000"/>
              </w:rPr>
              <w:t xml:space="preserve"> feedback, </w:t>
            </w:r>
            <w:r w:rsidRPr="008B6B36">
              <w:rPr>
                <w:rStyle w:val="normaltextrun"/>
                <w:rFonts w:ascii="Calibri" w:hAnsi="Calibri" w:cs="Calibri"/>
                <w:b/>
                <w:bCs/>
                <w:color w:val="000000"/>
                <w:lang w:val="en-US"/>
              </w:rPr>
              <w:t>students’ personal learning goals and learning experiences</w:t>
            </w:r>
          </w:p>
          <w:p w14:paraId="1D1CF457" w14:textId="4C896FB0" w:rsidR="000E35D7" w:rsidRPr="00A3017D" w:rsidRDefault="00827D47" w:rsidP="00FE6EE9">
            <w:pPr>
              <w:pStyle w:val="ListBullet"/>
              <w:numPr>
                <w:ilvl w:val="0"/>
                <w:numId w:val="27"/>
              </w:numPr>
              <w:tabs>
                <w:tab w:val="left" w:pos="277"/>
              </w:tabs>
              <w:rPr>
                <w:rStyle w:val="normaltextrun"/>
              </w:rPr>
            </w:pPr>
            <w:r>
              <w:rPr>
                <w:rStyle w:val="normaltextrun"/>
                <w:rFonts w:ascii="Calibri" w:eastAsia="Calibri" w:hAnsi="Calibri" w:cs="Calibri"/>
              </w:rPr>
              <w:t>There was an o</w:t>
            </w:r>
            <w:r w:rsidR="000E35D7" w:rsidRPr="00A3017D">
              <w:rPr>
                <w:rStyle w:val="normaltextrun"/>
                <w:rFonts w:ascii="Calibri" w:eastAsia="Calibri" w:hAnsi="Calibri" w:cs="Calibri"/>
              </w:rPr>
              <w:t xml:space="preserve">ngoing staff </w:t>
            </w:r>
            <w:r w:rsidR="00A3017D">
              <w:rPr>
                <w:rStyle w:val="normaltextrun"/>
                <w:rFonts w:ascii="Calibri" w:eastAsia="Calibri" w:hAnsi="Calibri" w:cs="Calibri"/>
              </w:rPr>
              <w:t>focus on</w:t>
            </w:r>
            <w:r w:rsidR="000E35D7" w:rsidRPr="00A3017D">
              <w:rPr>
                <w:rStyle w:val="normaltextrun"/>
                <w:rFonts w:ascii="Calibri" w:eastAsia="Calibri" w:hAnsi="Calibri" w:cs="Calibri"/>
              </w:rPr>
              <w:t xml:space="preserve"> the design of effective learning plans, goal setting and measurement of success</w:t>
            </w:r>
            <w:r>
              <w:rPr>
                <w:rStyle w:val="normaltextrun"/>
                <w:rFonts w:ascii="Calibri" w:eastAsia="Calibri" w:hAnsi="Calibri" w:cs="Calibri"/>
              </w:rPr>
              <w:t>.</w:t>
            </w:r>
          </w:p>
          <w:p w14:paraId="225519E1" w14:textId="0C8781CB" w:rsidR="008B6B36" w:rsidRPr="00A3017D" w:rsidRDefault="008B6B36" w:rsidP="00FE6EE9">
            <w:pPr>
              <w:pStyle w:val="ListParagraph"/>
              <w:numPr>
                <w:ilvl w:val="0"/>
                <w:numId w:val="27"/>
              </w:numPr>
              <w:tabs>
                <w:tab w:val="left" w:pos="360"/>
              </w:tabs>
              <w:rPr>
                <w:rFonts w:ascii="Calibri" w:eastAsia="Calibri" w:hAnsi="Calibri" w:cs="Calibri"/>
                <w:lang w:val="en-US"/>
              </w:rPr>
            </w:pPr>
            <w:r w:rsidRPr="00A3017D">
              <w:t xml:space="preserve">Teachers </w:t>
            </w:r>
            <w:r w:rsidR="00827D47">
              <w:t xml:space="preserve">used the Literacy </w:t>
            </w:r>
            <w:r w:rsidR="001F6D5B">
              <w:t xml:space="preserve">Learning </w:t>
            </w:r>
            <w:r w:rsidR="00827D47">
              <w:t>Progression</w:t>
            </w:r>
            <w:r w:rsidR="00827D47">
              <w:rPr>
                <w:rStyle w:val="FootnoteReference"/>
              </w:rPr>
              <w:footnoteReference w:id="5"/>
            </w:r>
            <w:r w:rsidR="00827D47">
              <w:t xml:space="preserve"> to </w:t>
            </w:r>
            <w:r w:rsidRPr="00A3017D">
              <w:t>conference with students, feed</w:t>
            </w:r>
            <w:r w:rsidR="00CA1580" w:rsidRPr="00A3017D">
              <w:t>ing</w:t>
            </w:r>
            <w:r w:rsidRPr="00A3017D">
              <w:t xml:space="preserve"> back and feed</w:t>
            </w:r>
            <w:r w:rsidR="00CA1580" w:rsidRPr="00A3017D">
              <w:t>ing</w:t>
            </w:r>
            <w:r w:rsidRPr="00A3017D">
              <w:t xml:space="preserve"> forward.</w:t>
            </w:r>
            <w:r w:rsidR="0086318A" w:rsidRPr="00A3017D">
              <w:rPr>
                <w:rFonts w:ascii="Calibri" w:eastAsia="Calibri" w:hAnsi="Calibri" w:cs="Calibri"/>
                <w:lang w:val="en-US"/>
              </w:rPr>
              <w:t xml:space="preserve"> Students set and achieved specific realistic, measurable short-term goals in response to </w:t>
            </w:r>
            <w:r w:rsidR="00827D47">
              <w:rPr>
                <w:rFonts w:ascii="Calibri" w:eastAsia="Calibri" w:hAnsi="Calibri" w:cs="Calibri"/>
                <w:lang w:val="en-US"/>
              </w:rPr>
              <w:t xml:space="preserve">this </w:t>
            </w:r>
            <w:r w:rsidR="0086318A" w:rsidRPr="00A3017D">
              <w:rPr>
                <w:rFonts w:ascii="Calibri" w:eastAsia="Calibri" w:hAnsi="Calibri" w:cs="Calibri"/>
                <w:lang w:val="en-US"/>
              </w:rPr>
              <w:t>conferencing</w:t>
            </w:r>
            <w:r w:rsidR="00827D47">
              <w:rPr>
                <w:rFonts w:ascii="Calibri" w:eastAsia="Calibri" w:hAnsi="Calibri" w:cs="Calibri"/>
                <w:lang w:val="en-US"/>
              </w:rPr>
              <w:t xml:space="preserve"> and formative assessment</w:t>
            </w:r>
            <w:r w:rsidR="0086318A" w:rsidRPr="00A3017D">
              <w:rPr>
                <w:rFonts w:ascii="Calibri" w:eastAsia="Calibri" w:hAnsi="Calibri" w:cs="Calibri"/>
                <w:lang w:val="en-US"/>
              </w:rPr>
              <w:t>.</w:t>
            </w:r>
          </w:p>
          <w:p w14:paraId="4FDF113B" w14:textId="17E006BF" w:rsidR="00A26958" w:rsidRPr="00A3017D" w:rsidRDefault="00696697" w:rsidP="00FE6EE9">
            <w:pPr>
              <w:pStyle w:val="ListBullet"/>
              <w:numPr>
                <w:ilvl w:val="0"/>
                <w:numId w:val="27"/>
              </w:numPr>
              <w:tabs>
                <w:tab w:val="left" w:pos="277"/>
              </w:tabs>
            </w:pPr>
            <w:r w:rsidRPr="00A3017D">
              <w:t>Collaborative data inquiries</w:t>
            </w:r>
            <w:r w:rsidR="001A20A4" w:rsidRPr="00A3017D">
              <w:t xml:space="preserve"> took place in peer coaching partnerships and PLCs. </w:t>
            </w:r>
          </w:p>
          <w:p w14:paraId="7F135191" w14:textId="77777777" w:rsidR="00F01C59" w:rsidRDefault="00F01C59" w:rsidP="00F01C59">
            <w:pPr>
              <w:pStyle w:val="ListBullet"/>
              <w:numPr>
                <w:ilvl w:val="0"/>
                <w:numId w:val="0"/>
              </w:numPr>
              <w:tabs>
                <w:tab w:val="left" w:pos="277"/>
              </w:tabs>
              <w:ind w:left="29"/>
            </w:pPr>
          </w:p>
          <w:p w14:paraId="71381FF8" w14:textId="56CDE3E5" w:rsidR="00DB439D" w:rsidRPr="008D03EA" w:rsidRDefault="00F01C59" w:rsidP="00F01C59">
            <w:pPr>
              <w:pStyle w:val="ListBullet"/>
              <w:numPr>
                <w:ilvl w:val="0"/>
                <w:numId w:val="0"/>
              </w:numPr>
              <w:tabs>
                <w:tab w:val="left" w:pos="277"/>
              </w:tabs>
              <w:ind w:left="29"/>
              <w:rPr>
                <w:b/>
                <w:bCs/>
              </w:rPr>
            </w:pPr>
            <w:r w:rsidRPr="008D03EA">
              <w:rPr>
                <w:b/>
                <w:bCs/>
              </w:rPr>
              <w:t>Enhanc</w:t>
            </w:r>
            <w:r w:rsidR="00827D47">
              <w:rPr>
                <w:b/>
                <w:bCs/>
              </w:rPr>
              <w:t>ing</w:t>
            </w:r>
            <w:r w:rsidR="00FB217A" w:rsidRPr="008D03EA">
              <w:rPr>
                <w:b/>
                <w:bCs/>
              </w:rPr>
              <w:t xml:space="preserve"> teaching and learning through </w:t>
            </w:r>
            <w:r w:rsidR="00825C86" w:rsidRPr="008D03EA">
              <w:rPr>
                <w:b/>
                <w:bCs/>
              </w:rPr>
              <w:t>technology</w:t>
            </w:r>
            <w:r w:rsidRPr="008D03EA">
              <w:rPr>
                <w:b/>
                <w:bCs/>
              </w:rPr>
              <w:t xml:space="preserve"> </w:t>
            </w:r>
            <w:r w:rsidR="00DB439D" w:rsidRPr="008D03EA">
              <w:rPr>
                <w:b/>
                <w:bCs/>
              </w:rPr>
              <w:t xml:space="preserve"> </w:t>
            </w:r>
          </w:p>
          <w:p w14:paraId="6D8F17B1" w14:textId="77592371" w:rsidR="00F158B6" w:rsidRDefault="00B0119B" w:rsidP="00FE6EE9">
            <w:pPr>
              <w:pStyle w:val="ListBullet"/>
              <w:numPr>
                <w:ilvl w:val="0"/>
                <w:numId w:val="27"/>
              </w:numPr>
              <w:tabs>
                <w:tab w:val="left" w:pos="277"/>
              </w:tabs>
            </w:pPr>
            <w:r>
              <w:t>The school’s</w:t>
            </w:r>
            <w:r w:rsidR="00F423AE">
              <w:t xml:space="preserve"> </w:t>
            </w:r>
            <w:r w:rsidR="00F158B6">
              <w:t>Learning Technology Plan</w:t>
            </w:r>
            <w:r>
              <w:t xml:space="preserve"> was ratified and published.</w:t>
            </w:r>
          </w:p>
          <w:p w14:paraId="07C550F0" w14:textId="3B9CCBF9" w:rsidR="003A2ED7" w:rsidRDefault="00B0119B" w:rsidP="00FE6EE9">
            <w:pPr>
              <w:pStyle w:val="ListBullet"/>
              <w:numPr>
                <w:ilvl w:val="0"/>
                <w:numId w:val="27"/>
              </w:numPr>
              <w:tabs>
                <w:tab w:val="left" w:pos="277"/>
              </w:tabs>
            </w:pPr>
            <w:r>
              <w:t>T</w:t>
            </w:r>
            <w:r w:rsidR="00F90C7E">
              <w:t xml:space="preserve">he </w:t>
            </w:r>
            <w:r w:rsidR="00D42C1C">
              <w:t>digital peer coaching program</w:t>
            </w:r>
            <w:r>
              <w:t xml:space="preserve"> continued.</w:t>
            </w:r>
          </w:p>
          <w:p w14:paraId="48C5D032" w14:textId="6D5B9D12" w:rsidR="00DC1229" w:rsidRPr="0006772B" w:rsidRDefault="00B0119B" w:rsidP="00B0119B">
            <w:pPr>
              <w:pStyle w:val="ListBullet"/>
              <w:numPr>
                <w:ilvl w:val="0"/>
                <w:numId w:val="27"/>
              </w:numPr>
              <w:tabs>
                <w:tab w:val="left" w:pos="277"/>
              </w:tabs>
            </w:pPr>
            <w:r>
              <w:rPr>
                <w:rFonts w:ascii="Calibri" w:eastAsia="Calibri" w:hAnsi="Calibri" w:cs="Calibri"/>
                <w:lang w:val="en-US"/>
              </w:rPr>
              <w:t>Technology empowered students and parents in supporting the achievement of students’ writing goals, for example through “flipped learning”, more transparent communication of goals</w:t>
            </w:r>
            <w:r w:rsidR="00CB18DA">
              <w:rPr>
                <w:rFonts w:ascii="Calibri" w:eastAsia="Calibri" w:hAnsi="Calibri" w:cs="Calibri"/>
                <w:lang w:val="en-US"/>
              </w:rPr>
              <w:t xml:space="preserve">, </w:t>
            </w:r>
            <w:r>
              <w:rPr>
                <w:rFonts w:ascii="Calibri" w:eastAsia="Calibri" w:hAnsi="Calibri" w:cs="Calibri"/>
                <w:lang w:val="en-US"/>
              </w:rPr>
              <w:t>online conferences</w:t>
            </w:r>
            <w:r w:rsidR="00CB18DA">
              <w:rPr>
                <w:rFonts w:ascii="Calibri" w:eastAsia="Calibri" w:hAnsi="Calibri" w:cs="Calibri"/>
                <w:lang w:val="en-US"/>
              </w:rPr>
              <w:t xml:space="preserve"> and student autonomy.</w:t>
            </w:r>
            <w:r>
              <w:rPr>
                <w:rFonts w:ascii="Calibri" w:eastAsia="Calibri" w:hAnsi="Calibri" w:cs="Calibri"/>
                <w:lang w:val="en-US"/>
              </w:rPr>
              <w:t xml:space="preserve"> </w:t>
            </w:r>
          </w:p>
        </w:tc>
      </w:tr>
    </w:tbl>
    <w:p w14:paraId="6F4F8166" w14:textId="77777777" w:rsidR="005F0546" w:rsidRDefault="005F0546" w:rsidP="00937D6F">
      <w:pPr>
        <w:pStyle w:val="BodyText"/>
      </w:pPr>
    </w:p>
    <w:p w14:paraId="73AF730F" w14:textId="1D710E7A" w:rsidR="005611F4" w:rsidRPr="005611F4" w:rsidRDefault="00937D6F" w:rsidP="00E66F5B">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B74B75">
        <w:trPr>
          <w:trHeight w:val="116"/>
          <w:jc w:val="center"/>
        </w:trPr>
        <w:tc>
          <w:tcPr>
            <w:tcW w:w="9016" w:type="dxa"/>
            <w:shd w:val="clear" w:color="auto" w:fill="auto"/>
          </w:tcPr>
          <w:p w14:paraId="135FB882" w14:textId="77777777" w:rsidR="00816F27" w:rsidRDefault="008A453C" w:rsidP="00816F27">
            <w:pPr>
              <w:pStyle w:val="BodyText"/>
              <w:rPr>
                <w:b/>
              </w:rPr>
            </w:pPr>
            <w:r w:rsidRPr="00B75299">
              <w:rPr>
                <w:b/>
                <w:bCs/>
                <w:color w:val="000000" w:themeColor="text1"/>
              </w:rPr>
              <w:t>Buil</w:t>
            </w:r>
            <w:r w:rsidR="00816F27">
              <w:rPr>
                <w:b/>
                <w:bCs/>
                <w:color w:val="000000" w:themeColor="text1"/>
              </w:rPr>
              <w:t>d</w:t>
            </w:r>
            <w:r w:rsidRPr="00B75299">
              <w:rPr>
                <w:b/>
                <w:bCs/>
                <w:color w:val="000000" w:themeColor="text1"/>
              </w:rPr>
              <w:t xml:space="preserve"> teacher capacity to teach mathematics</w:t>
            </w:r>
            <w:r>
              <w:rPr>
                <w:b/>
              </w:rPr>
              <w:t xml:space="preserve"> </w:t>
            </w:r>
          </w:p>
          <w:p w14:paraId="3CDA4B79" w14:textId="3367DC40" w:rsidR="00937D6F" w:rsidRDefault="001F6D5B" w:rsidP="00816F27">
            <w:pPr>
              <w:pStyle w:val="BodyText"/>
            </w:pPr>
            <w:r>
              <w:t>We will c</w:t>
            </w:r>
            <w:r w:rsidR="00B0119B">
              <w:t>ontinue to a</w:t>
            </w:r>
            <w:r w:rsidR="00C6508C">
              <w:t xml:space="preserve">void </w:t>
            </w:r>
            <w:r w:rsidR="00282BDC">
              <w:t xml:space="preserve">competing commitments by </w:t>
            </w:r>
            <w:r w:rsidR="00F13EC3">
              <w:t>f</w:t>
            </w:r>
            <w:r w:rsidR="00EA06D6">
              <w:t>ocus</w:t>
            </w:r>
            <w:r w:rsidR="00F13EC3">
              <w:t>ing</w:t>
            </w:r>
            <w:r w:rsidR="00EA06D6">
              <w:t xml:space="preserve"> on one area at a time</w:t>
            </w:r>
            <w:r w:rsidR="00AD1615">
              <w:t xml:space="preserve">. </w:t>
            </w:r>
            <w:r w:rsidR="00396556">
              <w:t>Whilst we will continue our work on the “10 Essential Literacy Practices”, p</w:t>
            </w:r>
            <w:r w:rsidR="0055582A">
              <w:t>rofessional learning, PLC inquiries, peer coaching</w:t>
            </w:r>
            <w:r w:rsidR="0023241B">
              <w:t xml:space="preserve">, </w:t>
            </w:r>
            <w:r w:rsidR="00B13147">
              <w:t xml:space="preserve">classroom observations </w:t>
            </w:r>
            <w:r w:rsidR="0023241B">
              <w:t xml:space="preserve">and </w:t>
            </w:r>
            <w:r w:rsidR="00A121B5">
              <w:t xml:space="preserve">teacher feedback will </w:t>
            </w:r>
            <w:r w:rsidR="00AF0927">
              <w:t xml:space="preserve">prioritise </w:t>
            </w:r>
            <w:r w:rsidR="00F90C7E">
              <w:t>numeracy in 2021.</w:t>
            </w:r>
            <w:r w:rsidR="00396556">
              <w:t xml:space="preserve"> We will also:</w:t>
            </w:r>
          </w:p>
          <w:p w14:paraId="1801B72D" w14:textId="2AD41ED7" w:rsidR="00E66F5B" w:rsidRDefault="00396556" w:rsidP="00EA06D6">
            <w:pPr>
              <w:pStyle w:val="ListBullet2"/>
              <w:numPr>
                <w:ilvl w:val="0"/>
                <w:numId w:val="35"/>
              </w:numPr>
            </w:pPr>
            <w:r>
              <w:t>r</w:t>
            </w:r>
            <w:r w:rsidR="00F90C7E">
              <w:t>evisit</w:t>
            </w:r>
            <w:r w:rsidR="00E66F5B">
              <w:t xml:space="preserve"> whole school expectations </w:t>
            </w:r>
            <w:r w:rsidR="00012323">
              <w:t xml:space="preserve">regarding the teaching of </w:t>
            </w:r>
            <w:r w:rsidR="00F90C7E">
              <w:t>numeracy</w:t>
            </w:r>
            <w:r w:rsidR="00012323">
              <w:t xml:space="preserve"> </w:t>
            </w:r>
            <w:r w:rsidR="005B779F">
              <w:t xml:space="preserve">through </w:t>
            </w:r>
            <w:r w:rsidR="00F90C7E">
              <w:t>the school’s Numeracy Plan</w:t>
            </w:r>
            <w:r>
              <w:t>, and</w:t>
            </w:r>
          </w:p>
          <w:p w14:paraId="4A43F2D5" w14:textId="44247A7D" w:rsidR="00091001" w:rsidRDefault="00396556" w:rsidP="00EA06D6">
            <w:pPr>
              <w:pStyle w:val="ListBullet2"/>
              <w:numPr>
                <w:ilvl w:val="0"/>
                <w:numId w:val="35"/>
              </w:numPr>
            </w:pPr>
            <w:r>
              <w:t>m</w:t>
            </w:r>
            <w:r w:rsidR="00452B09">
              <w:t>ake a more</w:t>
            </w:r>
            <w:r w:rsidR="00091001">
              <w:t xml:space="preserve"> explicit commitment to </w:t>
            </w:r>
            <w:r w:rsidR="006F5200">
              <w:t>instructional leadership</w:t>
            </w:r>
            <w:r w:rsidR="00102A84">
              <w:t>, through</w:t>
            </w:r>
            <w:r w:rsidR="00F90C7E">
              <w:t xml:space="preserve"> peer coaching and </w:t>
            </w:r>
            <w:r w:rsidR="00102A84">
              <w:t xml:space="preserve"> </w:t>
            </w:r>
            <w:r w:rsidR="002C3146">
              <w:t xml:space="preserve">rigorous timetabling of classroom observations </w:t>
            </w:r>
            <w:r w:rsidR="002674CE">
              <w:t xml:space="preserve">and feedback </w:t>
            </w:r>
            <w:r w:rsidR="00241C4E">
              <w:t>by</w:t>
            </w:r>
            <w:r w:rsidR="002C3146">
              <w:t xml:space="preserve"> school leaders</w:t>
            </w:r>
            <w:r w:rsidR="00487A53">
              <w:t>.</w:t>
            </w:r>
          </w:p>
          <w:p w14:paraId="72FFA676" w14:textId="77777777" w:rsidR="000D6A3C" w:rsidRDefault="000D6A3C" w:rsidP="000D6A3C">
            <w:pPr>
              <w:pStyle w:val="ListBullet2"/>
              <w:numPr>
                <w:ilvl w:val="0"/>
                <w:numId w:val="0"/>
              </w:numPr>
              <w:ind w:left="714" w:hanging="357"/>
            </w:pPr>
          </w:p>
          <w:p w14:paraId="54A1F726" w14:textId="3503B23E" w:rsidR="000D6A3C" w:rsidRDefault="000D6A3C" w:rsidP="000D6A3C">
            <w:pPr>
              <w:pStyle w:val="ListBullet"/>
              <w:numPr>
                <w:ilvl w:val="0"/>
                <w:numId w:val="0"/>
              </w:numPr>
              <w:tabs>
                <w:tab w:val="left" w:pos="277"/>
              </w:tabs>
              <w:ind w:left="29"/>
              <w:rPr>
                <w:rStyle w:val="normaltextrun"/>
                <w:rFonts w:ascii="Calibri" w:hAnsi="Calibri" w:cs="Calibri"/>
                <w:b/>
                <w:bCs/>
                <w:color w:val="000000"/>
                <w:bdr w:val="none" w:sz="0" w:space="0" w:color="auto" w:frame="1"/>
                <w:lang w:val="en-US"/>
              </w:rPr>
            </w:pPr>
            <w:r>
              <w:rPr>
                <w:b/>
                <w:bCs/>
              </w:rPr>
              <w:t xml:space="preserve">Embed </w:t>
            </w:r>
            <w:r w:rsidRPr="00F46497">
              <w:rPr>
                <w:rStyle w:val="normaltextrun"/>
                <w:rFonts w:ascii="Calibri" w:hAnsi="Calibri" w:cs="Calibri"/>
                <w:b/>
                <w:bCs/>
                <w:color w:val="000000"/>
                <w:bdr w:val="none" w:sz="0" w:space="0" w:color="auto" w:frame="1"/>
                <w:lang w:val="en-US"/>
              </w:rPr>
              <w:t>consistent use of explicit learning intentions, success criteria and personal learning goals</w:t>
            </w:r>
          </w:p>
          <w:p w14:paraId="12325412" w14:textId="06DC1CE6" w:rsidR="000D6A3C" w:rsidRDefault="00BC0BF6" w:rsidP="004E7522">
            <w:pPr>
              <w:pStyle w:val="ListBullet"/>
              <w:numPr>
                <w:ilvl w:val="0"/>
                <w:numId w:val="35"/>
              </w:numPr>
              <w:tabs>
                <w:tab w:val="left" w:pos="277"/>
              </w:tabs>
              <w:rPr>
                <w:rFonts w:ascii="Calibri" w:hAnsi="Calibri" w:cs="Calibri"/>
                <w:color w:val="000000"/>
                <w:bdr w:val="none" w:sz="0" w:space="0" w:color="auto" w:frame="1"/>
                <w:lang w:val="en-US"/>
              </w:rPr>
            </w:pPr>
            <w:r w:rsidRPr="00BC0BF6">
              <w:rPr>
                <w:rFonts w:ascii="Calibri" w:hAnsi="Calibri" w:cs="Calibri"/>
                <w:color w:val="000000"/>
                <w:bdr w:val="none" w:sz="0" w:space="0" w:color="auto" w:frame="1"/>
                <w:lang w:val="en-US"/>
              </w:rPr>
              <w:t xml:space="preserve">Peer coaches </w:t>
            </w:r>
            <w:r>
              <w:rPr>
                <w:rFonts w:ascii="Calibri" w:hAnsi="Calibri" w:cs="Calibri"/>
                <w:color w:val="000000"/>
                <w:bdr w:val="none" w:sz="0" w:space="0" w:color="auto" w:frame="1"/>
                <w:lang w:val="en-US"/>
              </w:rPr>
              <w:t xml:space="preserve">and instructional leaders </w:t>
            </w:r>
            <w:r w:rsidR="00396556">
              <w:rPr>
                <w:rFonts w:ascii="Calibri" w:hAnsi="Calibri" w:cs="Calibri"/>
                <w:color w:val="000000"/>
                <w:bdr w:val="none" w:sz="0" w:space="0" w:color="auto" w:frame="1"/>
                <w:lang w:val="en-US"/>
              </w:rPr>
              <w:t xml:space="preserve">will be expected to </w:t>
            </w:r>
            <w:r w:rsidR="006868F4">
              <w:rPr>
                <w:rFonts w:ascii="Calibri" w:hAnsi="Calibri" w:cs="Calibri"/>
                <w:color w:val="000000"/>
                <w:bdr w:val="none" w:sz="0" w:space="0" w:color="auto" w:frame="1"/>
                <w:lang w:val="en-US"/>
              </w:rPr>
              <w:t xml:space="preserve">pay greater attention to </w:t>
            </w:r>
            <w:r w:rsidR="00396556">
              <w:rPr>
                <w:rFonts w:ascii="Calibri" w:hAnsi="Calibri" w:cs="Calibri"/>
                <w:color w:val="000000"/>
                <w:bdr w:val="none" w:sz="0" w:space="0" w:color="auto" w:frame="1"/>
                <w:lang w:val="en-US"/>
              </w:rPr>
              <w:t xml:space="preserve">the </w:t>
            </w:r>
            <w:r w:rsidR="00E07D25">
              <w:rPr>
                <w:rFonts w:ascii="Calibri" w:hAnsi="Calibri" w:cs="Calibri"/>
                <w:color w:val="000000"/>
                <w:bdr w:val="none" w:sz="0" w:space="0" w:color="auto" w:frame="1"/>
                <w:lang w:val="en-US"/>
              </w:rPr>
              <w:t>consisten</w:t>
            </w:r>
            <w:r w:rsidR="00B124A6">
              <w:rPr>
                <w:rFonts w:ascii="Calibri" w:hAnsi="Calibri" w:cs="Calibri"/>
                <w:color w:val="000000"/>
                <w:bdr w:val="none" w:sz="0" w:space="0" w:color="auto" w:frame="1"/>
                <w:lang w:val="en-US"/>
              </w:rPr>
              <w:t>t use</w:t>
            </w:r>
            <w:r w:rsidR="002F3D91">
              <w:rPr>
                <w:rFonts w:ascii="Calibri" w:hAnsi="Calibri" w:cs="Calibri"/>
                <w:color w:val="000000"/>
                <w:bdr w:val="none" w:sz="0" w:space="0" w:color="auto" w:frame="1"/>
                <w:lang w:val="en-US"/>
              </w:rPr>
              <w:t xml:space="preserve"> </w:t>
            </w:r>
            <w:r w:rsidR="00396556">
              <w:rPr>
                <w:rFonts w:ascii="Calibri" w:hAnsi="Calibri" w:cs="Calibri"/>
                <w:color w:val="000000"/>
                <w:bdr w:val="none" w:sz="0" w:space="0" w:color="auto" w:frame="1"/>
                <w:lang w:val="en-US"/>
              </w:rPr>
              <w:t xml:space="preserve">of </w:t>
            </w:r>
            <w:r w:rsidR="002F3D91">
              <w:rPr>
                <w:rFonts w:ascii="Calibri" w:hAnsi="Calibri" w:cs="Calibri"/>
                <w:color w:val="000000"/>
                <w:bdr w:val="none" w:sz="0" w:space="0" w:color="auto" w:frame="1"/>
                <w:lang w:val="en-US"/>
              </w:rPr>
              <w:t xml:space="preserve">and </w:t>
            </w:r>
            <w:r w:rsidR="00467C8A">
              <w:rPr>
                <w:rFonts w:ascii="Calibri" w:hAnsi="Calibri" w:cs="Calibri"/>
                <w:color w:val="000000"/>
                <w:bdr w:val="none" w:sz="0" w:space="0" w:color="auto" w:frame="1"/>
                <w:lang w:val="en-US"/>
              </w:rPr>
              <w:t xml:space="preserve">support teachers to make </w:t>
            </w:r>
            <w:r w:rsidR="002F3D91">
              <w:rPr>
                <w:rFonts w:ascii="Calibri" w:hAnsi="Calibri" w:cs="Calibri"/>
                <w:color w:val="000000"/>
                <w:bdr w:val="none" w:sz="0" w:space="0" w:color="auto" w:frame="1"/>
                <w:lang w:val="en-US"/>
              </w:rPr>
              <w:t xml:space="preserve">links between formative assessment and students’ learning goals. </w:t>
            </w:r>
          </w:p>
          <w:p w14:paraId="21501890" w14:textId="372FF511" w:rsidR="00F372ED" w:rsidRPr="004E7522" w:rsidRDefault="00396556" w:rsidP="004E7522">
            <w:pPr>
              <w:pStyle w:val="ListBullet"/>
              <w:numPr>
                <w:ilvl w:val="0"/>
                <w:numId w:val="35"/>
              </w:numPr>
              <w:tabs>
                <w:tab w:val="left" w:pos="277"/>
              </w:tabs>
              <w:rPr>
                <w:rFonts w:ascii="Calibri" w:hAnsi="Calibri" w:cs="Calibri"/>
                <w:color w:val="000000"/>
                <w:bdr w:val="none" w:sz="0" w:space="0" w:color="auto" w:frame="1"/>
                <w:lang w:val="en-US"/>
              </w:rPr>
            </w:pPr>
            <w:r>
              <w:rPr>
                <w:rFonts w:ascii="Calibri" w:hAnsi="Calibri" w:cs="Calibri"/>
                <w:color w:val="000000"/>
                <w:bdr w:val="none" w:sz="0" w:space="0" w:color="auto" w:frame="1"/>
                <w:lang w:val="en-US"/>
              </w:rPr>
              <w:t>T</w:t>
            </w:r>
            <w:r w:rsidR="002E447A">
              <w:rPr>
                <w:rFonts w:ascii="Calibri" w:hAnsi="Calibri" w:cs="Calibri"/>
                <w:color w:val="000000"/>
                <w:bdr w:val="none" w:sz="0" w:space="0" w:color="auto" w:frame="1"/>
                <w:lang w:val="en-US"/>
              </w:rPr>
              <w:t xml:space="preserve">eachers </w:t>
            </w:r>
            <w:r>
              <w:rPr>
                <w:rFonts w:ascii="Calibri" w:hAnsi="Calibri" w:cs="Calibri"/>
                <w:color w:val="000000"/>
                <w:bdr w:val="none" w:sz="0" w:space="0" w:color="auto" w:frame="1"/>
                <w:lang w:val="en-US"/>
              </w:rPr>
              <w:t xml:space="preserve">will be supported </w:t>
            </w:r>
            <w:r w:rsidR="002E447A">
              <w:rPr>
                <w:rFonts w:ascii="Calibri" w:hAnsi="Calibri" w:cs="Calibri"/>
                <w:color w:val="000000"/>
                <w:bdr w:val="none" w:sz="0" w:space="0" w:color="auto" w:frame="1"/>
                <w:lang w:val="en-US"/>
              </w:rPr>
              <w:t xml:space="preserve">to </w:t>
            </w:r>
            <w:r w:rsidR="00A317FE">
              <w:rPr>
                <w:rFonts w:ascii="Calibri" w:hAnsi="Calibri" w:cs="Calibri"/>
                <w:color w:val="000000"/>
                <w:bdr w:val="none" w:sz="0" w:space="0" w:color="auto" w:frame="1"/>
                <w:lang w:val="en-US"/>
              </w:rPr>
              <w:t xml:space="preserve">set </w:t>
            </w:r>
            <w:r w:rsidR="006566D1">
              <w:rPr>
                <w:rFonts w:ascii="Calibri" w:hAnsi="Calibri" w:cs="Calibri"/>
                <w:color w:val="000000"/>
                <w:bdr w:val="none" w:sz="0" w:space="0" w:color="auto" w:frame="1"/>
                <w:lang w:val="en-US"/>
              </w:rPr>
              <w:t xml:space="preserve">appropriate </w:t>
            </w:r>
            <w:r w:rsidR="00520754">
              <w:rPr>
                <w:rFonts w:ascii="Calibri" w:hAnsi="Calibri" w:cs="Calibri"/>
                <w:color w:val="000000"/>
                <w:bdr w:val="none" w:sz="0" w:space="0" w:color="auto" w:frame="1"/>
                <w:lang w:val="en-US"/>
              </w:rPr>
              <w:t>learning goals</w:t>
            </w:r>
            <w:r>
              <w:rPr>
                <w:rFonts w:ascii="Calibri" w:hAnsi="Calibri" w:cs="Calibri"/>
                <w:color w:val="000000"/>
                <w:bdr w:val="none" w:sz="0" w:space="0" w:color="auto" w:frame="1"/>
                <w:lang w:val="en-US"/>
              </w:rPr>
              <w:t xml:space="preserve"> with students</w:t>
            </w:r>
            <w:r w:rsidR="00520754">
              <w:rPr>
                <w:rFonts w:ascii="Calibri" w:hAnsi="Calibri" w:cs="Calibri"/>
                <w:color w:val="000000"/>
                <w:bdr w:val="none" w:sz="0" w:space="0" w:color="auto" w:frame="1"/>
                <w:lang w:val="en-US"/>
              </w:rPr>
              <w:t xml:space="preserve"> through </w:t>
            </w:r>
            <w:r w:rsidR="00816F27">
              <w:rPr>
                <w:rFonts w:ascii="Calibri" w:hAnsi="Calibri" w:cs="Calibri"/>
                <w:color w:val="000000"/>
                <w:bdr w:val="none" w:sz="0" w:space="0" w:color="auto" w:frame="1"/>
                <w:lang w:val="en-US"/>
              </w:rPr>
              <w:t xml:space="preserve">ongoing </w:t>
            </w:r>
            <w:proofErr w:type="spellStart"/>
            <w:r w:rsidR="00520754">
              <w:rPr>
                <w:rFonts w:ascii="Calibri" w:hAnsi="Calibri" w:cs="Calibri"/>
                <w:color w:val="000000"/>
                <w:bdr w:val="none" w:sz="0" w:space="0" w:color="auto" w:frame="1"/>
                <w:lang w:val="en-US"/>
              </w:rPr>
              <w:t>familiar</w:t>
            </w:r>
            <w:r w:rsidR="00782C70">
              <w:rPr>
                <w:rFonts w:ascii="Calibri" w:hAnsi="Calibri" w:cs="Calibri"/>
                <w:color w:val="000000"/>
                <w:bdr w:val="none" w:sz="0" w:space="0" w:color="auto" w:frame="1"/>
                <w:lang w:val="en-US"/>
              </w:rPr>
              <w:t>is</w:t>
            </w:r>
            <w:r w:rsidR="00520754">
              <w:rPr>
                <w:rFonts w:ascii="Calibri" w:hAnsi="Calibri" w:cs="Calibri"/>
                <w:color w:val="000000"/>
                <w:bdr w:val="none" w:sz="0" w:space="0" w:color="auto" w:frame="1"/>
                <w:lang w:val="en-US"/>
              </w:rPr>
              <w:t>ation</w:t>
            </w:r>
            <w:proofErr w:type="spellEnd"/>
            <w:r w:rsidR="00520754">
              <w:rPr>
                <w:rFonts w:ascii="Calibri" w:hAnsi="Calibri" w:cs="Calibri"/>
                <w:color w:val="000000"/>
                <w:bdr w:val="none" w:sz="0" w:space="0" w:color="auto" w:frame="1"/>
                <w:lang w:val="en-US"/>
              </w:rPr>
              <w:t xml:space="preserve"> with </w:t>
            </w:r>
            <w:r w:rsidR="00782C70">
              <w:rPr>
                <w:rFonts w:ascii="Calibri" w:hAnsi="Calibri" w:cs="Calibri"/>
                <w:color w:val="000000"/>
                <w:bdr w:val="none" w:sz="0" w:space="0" w:color="auto" w:frame="1"/>
                <w:lang w:val="en-US"/>
              </w:rPr>
              <w:t xml:space="preserve">the </w:t>
            </w:r>
            <w:r w:rsidR="00816F27">
              <w:rPr>
                <w:rFonts w:ascii="Calibri" w:hAnsi="Calibri" w:cs="Calibri"/>
                <w:color w:val="000000"/>
                <w:bdr w:val="none" w:sz="0" w:space="0" w:color="auto" w:frame="1"/>
                <w:lang w:val="en-US"/>
              </w:rPr>
              <w:t>N</w:t>
            </w:r>
            <w:r w:rsidR="00782C70">
              <w:rPr>
                <w:rFonts w:ascii="Calibri" w:hAnsi="Calibri" w:cs="Calibri"/>
                <w:color w:val="000000"/>
                <w:bdr w:val="none" w:sz="0" w:space="0" w:color="auto" w:frame="1"/>
                <w:lang w:val="en-US"/>
              </w:rPr>
              <w:t xml:space="preserve">umeracy </w:t>
            </w:r>
            <w:r>
              <w:rPr>
                <w:rFonts w:ascii="Calibri" w:hAnsi="Calibri" w:cs="Calibri"/>
                <w:color w:val="000000"/>
                <w:bdr w:val="none" w:sz="0" w:space="0" w:color="auto" w:frame="1"/>
                <w:lang w:val="en-US"/>
              </w:rPr>
              <w:t xml:space="preserve">Learning </w:t>
            </w:r>
            <w:r w:rsidR="00816F27">
              <w:rPr>
                <w:rFonts w:ascii="Calibri" w:hAnsi="Calibri" w:cs="Calibri"/>
                <w:color w:val="000000"/>
                <w:bdr w:val="none" w:sz="0" w:space="0" w:color="auto" w:frame="1"/>
                <w:lang w:val="en-US"/>
              </w:rPr>
              <w:t>P</w:t>
            </w:r>
            <w:r w:rsidR="00782C70">
              <w:rPr>
                <w:rFonts w:ascii="Calibri" w:hAnsi="Calibri" w:cs="Calibri"/>
                <w:color w:val="000000"/>
                <w:bdr w:val="none" w:sz="0" w:space="0" w:color="auto" w:frame="1"/>
                <w:lang w:val="en-US"/>
              </w:rPr>
              <w:t>rogression</w:t>
            </w:r>
            <w:r w:rsidR="001F6D5B">
              <w:rPr>
                <w:rStyle w:val="FootnoteReference"/>
                <w:rFonts w:ascii="Calibri" w:hAnsi="Calibri" w:cs="Calibri"/>
                <w:color w:val="000000"/>
                <w:bdr w:val="none" w:sz="0" w:space="0" w:color="auto" w:frame="1"/>
                <w:lang w:val="en-US"/>
              </w:rPr>
              <w:footnoteReference w:id="6"/>
            </w:r>
            <w:r w:rsidR="00782C70">
              <w:rPr>
                <w:rFonts w:ascii="Calibri" w:hAnsi="Calibri" w:cs="Calibri"/>
                <w:color w:val="000000"/>
                <w:bdr w:val="none" w:sz="0" w:space="0" w:color="auto" w:frame="1"/>
                <w:lang w:val="en-US"/>
              </w:rPr>
              <w:t xml:space="preserve">. </w:t>
            </w:r>
          </w:p>
        </w:tc>
      </w:tr>
    </w:tbl>
    <w:p w14:paraId="2EA0F1D3" w14:textId="6EA5B8BE" w:rsidR="006D2F6B" w:rsidRDefault="006D2F6B">
      <w:pPr>
        <w:rPr>
          <w:b/>
        </w:rPr>
      </w:pPr>
    </w:p>
    <w:p w14:paraId="66AD3EF1" w14:textId="1F548F60" w:rsidR="00CB18DA" w:rsidRDefault="00CB18DA">
      <w:pPr>
        <w:rPr>
          <w:b/>
        </w:rPr>
      </w:pPr>
    </w:p>
    <w:p w14:paraId="0A0D17F7" w14:textId="77777777" w:rsidR="00CB18DA" w:rsidRDefault="00CB18DA">
      <w:pPr>
        <w:rPr>
          <w:b/>
        </w:rPr>
      </w:pPr>
    </w:p>
    <w:p w14:paraId="6F6A05B7" w14:textId="45F34627" w:rsidR="00EB70CE" w:rsidRPr="000F0410" w:rsidRDefault="00EB70CE" w:rsidP="00271E82">
      <w:pPr>
        <w:pStyle w:val="Heading2"/>
        <w:tabs>
          <w:tab w:val="clear" w:pos="2410"/>
          <w:tab w:val="left" w:pos="1276"/>
        </w:tabs>
        <w:ind w:left="1276" w:hanging="1276"/>
        <w:rPr>
          <w:color w:val="auto"/>
        </w:rPr>
      </w:pPr>
      <w:r w:rsidRPr="000F0410">
        <w:lastRenderedPageBreak/>
        <w:t xml:space="preserve">Priority </w:t>
      </w:r>
      <w:r>
        <w:t>2</w:t>
      </w:r>
      <w:r w:rsidRPr="000F0410">
        <w:t>:</w:t>
      </w:r>
      <w:r w:rsidR="00271E82">
        <w:rPr>
          <w:color w:val="auto"/>
        </w:rPr>
        <w:t xml:space="preserve"> </w:t>
      </w:r>
      <w:r w:rsidR="00347161">
        <w:rPr>
          <w:color w:val="auto"/>
        </w:rPr>
        <w:t>To d</w:t>
      </w:r>
      <w:r w:rsidR="00271E82">
        <w:rPr>
          <w:color w:val="auto"/>
        </w:rPr>
        <w:t xml:space="preserve">evelop an </w:t>
      </w:r>
      <w:r w:rsidR="00347161">
        <w:rPr>
          <w:color w:val="auto"/>
        </w:rPr>
        <w:t>expert teaching team</w:t>
      </w:r>
    </w:p>
    <w:p w14:paraId="516A240E" w14:textId="77777777" w:rsidR="00EB70CE" w:rsidRPr="00837137" w:rsidRDefault="00EB70CE" w:rsidP="00EB70CE">
      <w:pPr>
        <w:pStyle w:val="Heading3"/>
      </w:pPr>
      <w:r w:rsidRPr="00837137">
        <w:t>Targets or measures</w:t>
      </w:r>
    </w:p>
    <w:p w14:paraId="596D50E3" w14:textId="77777777" w:rsidR="003939FE" w:rsidRDefault="003939FE" w:rsidP="003939FE">
      <w:pPr>
        <w:pStyle w:val="BodyText"/>
      </w:pPr>
      <w:r>
        <w:t>By the end of 2020 we will achieve the following.</w:t>
      </w:r>
    </w:p>
    <w:p w14:paraId="51C50B00" w14:textId="77777777" w:rsidR="003939FE" w:rsidRDefault="003939FE" w:rsidP="003939FE">
      <w:pPr>
        <w:pStyle w:val="NoSpacing"/>
        <w:numPr>
          <w:ilvl w:val="0"/>
          <w:numId w:val="21"/>
        </w:numPr>
        <w:tabs>
          <w:tab w:val="left" w:pos="284"/>
        </w:tabs>
        <w:ind w:left="0" w:firstLine="0"/>
        <w:rPr>
          <w:lang w:eastAsia="ja-JP"/>
        </w:rPr>
      </w:pPr>
      <w:r w:rsidRPr="006068B7">
        <w:rPr>
          <w:lang w:eastAsia="ja-JP"/>
        </w:rPr>
        <w:t>100% of staff demonstrate improvement in individual teaching practice against the National Teacher Quality Standards</w:t>
      </w:r>
      <w:r>
        <w:rPr>
          <w:lang w:eastAsia="ja-JP"/>
        </w:rPr>
        <w:t xml:space="preserve"> (Data collection tool: staff self-assessment against Classroom Practice Continuum).</w:t>
      </w:r>
    </w:p>
    <w:p w14:paraId="0F43E67B" w14:textId="77777777" w:rsidR="003939FE" w:rsidRDefault="003939FE" w:rsidP="003939FE">
      <w:pPr>
        <w:pStyle w:val="NoSpacing"/>
        <w:numPr>
          <w:ilvl w:val="0"/>
          <w:numId w:val="21"/>
        </w:numPr>
        <w:tabs>
          <w:tab w:val="left" w:pos="284"/>
        </w:tabs>
        <w:ind w:left="0" w:firstLine="0"/>
        <w:rPr>
          <w:lang w:eastAsia="ja-JP"/>
        </w:rPr>
      </w:pPr>
      <w:r w:rsidRPr="006068B7">
        <w:rPr>
          <w:lang w:eastAsia="ja-JP"/>
        </w:rPr>
        <w:t xml:space="preserve">95% of staff agree/strongly agree that </w:t>
      </w:r>
      <w:r w:rsidRPr="000914FB">
        <w:rPr>
          <w:i/>
          <w:lang w:eastAsia="ja-JP"/>
        </w:rPr>
        <w:t>the school's instructional leadership model effectively supports quality teaching</w:t>
      </w:r>
      <w:r>
        <w:rPr>
          <w:i/>
          <w:lang w:eastAsia="ja-JP"/>
        </w:rPr>
        <w:t xml:space="preserve"> (</w:t>
      </w:r>
      <w:r>
        <w:rPr>
          <w:lang w:eastAsia="ja-JP"/>
        </w:rPr>
        <w:t xml:space="preserve">Data collection tool: </w:t>
      </w:r>
      <w:r w:rsidRPr="006068B7">
        <w:rPr>
          <w:lang w:eastAsia="ja-JP"/>
        </w:rPr>
        <w:t>School Survey)</w:t>
      </w:r>
      <w:r>
        <w:rPr>
          <w:lang w:eastAsia="ja-JP"/>
        </w:rPr>
        <w:t>.</w:t>
      </w:r>
    </w:p>
    <w:p w14:paraId="3AEDAA3E" w14:textId="77777777" w:rsidR="003939FE" w:rsidRDefault="003939FE" w:rsidP="003939FE">
      <w:pPr>
        <w:pStyle w:val="NoSpacing"/>
        <w:numPr>
          <w:ilvl w:val="0"/>
          <w:numId w:val="21"/>
        </w:numPr>
        <w:tabs>
          <w:tab w:val="left" w:pos="284"/>
        </w:tabs>
        <w:ind w:left="0" w:firstLine="0"/>
        <w:rPr>
          <w:lang w:eastAsia="ja-JP"/>
        </w:rPr>
      </w:pPr>
      <w:r w:rsidRPr="006068B7">
        <w:rPr>
          <w:lang w:eastAsia="ja-JP"/>
        </w:rPr>
        <w:t xml:space="preserve">100% of executive staff agree/strongly agree that </w:t>
      </w:r>
      <w:r w:rsidRPr="000914FB">
        <w:rPr>
          <w:i/>
          <w:lang w:eastAsia="ja-JP"/>
        </w:rPr>
        <w:t xml:space="preserve">the school's instructional leadership model effectively supports quality teaching </w:t>
      </w:r>
      <w:r>
        <w:rPr>
          <w:i/>
          <w:lang w:eastAsia="ja-JP"/>
        </w:rPr>
        <w:t>(</w:t>
      </w:r>
      <w:r>
        <w:rPr>
          <w:lang w:eastAsia="ja-JP"/>
        </w:rPr>
        <w:t xml:space="preserve">Data collection tool: </w:t>
      </w:r>
      <w:r w:rsidRPr="006068B7">
        <w:rPr>
          <w:lang w:eastAsia="ja-JP"/>
        </w:rPr>
        <w:t>School Survey)</w:t>
      </w:r>
      <w:r>
        <w:rPr>
          <w:lang w:eastAsia="ja-JP"/>
        </w:rPr>
        <w:t>.</w:t>
      </w:r>
    </w:p>
    <w:p w14:paraId="4AA8D0C8" w14:textId="77777777" w:rsidR="003939FE" w:rsidRDefault="003939FE" w:rsidP="003939FE">
      <w:pPr>
        <w:pStyle w:val="NoSpacing"/>
        <w:numPr>
          <w:ilvl w:val="0"/>
          <w:numId w:val="21"/>
        </w:numPr>
        <w:tabs>
          <w:tab w:val="left" w:pos="284"/>
        </w:tabs>
        <w:ind w:left="0" w:firstLine="0"/>
        <w:rPr>
          <w:lang w:eastAsia="ja-JP"/>
        </w:rPr>
      </w:pPr>
      <w:r w:rsidRPr="006068B7">
        <w:rPr>
          <w:lang w:eastAsia="ja-JP"/>
        </w:rPr>
        <w:t xml:space="preserve">90% of staff agree/strongly agree that they </w:t>
      </w:r>
      <w:r w:rsidRPr="00C807E7">
        <w:rPr>
          <w:i/>
          <w:lang w:eastAsia="ja-JP"/>
        </w:rPr>
        <w:t xml:space="preserve">get useful feedback about their performance </w:t>
      </w:r>
      <w:r>
        <w:rPr>
          <w:i/>
          <w:lang w:eastAsia="ja-JP"/>
        </w:rPr>
        <w:t>(</w:t>
      </w:r>
      <w:r>
        <w:rPr>
          <w:lang w:eastAsia="ja-JP"/>
        </w:rPr>
        <w:t xml:space="preserve">Data collection tool: </w:t>
      </w:r>
      <w:r w:rsidRPr="006068B7">
        <w:rPr>
          <w:lang w:eastAsia="ja-JP"/>
        </w:rPr>
        <w:t>S</w:t>
      </w:r>
      <w:r>
        <w:rPr>
          <w:lang w:eastAsia="ja-JP"/>
        </w:rPr>
        <w:t>ystem Satisfaction</w:t>
      </w:r>
      <w:r w:rsidRPr="006068B7">
        <w:rPr>
          <w:lang w:eastAsia="ja-JP"/>
        </w:rPr>
        <w:t xml:space="preserve"> Survey)</w:t>
      </w:r>
      <w:r w:rsidRPr="00C807E7">
        <w:rPr>
          <w:i/>
          <w:lang w:eastAsia="ja-JP"/>
        </w:rPr>
        <w:t xml:space="preserve">. </w:t>
      </w:r>
    </w:p>
    <w:p w14:paraId="495E74B4" w14:textId="77777777" w:rsidR="003939FE" w:rsidRDefault="003939FE" w:rsidP="003939FE">
      <w:pPr>
        <w:pStyle w:val="NoSpacing"/>
        <w:tabs>
          <w:tab w:val="left" w:pos="284"/>
        </w:tabs>
        <w:rPr>
          <w:lang w:eastAsia="ja-JP"/>
        </w:rPr>
      </w:pPr>
    </w:p>
    <w:p w14:paraId="47AFF462" w14:textId="68803420" w:rsidR="003939FE" w:rsidRPr="00373DC0" w:rsidRDefault="003939FE" w:rsidP="003939FE">
      <w:pPr>
        <w:pStyle w:val="NoSpacing"/>
        <w:tabs>
          <w:tab w:val="left" w:pos="284"/>
        </w:tabs>
      </w:pPr>
      <w:r w:rsidRPr="00373DC0">
        <w:t>In 20</w:t>
      </w:r>
      <w:r w:rsidR="00CB18DA">
        <w:t>20</w:t>
      </w:r>
      <w:r>
        <w:t xml:space="preserve"> </w:t>
      </w:r>
      <w:r w:rsidRPr="00373DC0">
        <w:t xml:space="preserve">we </w:t>
      </w:r>
      <w:r>
        <w:t>implemented</w:t>
      </w:r>
      <w:r w:rsidRPr="00373DC0">
        <w:t xml:space="preserve"> this priority throug</w:t>
      </w:r>
      <w:r>
        <w:t xml:space="preserve">h the following </w:t>
      </w:r>
      <w:r w:rsidRPr="00373DC0">
        <w:t>strategies</w:t>
      </w:r>
      <w:r w:rsidR="000D3BBA">
        <w:t>:</w:t>
      </w:r>
    </w:p>
    <w:p w14:paraId="443F2905" w14:textId="2C051E81" w:rsidR="003939FE" w:rsidRPr="00121BE2" w:rsidRDefault="00527D7F" w:rsidP="003939FE">
      <w:pPr>
        <w:pStyle w:val="ListBullet"/>
      </w:pPr>
      <w:r w:rsidRPr="00121BE2">
        <w:rPr>
          <w:rFonts w:eastAsia="MS Mincho" w:cs="Calibri"/>
          <w:lang w:eastAsia="ja-JP"/>
        </w:rPr>
        <w:t>de</w:t>
      </w:r>
      <w:r w:rsidR="003939FE" w:rsidRPr="00121BE2">
        <w:rPr>
          <w:rFonts w:eastAsia="MS Mincho" w:cs="Calibri"/>
          <w:lang w:eastAsia="ja-JP"/>
        </w:rPr>
        <w:t>velop</w:t>
      </w:r>
      <w:r w:rsidR="003939FE">
        <w:rPr>
          <w:rFonts w:eastAsia="MS Mincho" w:cs="Calibri"/>
          <w:lang w:eastAsia="ja-JP"/>
        </w:rPr>
        <w:t>ing</w:t>
      </w:r>
      <w:r w:rsidR="003939FE" w:rsidRPr="00121BE2">
        <w:rPr>
          <w:rFonts w:eastAsia="MS Mincho" w:cs="Calibri"/>
          <w:lang w:eastAsia="ja-JP"/>
        </w:rPr>
        <w:t xml:space="preserve"> the leadership team’s understanding of the application of Growth/Cognitive Coaching within a school performance management framework</w:t>
      </w:r>
      <w:r w:rsidR="003939FE" w:rsidRPr="00121BE2">
        <w:t xml:space="preserve"> </w:t>
      </w:r>
    </w:p>
    <w:p w14:paraId="4615815A" w14:textId="1234A963" w:rsidR="003939FE" w:rsidRPr="00121BE2" w:rsidRDefault="000D3BBA" w:rsidP="003939FE">
      <w:pPr>
        <w:pStyle w:val="ListBullet"/>
      </w:pPr>
      <w:r w:rsidRPr="00121BE2">
        <w:rPr>
          <w:rFonts w:eastAsia="MS Mincho" w:cs="Calibri"/>
          <w:lang w:eastAsia="ja-JP"/>
        </w:rPr>
        <w:t>embed</w:t>
      </w:r>
      <w:r>
        <w:rPr>
          <w:rFonts w:eastAsia="MS Mincho" w:cs="Calibri"/>
          <w:lang w:eastAsia="ja-JP"/>
        </w:rPr>
        <w:t>ding</w:t>
      </w:r>
      <w:r w:rsidRPr="00121BE2">
        <w:rPr>
          <w:rFonts w:eastAsia="MS Mincho" w:cs="Calibri"/>
          <w:lang w:eastAsia="ja-JP"/>
        </w:rPr>
        <w:t xml:space="preserve"> instructional leadership structures and processes that build professional capacity</w:t>
      </w:r>
      <w:r>
        <w:rPr>
          <w:rFonts w:eastAsia="MS Mincho" w:cs="Calibri"/>
          <w:lang w:eastAsia="ja-JP"/>
        </w:rPr>
        <w:t xml:space="preserve"> and</w:t>
      </w:r>
      <w:r w:rsidRPr="00121BE2">
        <w:t xml:space="preserve"> </w:t>
      </w:r>
    </w:p>
    <w:p w14:paraId="13F17F2B" w14:textId="219A002A" w:rsidR="00EB70CE" w:rsidRDefault="000D3BBA" w:rsidP="003939FE">
      <w:pPr>
        <w:pStyle w:val="ListBullet"/>
      </w:pPr>
      <w:r w:rsidRPr="00121BE2">
        <w:rPr>
          <w:rFonts w:eastAsia="MS Mincho" w:cs="Calibri"/>
          <w:lang w:eastAsia="ja-JP"/>
        </w:rPr>
        <w:t>develop</w:t>
      </w:r>
      <w:r>
        <w:rPr>
          <w:rFonts w:eastAsia="MS Mincho" w:cs="Calibri"/>
          <w:lang w:eastAsia="ja-JP"/>
        </w:rPr>
        <w:t>ing</w:t>
      </w:r>
      <w:r w:rsidR="003939FE" w:rsidRPr="00121BE2">
        <w:rPr>
          <w:rFonts w:eastAsia="MS Mincho" w:cs="Calibri"/>
          <w:lang w:eastAsia="ja-JP"/>
        </w:rPr>
        <w:t xml:space="preserve"> teacher expertise in peer coaching, mentoring and feedback to build professional capacity</w:t>
      </w:r>
      <w:r w:rsidR="003939FE">
        <w:rPr>
          <w:rFonts w:eastAsia="MS Mincho" w:cs="Calibri"/>
          <w:lang w:eastAsia="ja-JP"/>
        </w:rPr>
        <w:t>.</w:t>
      </w:r>
    </w:p>
    <w:p w14:paraId="32A84660" w14:textId="58242043" w:rsidR="00EB70CE" w:rsidRDefault="00EB70CE" w:rsidP="00EB70CE">
      <w:pPr>
        <w:pStyle w:val="PlainText"/>
        <w:rPr>
          <w:noProof/>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09009ABF" w14:textId="77777777" w:rsidR="005F0546" w:rsidRPr="00997CD0" w:rsidRDefault="005F0546" w:rsidP="00EB70CE">
      <w:pPr>
        <w:pStyle w:val="PlainText"/>
        <w:rPr>
          <w:i/>
        </w:rPr>
      </w:pPr>
    </w:p>
    <w:p w14:paraId="6178CFB3" w14:textId="669963C6" w:rsidR="001064A4" w:rsidRDefault="00EB70CE" w:rsidP="00146BD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1064A4" w14:paraId="6A4BA93A" w14:textId="77777777" w:rsidTr="00B74B75">
        <w:trPr>
          <w:jc w:val="center"/>
        </w:trPr>
        <w:tc>
          <w:tcPr>
            <w:tcW w:w="4297" w:type="dxa"/>
            <w:shd w:val="clear" w:color="auto" w:fill="auto"/>
          </w:tcPr>
          <w:p w14:paraId="2DBD9124" w14:textId="77777777" w:rsidR="001064A4" w:rsidRPr="006D2F6B" w:rsidRDefault="001064A4" w:rsidP="00B74B75">
            <w:pPr>
              <w:rPr>
                <w:b/>
              </w:rPr>
            </w:pPr>
            <w:r w:rsidRPr="006D2F6B">
              <w:rPr>
                <w:b/>
              </w:rPr>
              <w:t>Targets or Measures</w:t>
            </w:r>
          </w:p>
        </w:tc>
        <w:tc>
          <w:tcPr>
            <w:tcW w:w="790" w:type="dxa"/>
            <w:shd w:val="clear" w:color="auto" w:fill="auto"/>
          </w:tcPr>
          <w:p w14:paraId="5C75D058" w14:textId="77777777" w:rsidR="001064A4" w:rsidRPr="006D2F6B" w:rsidRDefault="001064A4" w:rsidP="00B74B75">
            <w:pPr>
              <w:jc w:val="center"/>
              <w:rPr>
                <w:b/>
              </w:rPr>
            </w:pPr>
            <w:r w:rsidRPr="006D2F6B">
              <w:rPr>
                <w:b/>
              </w:rPr>
              <w:t>Base</w:t>
            </w:r>
          </w:p>
        </w:tc>
        <w:tc>
          <w:tcPr>
            <w:tcW w:w="790" w:type="dxa"/>
            <w:shd w:val="clear" w:color="auto" w:fill="auto"/>
          </w:tcPr>
          <w:p w14:paraId="2EC697A3" w14:textId="77777777" w:rsidR="001064A4" w:rsidRPr="006D2F6B" w:rsidRDefault="001064A4" w:rsidP="00B74B75">
            <w:pPr>
              <w:jc w:val="center"/>
              <w:rPr>
                <w:b/>
              </w:rPr>
            </w:pPr>
            <w:r w:rsidRPr="006D2F6B">
              <w:rPr>
                <w:b/>
              </w:rPr>
              <w:t>Year 1</w:t>
            </w:r>
          </w:p>
        </w:tc>
        <w:tc>
          <w:tcPr>
            <w:tcW w:w="790" w:type="dxa"/>
            <w:shd w:val="clear" w:color="auto" w:fill="auto"/>
          </w:tcPr>
          <w:p w14:paraId="13B40FA0" w14:textId="77777777" w:rsidR="001064A4" w:rsidRPr="006D2F6B" w:rsidRDefault="001064A4" w:rsidP="00B74B75">
            <w:pPr>
              <w:jc w:val="center"/>
              <w:rPr>
                <w:b/>
              </w:rPr>
            </w:pPr>
            <w:r w:rsidRPr="006D2F6B">
              <w:rPr>
                <w:b/>
              </w:rPr>
              <w:t>Year 2</w:t>
            </w:r>
          </w:p>
        </w:tc>
        <w:tc>
          <w:tcPr>
            <w:tcW w:w="790" w:type="dxa"/>
            <w:shd w:val="clear" w:color="auto" w:fill="auto"/>
          </w:tcPr>
          <w:p w14:paraId="7DC82492" w14:textId="77777777" w:rsidR="001064A4" w:rsidRPr="006D2F6B" w:rsidRDefault="001064A4" w:rsidP="00B74B75">
            <w:pPr>
              <w:jc w:val="center"/>
              <w:rPr>
                <w:b/>
              </w:rPr>
            </w:pPr>
            <w:r w:rsidRPr="006D2F6B">
              <w:rPr>
                <w:b/>
              </w:rPr>
              <w:t>Year 3</w:t>
            </w:r>
          </w:p>
        </w:tc>
        <w:tc>
          <w:tcPr>
            <w:tcW w:w="790" w:type="dxa"/>
            <w:shd w:val="clear" w:color="auto" w:fill="auto"/>
          </w:tcPr>
          <w:p w14:paraId="022FDEC4" w14:textId="77777777" w:rsidR="001064A4" w:rsidRPr="006D2F6B" w:rsidRDefault="001064A4" w:rsidP="00B74B75">
            <w:pPr>
              <w:jc w:val="center"/>
              <w:rPr>
                <w:b/>
              </w:rPr>
            </w:pPr>
            <w:r w:rsidRPr="006D2F6B">
              <w:rPr>
                <w:b/>
              </w:rPr>
              <w:t>Year 4</w:t>
            </w:r>
          </w:p>
        </w:tc>
        <w:tc>
          <w:tcPr>
            <w:tcW w:w="791" w:type="dxa"/>
            <w:shd w:val="clear" w:color="auto" w:fill="auto"/>
          </w:tcPr>
          <w:p w14:paraId="0181C412" w14:textId="77777777" w:rsidR="001064A4" w:rsidRPr="006D2F6B" w:rsidRDefault="001064A4" w:rsidP="00B74B75">
            <w:pPr>
              <w:jc w:val="center"/>
              <w:rPr>
                <w:b/>
              </w:rPr>
            </w:pPr>
            <w:r w:rsidRPr="006D2F6B">
              <w:rPr>
                <w:b/>
              </w:rPr>
              <w:t>Year 5</w:t>
            </w:r>
          </w:p>
        </w:tc>
      </w:tr>
      <w:tr w:rsidR="001064A4" w14:paraId="31D742F9" w14:textId="77777777" w:rsidTr="00B74B75">
        <w:trPr>
          <w:jc w:val="center"/>
        </w:trPr>
        <w:tc>
          <w:tcPr>
            <w:tcW w:w="4297" w:type="dxa"/>
            <w:shd w:val="clear" w:color="auto" w:fill="auto"/>
          </w:tcPr>
          <w:p w14:paraId="73A7F9DE" w14:textId="6516F0A6" w:rsidR="001064A4" w:rsidRPr="00C87BFF" w:rsidRDefault="001064A4" w:rsidP="00B74B75">
            <w:pPr>
              <w:pStyle w:val="NoSpacing"/>
              <w:tabs>
                <w:tab w:val="left" w:pos="284"/>
              </w:tabs>
              <w:rPr>
                <w:i/>
                <w:lang w:eastAsia="ja-JP"/>
              </w:rPr>
            </w:pPr>
            <w:r w:rsidRPr="006068B7">
              <w:rPr>
                <w:lang w:eastAsia="ja-JP"/>
              </w:rPr>
              <w:t xml:space="preserve">95% of staff agree/strongly agree that </w:t>
            </w:r>
            <w:r w:rsidRPr="006068B7">
              <w:rPr>
                <w:i/>
                <w:lang w:eastAsia="ja-JP"/>
              </w:rPr>
              <w:t>the school's instructional leadership model effectively supports quality teaching</w:t>
            </w:r>
            <w:r w:rsidR="00921849">
              <w:rPr>
                <w:i/>
                <w:lang w:eastAsia="ja-JP"/>
              </w:rPr>
              <w:t>.</w:t>
            </w:r>
          </w:p>
        </w:tc>
        <w:tc>
          <w:tcPr>
            <w:tcW w:w="1580" w:type="dxa"/>
            <w:gridSpan w:val="2"/>
            <w:shd w:val="clear" w:color="auto" w:fill="auto"/>
          </w:tcPr>
          <w:p w14:paraId="0E29A4A6" w14:textId="77777777" w:rsidR="001064A4" w:rsidRPr="006738B7" w:rsidRDefault="001064A4" w:rsidP="00B74B75">
            <w:pPr>
              <w:jc w:val="center"/>
              <w:rPr>
                <w:b/>
                <w:bCs/>
              </w:rPr>
            </w:pPr>
            <w:r w:rsidRPr="006738B7">
              <w:rPr>
                <w:b/>
                <w:bCs/>
              </w:rPr>
              <w:t>87%</w:t>
            </w:r>
          </w:p>
          <w:p w14:paraId="6E9E3677" w14:textId="77777777" w:rsidR="001064A4" w:rsidRPr="006738B7" w:rsidRDefault="001064A4" w:rsidP="00B74B75">
            <w:pPr>
              <w:jc w:val="center"/>
              <w:rPr>
                <w:b/>
                <w:bCs/>
              </w:rPr>
            </w:pPr>
          </w:p>
        </w:tc>
        <w:tc>
          <w:tcPr>
            <w:tcW w:w="790" w:type="dxa"/>
            <w:shd w:val="clear" w:color="auto" w:fill="auto"/>
          </w:tcPr>
          <w:p w14:paraId="469C5BFB" w14:textId="77777777" w:rsidR="001064A4" w:rsidRPr="006738B7" w:rsidRDefault="001064A4" w:rsidP="00B74B75">
            <w:pPr>
              <w:jc w:val="center"/>
              <w:rPr>
                <w:b/>
                <w:bCs/>
              </w:rPr>
            </w:pPr>
            <w:r>
              <w:rPr>
                <w:b/>
                <w:bCs/>
              </w:rPr>
              <w:t>88%</w:t>
            </w:r>
          </w:p>
        </w:tc>
        <w:tc>
          <w:tcPr>
            <w:tcW w:w="790" w:type="dxa"/>
            <w:shd w:val="clear" w:color="auto" w:fill="auto"/>
          </w:tcPr>
          <w:p w14:paraId="7781839F" w14:textId="77777777" w:rsidR="001064A4" w:rsidRPr="006738B7" w:rsidRDefault="001064A4" w:rsidP="00B74B75">
            <w:pPr>
              <w:jc w:val="center"/>
              <w:rPr>
                <w:b/>
                <w:bCs/>
              </w:rPr>
            </w:pPr>
            <w:r>
              <w:rPr>
                <w:b/>
                <w:bCs/>
              </w:rPr>
              <w:t>89%</w:t>
            </w:r>
          </w:p>
        </w:tc>
        <w:tc>
          <w:tcPr>
            <w:tcW w:w="790" w:type="dxa"/>
            <w:shd w:val="clear" w:color="auto" w:fill="auto"/>
          </w:tcPr>
          <w:p w14:paraId="3EA369FE" w14:textId="196E2D0A" w:rsidR="001064A4" w:rsidRPr="006738B7" w:rsidRDefault="00265930" w:rsidP="00B74B75">
            <w:pPr>
              <w:jc w:val="center"/>
              <w:rPr>
                <w:b/>
                <w:bCs/>
              </w:rPr>
            </w:pPr>
            <w:r>
              <w:rPr>
                <w:b/>
                <w:bCs/>
              </w:rPr>
              <w:t>n/a</w:t>
            </w:r>
          </w:p>
        </w:tc>
        <w:tc>
          <w:tcPr>
            <w:tcW w:w="791" w:type="dxa"/>
            <w:shd w:val="clear" w:color="auto" w:fill="auto"/>
          </w:tcPr>
          <w:p w14:paraId="1E25F93C" w14:textId="515BABFB" w:rsidR="001064A4" w:rsidRPr="006738B7" w:rsidRDefault="00C67F73" w:rsidP="00B74B75">
            <w:pPr>
              <w:jc w:val="center"/>
              <w:rPr>
                <w:b/>
                <w:bCs/>
              </w:rPr>
            </w:pPr>
            <w:r>
              <w:rPr>
                <w:b/>
                <w:bCs/>
              </w:rPr>
              <w:t>n/a</w:t>
            </w:r>
          </w:p>
        </w:tc>
      </w:tr>
      <w:tr w:rsidR="001064A4" w14:paraId="7AD9A0B1" w14:textId="77777777" w:rsidTr="00B74B75">
        <w:trPr>
          <w:jc w:val="center"/>
        </w:trPr>
        <w:tc>
          <w:tcPr>
            <w:tcW w:w="4297" w:type="dxa"/>
            <w:shd w:val="clear" w:color="auto" w:fill="auto"/>
          </w:tcPr>
          <w:p w14:paraId="2A310B92" w14:textId="3C1AF35C" w:rsidR="001064A4" w:rsidRPr="00C87BFF" w:rsidRDefault="001064A4" w:rsidP="00B74B75">
            <w:pPr>
              <w:pStyle w:val="NoSpacing"/>
              <w:tabs>
                <w:tab w:val="left" w:pos="284"/>
              </w:tabs>
              <w:rPr>
                <w:i/>
                <w:lang w:eastAsia="ja-JP"/>
              </w:rPr>
            </w:pPr>
            <w:r w:rsidRPr="006068B7">
              <w:rPr>
                <w:lang w:eastAsia="ja-JP"/>
              </w:rPr>
              <w:t xml:space="preserve">100% of executive staff agree/strongly agree that </w:t>
            </w:r>
            <w:r w:rsidRPr="006068B7">
              <w:rPr>
                <w:i/>
                <w:lang w:eastAsia="ja-JP"/>
              </w:rPr>
              <w:t>the school's instructional leadership model effectively supports quality teaching</w:t>
            </w:r>
            <w:r w:rsidR="00921849">
              <w:rPr>
                <w:i/>
                <w:lang w:eastAsia="ja-JP"/>
              </w:rPr>
              <w:t>.</w:t>
            </w:r>
          </w:p>
        </w:tc>
        <w:tc>
          <w:tcPr>
            <w:tcW w:w="1580" w:type="dxa"/>
            <w:gridSpan w:val="2"/>
            <w:shd w:val="clear" w:color="auto" w:fill="auto"/>
          </w:tcPr>
          <w:p w14:paraId="3695B3F6" w14:textId="77777777" w:rsidR="001064A4" w:rsidRPr="006738B7" w:rsidRDefault="001064A4" w:rsidP="00B74B75">
            <w:pPr>
              <w:jc w:val="center"/>
              <w:rPr>
                <w:b/>
                <w:bCs/>
              </w:rPr>
            </w:pPr>
            <w:r w:rsidRPr="006738B7">
              <w:rPr>
                <w:b/>
                <w:bCs/>
              </w:rPr>
              <w:t>100%</w:t>
            </w:r>
          </w:p>
        </w:tc>
        <w:tc>
          <w:tcPr>
            <w:tcW w:w="790" w:type="dxa"/>
            <w:shd w:val="clear" w:color="auto" w:fill="auto"/>
          </w:tcPr>
          <w:p w14:paraId="2825A8A1" w14:textId="77777777" w:rsidR="001064A4" w:rsidRPr="006738B7" w:rsidRDefault="001064A4" w:rsidP="00B74B75">
            <w:pPr>
              <w:jc w:val="center"/>
              <w:rPr>
                <w:b/>
                <w:bCs/>
              </w:rPr>
            </w:pPr>
            <w:r>
              <w:rPr>
                <w:b/>
                <w:bCs/>
              </w:rPr>
              <w:t>100%</w:t>
            </w:r>
          </w:p>
        </w:tc>
        <w:tc>
          <w:tcPr>
            <w:tcW w:w="790" w:type="dxa"/>
            <w:shd w:val="clear" w:color="auto" w:fill="auto"/>
          </w:tcPr>
          <w:p w14:paraId="47C2EE2C" w14:textId="77777777" w:rsidR="001064A4" w:rsidRPr="006738B7" w:rsidRDefault="001064A4" w:rsidP="00B74B75">
            <w:pPr>
              <w:jc w:val="center"/>
              <w:rPr>
                <w:b/>
                <w:bCs/>
              </w:rPr>
            </w:pPr>
            <w:r>
              <w:rPr>
                <w:b/>
                <w:bCs/>
              </w:rPr>
              <w:t>100%</w:t>
            </w:r>
          </w:p>
        </w:tc>
        <w:tc>
          <w:tcPr>
            <w:tcW w:w="790" w:type="dxa"/>
            <w:shd w:val="clear" w:color="auto" w:fill="auto"/>
          </w:tcPr>
          <w:p w14:paraId="1C37E4FB" w14:textId="29B27D4E" w:rsidR="001064A4" w:rsidRPr="006738B7" w:rsidRDefault="002431F5" w:rsidP="00B74B75">
            <w:pPr>
              <w:jc w:val="center"/>
              <w:rPr>
                <w:b/>
                <w:bCs/>
              </w:rPr>
            </w:pPr>
            <w:r>
              <w:rPr>
                <w:b/>
                <w:bCs/>
              </w:rPr>
              <w:t>100%</w:t>
            </w:r>
          </w:p>
        </w:tc>
        <w:tc>
          <w:tcPr>
            <w:tcW w:w="791" w:type="dxa"/>
            <w:shd w:val="clear" w:color="auto" w:fill="auto"/>
          </w:tcPr>
          <w:p w14:paraId="2758203E" w14:textId="5BEED13D" w:rsidR="001064A4" w:rsidRPr="006738B7" w:rsidRDefault="00C67F73" w:rsidP="00B74B75">
            <w:pPr>
              <w:jc w:val="center"/>
              <w:rPr>
                <w:b/>
                <w:bCs/>
              </w:rPr>
            </w:pPr>
            <w:r>
              <w:rPr>
                <w:b/>
                <w:bCs/>
              </w:rPr>
              <w:t>n/a</w:t>
            </w:r>
          </w:p>
        </w:tc>
      </w:tr>
      <w:tr w:rsidR="001064A4" w14:paraId="22BD5AAA" w14:textId="77777777" w:rsidTr="00B74B75">
        <w:trPr>
          <w:jc w:val="center"/>
        </w:trPr>
        <w:tc>
          <w:tcPr>
            <w:tcW w:w="4297" w:type="dxa"/>
            <w:shd w:val="clear" w:color="auto" w:fill="auto"/>
          </w:tcPr>
          <w:p w14:paraId="09F6B305" w14:textId="7EBA772B" w:rsidR="001064A4" w:rsidRPr="006068B7" w:rsidRDefault="001064A4" w:rsidP="00B74B75">
            <w:pPr>
              <w:pStyle w:val="NoSpacing"/>
              <w:tabs>
                <w:tab w:val="left" w:pos="284"/>
              </w:tabs>
              <w:rPr>
                <w:lang w:eastAsia="ja-JP"/>
              </w:rPr>
            </w:pPr>
            <w:r w:rsidRPr="006068B7">
              <w:rPr>
                <w:lang w:eastAsia="ja-JP"/>
              </w:rPr>
              <w:t xml:space="preserve">90% of staff agree/strongly agree that they </w:t>
            </w:r>
            <w:r w:rsidRPr="00F22BE0">
              <w:rPr>
                <w:i/>
                <w:lang w:eastAsia="ja-JP"/>
              </w:rPr>
              <w:t>get useful feedback about their performance</w:t>
            </w:r>
            <w:r w:rsidR="00C67F73">
              <w:rPr>
                <w:i/>
                <w:lang w:eastAsia="ja-JP"/>
              </w:rPr>
              <w:t>*</w:t>
            </w:r>
          </w:p>
        </w:tc>
        <w:tc>
          <w:tcPr>
            <w:tcW w:w="790" w:type="dxa"/>
            <w:shd w:val="clear" w:color="auto" w:fill="auto"/>
          </w:tcPr>
          <w:p w14:paraId="583E7F16" w14:textId="77777777" w:rsidR="001064A4" w:rsidRPr="006738B7" w:rsidRDefault="001064A4" w:rsidP="00B74B75">
            <w:pPr>
              <w:jc w:val="center"/>
              <w:rPr>
                <w:b/>
                <w:bCs/>
              </w:rPr>
            </w:pPr>
            <w:r w:rsidRPr="006738B7">
              <w:rPr>
                <w:b/>
                <w:bCs/>
              </w:rPr>
              <w:t>76%</w:t>
            </w:r>
          </w:p>
        </w:tc>
        <w:tc>
          <w:tcPr>
            <w:tcW w:w="790" w:type="dxa"/>
            <w:shd w:val="clear" w:color="auto" w:fill="auto"/>
          </w:tcPr>
          <w:p w14:paraId="709E58A3" w14:textId="77777777" w:rsidR="001064A4" w:rsidRPr="006738B7" w:rsidRDefault="001064A4" w:rsidP="00B74B75">
            <w:pPr>
              <w:jc w:val="center"/>
              <w:rPr>
                <w:b/>
                <w:bCs/>
              </w:rPr>
            </w:pPr>
            <w:r>
              <w:rPr>
                <w:b/>
                <w:bCs/>
              </w:rPr>
              <w:t>72%</w:t>
            </w:r>
          </w:p>
        </w:tc>
        <w:tc>
          <w:tcPr>
            <w:tcW w:w="790" w:type="dxa"/>
            <w:shd w:val="clear" w:color="auto" w:fill="auto"/>
          </w:tcPr>
          <w:p w14:paraId="05BB69C4" w14:textId="77777777" w:rsidR="001064A4" w:rsidRPr="006738B7" w:rsidRDefault="001064A4" w:rsidP="00B74B75">
            <w:pPr>
              <w:jc w:val="center"/>
              <w:rPr>
                <w:b/>
                <w:bCs/>
              </w:rPr>
            </w:pPr>
            <w:r>
              <w:rPr>
                <w:b/>
                <w:bCs/>
              </w:rPr>
              <w:t>77%</w:t>
            </w:r>
          </w:p>
        </w:tc>
        <w:tc>
          <w:tcPr>
            <w:tcW w:w="790" w:type="dxa"/>
            <w:shd w:val="clear" w:color="auto" w:fill="auto"/>
          </w:tcPr>
          <w:p w14:paraId="01D5441F" w14:textId="77777777" w:rsidR="001064A4" w:rsidRPr="006738B7" w:rsidRDefault="001064A4" w:rsidP="00B74B75">
            <w:pPr>
              <w:jc w:val="center"/>
              <w:rPr>
                <w:b/>
                <w:bCs/>
              </w:rPr>
            </w:pPr>
            <w:r>
              <w:rPr>
                <w:b/>
                <w:bCs/>
              </w:rPr>
              <w:t>74.5%</w:t>
            </w:r>
          </w:p>
        </w:tc>
        <w:tc>
          <w:tcPr>
            <w:tcW w:w="790" w:type="dxa"/>
            <w:shd w:val="clear" w:color="auto" w:fill="auto"/>
          </w:tcPr>
          <w:p w14:paraId="6DA30A6A" w14:textId="4E4D7AC2" w:rsidR="001064A4" w:rsidRPr="006738B7" w:rsidRDefault="003E28B5" w:rsidP="00B74B75">
            <w:pPr>
              <w:jc w:val="center"/>
              <w:rPr>
                <w:b/>
                <w:bCs/>
              </w:rPr>
            </w:pPr>
            <w:r>
              <w:rPr>
                <w:b/>
                <w:bCs/>
              </w:rPr>
              <w:t>68.9%</w:t>
            </w:r>
          </w:p>
        </w:tc>
        <w:tc>
          <w:tcPr>
            <w:tcW w:w="791" w:type="dxa"/>
            <w:shd w:val="clear" w:color="auto" w:fill="auto"/>
          </w:tcPr>
          <w:p w14:paraId="22D36458" w14:textId="7E7DF52E" w:rsidR="001064A4" w:rsidRPr="006738B7" w:rsidRDefault="00C67F73" w:rsidP="00B74B75">
            <w:pPr>
              <w:jc w:val="center"/>
              <w:rPr>
                <w:b/>
                <w:bCs/>
              </w:rPr>
            </w:pPr>
            <w:r>
              <w:rPr>
                <w:b/>
                <w:bCs/>
              </w:rPr>
              <w:t>62%</w:t>
            </w:r>
          </w:p>
        </w:tc>
      </w:tr>
    </w:tbl>
    <w:p w14:paraId="7221D03D" w14:textId="348B75EB" w:rsidR="00A539E2" w:rsidRPr="00C67F73" w:rsidRDefault="00C67F73" w:rsidP="001064A4">
      <w:pPr>
        <w:rPr>
          <w:i/>
          <w:iCs/>
        </w:rPr>
      </w:pPr>
      <w:r>
        <w:rPr>
          <w:i/>
          <w:iCs/>
        </w:rPr>
        <w:t>*</w:t>
      </w:r>
      <w:r w:rsidRPr="00C67F73">
        <w:rPr>
          <w:i/>
          <w:iCs/>
        </w:rPr>
        <w:t xml:space="preserve">Reworded </w:t>
      </w:r>
      <w:r>
        <w:rPr>
          <w:i/>
          <w:iCs/>
        </w:rPr>
        <w:t>to “quality feedback” in recent surveys</w:t>
      </w:r>
    </w:p>
    <w:p w14:paraId="4A173E60"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21521A" w14:paraId="0EE4B17C" w14:textId="77777777" w:rsidTr="00B74B75">
        <w:trPr>
          <w:jc w:val="center"/>
        </w:trPr>
        <w:tc>
          <w:tcPr>
            <w:tcW w:w="4297" w:type="dxa"/>
            <w:shd w:val="clear" w:color="auto" w:fill="auto"/>
          </w:tcPr>
          <w:p w14:paraId="06940FB9" w14:textId="77777777" w:rsidR="0021521A" w:rsidRPr="006D2F6B" w:rsidRDefault="0021521A" w:rsidP="00B74B75">
            <w:pPr>
              <w:rPr>
                <w:b/>
              </w:rPr>
            </w:pPr>
            <w:r w:rsidRPr="006D2F6B">
              <w:rPr>
                <w:b/>
              </w:rPr>
              <w:t>Targets or Measures</w:t>
            </w:r>
          </w:p>
        </w:tc>
        <w:tc>
          <w:tcPr>
            <w:tcW w:w="790" w:type="dxa"/>
            <w:shd w:val="clear" w:color="auto" w:fill="auto"/>
          </w:tcPr>
          <w:p w14:paraId="792BD916" w14:textId="77777777" w:rsidR="0021521A" w:rsidRPr="006D2F6B" w:rsidRDefault="0021521A" w:rsidP="00B74B75">
            <w:pPr>
              <w:jc w:val="center"/>
              <w:rPr>
                <w:b/>
              </w:rPr>
            </w:pPr>
            <w:r w:rsidRPr="006D2F6B">
              <w:rPr>
                <w:b/>
              </w:rPr>
              <w:t>Base</w:t>
            </w:r>
          </w:p>
        </w:tc>
        <w:tc>
          <w:tcPr>
            <w:tcW w:w="790" w:type="dxa"/>
            <w:shd w:val="clear" w:color="auto" w:fill="auto"/>
          </w:tcPr>
          <w:p w14:paraId="223419A1" w14:textId="77777777" w:rsidR="0021521A" w:rsidRPr="006D2F6B" w:rsidRDefault="0021521A" w:rsidP="00B74B75">
            <w:pPr>
              <w:jc w:val="center"/>
              <w:rPr>
                <w:b/>
              </w:rPr>
            </w:pPr>
            <w:r w:rsidRPr="006D2F6B">
              <w:rPr>
                <w:b/>
              </w:rPr>
              <w:t>Year 1</w:t>
            </w:r>
          </w:p>
        </w:tc>
        <w:tc>
          <w:tcPr>
            <w:tcW w:w="790" w:type="dxa"/>
            <w:shd w:val="clear" w:color="auto" w:fill="auto"/>
          </w:tcPr>
          <w:p w14:paraId="43C7FA0C" w14:textId="77777777" w:rsidR="0021521A" w:rsidRPr="006D2F6B" w:rsidRDefault="0021521A" w:rsidP="00B74B75">
            <w:pPr>
              <w:jc w:val="center"/>
              <w:rPr>
                <w:b/>
              </w:rPr>
            </w:pPr>
            <w:r w:rsidRPr="006D2F6B">
              <w:rPr>
                <w:b/>
              </w:rPr>
              <w:t>Year 2</w:t>
            </w:r>
          </w:p>
        </w:tc>
        <w:tc>
          <w:tcPr>
            <w:tcW w:w="790" w:type="dxa"/>
            <w:shd w:val="clear" w:color="auto" w:fill="auto"/>
          </w:tcPr>
          <w:p w14:paraId="69D07FEA" w14:textId="77777777" w:rsidR="0021521A" w:rsidRPr="006D2F6B" w:rsidRDefault="0021521A" w:rsidP="00B74B75">
            <w:pPr>
              <w:jc w:val="center"/>
              <w:rPr>
                <w:b/>
              </w:rPr>
            </w:pPr>
            <w:r w:rsidRPr="006D2F6B">
              <w:rPr>
                <w:b/>
              </w:rPr>
              <w:t>Year 3</w:t>
            </w:r>
          </w:p>
        </w:tc>
        <w:tc>
          <w:tcPr>
            <w:tcW w:w="790" w:type="dxa"/>
            <w:shd w:val="clear" w:color="auto" w:fill="auto"/>
          </w:tcPr>
          <w:p w14:paraId="7EC820E0" w14:textId="77777777" w:rsidR="0021521A" w:rsidRPr="006D2F6B" w:rsidRDefault="0021521A" w:rsidP="00B74B75">
            <w:pPr>
              <w:jc w:val="center"/>
              <w:rPr>
                <w:b/>
              </w:rPr>
            </w:pPr>
            <w:r w:rsidRPr="006D2F6B">
              <w:rPr>
                <w:b/>
              </w:rPr>
              <w:t>Year 4</w:t>
            </w:r>
          </w:p>
        </w:tc>
        <w:tc>
          <w:tcPr>
            <w:tcW w:w="791" w:type="dxa"/>
            <w:shd w:val="clear" w:color="auto" w:fill="auto"/>
          </w:tcPr>
          <w:p w14:paraId="5EA22EA7" w14:textId="77777777" w:rsidR="0021521A" w:rsidRPr="006D2F6B" w:rsidRDefault="0021521A" w:rsidP="00B74B75">
            <w:pPr>
              <w:jc w:val="center"/>
              <w:rPr>
                <w:b/>
              </w:rPr>
            </w:pPr>
            <w:r w:rsidRPr="006D2F6B">
              <w:rPr>
                <w:b/>
              </w:rPr>
              <w:t>Year 5</w:t>
            </w:r>
          </w:p>
        </w:tc>
      </w:tr>
      <w:tr w:rsidR="0021521A" w14:paraId="4706864F" w14:textId="77777777" w:rsidTr="00B74B75">
        <w:trPr>
          <w:jc w:val="center"/>
        </w:trPr>
        <w:tc>
          <w:tcPr>
            <w:tcW w:w="4297" w:type="dxa"/>
            <w:shd w:val="clear" w:color="auto" w:fill="auto"/>
          </w:tcPr>
          <w:p w14:paraId="76799C57" w14:textId="77777777" w:rsidR="0021521A" w:rsidRPr="006D2F6B" w:rsidRDefault="0021521A" w:rsidP="00B74B75">
            <w:pPr>
              <w:pStyle w:val="NoSpacing"/>
              <w:tabs>
                <w:tab w:val="left" w:pos="284"/>
              </w:tabs>
              <w:rPr>
                <w:lang w:eastAsia="ja-JP"/>
              </w:rPr>
            </w:pPr>
            <w:r w:rsidRPr="006068B7">
              <w:rPr>
                <w:lang w:eastAsia="ja-JP"/>
              </w:rPr>
              <w:t>100% of staff demonstrate improvement in individual teaching practice against the national teacher quality standards</w:t>
            </w:r>
            <w:r>
              <w:rPr>
                <w:lang w:eastAsia="ja-JP"/>
              </w:rPr>
              <w:t>.</w:t>
            </w:r>
          </w:p>
        </w:tc>
        <w:tc>
          <w:tcPr>
            <w:tcW w:w="1580" w:type="dxa"/>
            <w:gridSpan w:val="2"/>
            <w:shd w:val="clear" w:color="auto" w:fill="auto"/>
          </w:tcPr>
          <w:p w14:paraId="326F9B96" w14:textId="77777777" w:rsidR="0021521A" w:rsidRPr="006738B7" w:rsidRDefault="0021521A" w:rsidP="00B74B75">
            <w:pPr>
              <w:jc w:val="center"/>
              <w:rPr>
                <w:b/>
                <w:bCs/>
              </w:rPr>
            </w:pPr>
            <w:r w:rsidRPr="006738B7">
              <w:rPr>
                <w:b/>
                <w:bCs/>
              </w:rPr>
              <w:t>100%</w:t>
            </w:r>
          </w:p>
          <w:p w14:paraId="7EB08535" w14:textId="77777777" w:rsidR="0021521A" w:rsidRPr="006738B7" w:rsidRDefault="0021521A" w:rsidP="00B74B75">
            <w:pPr>
              <w:jc w:val="center"/>
              <w:rPr>
                <w:b/>
                <w:bCs/>
              </w:rPr>
            </w:pPr>
          </w:p>
        </w:tc>
        <w:tc>
          <w:tcPr>
            <w:tcW w:w="790" w:type="dxa"/>
            <w:shd w:val="clear" w:color="auto" w:fill="auto"/>
          </w:tcPr>
          <w:p w14:paraId="54F3398A" w14:textId="77777777" w:rsidR="0021521A" w:rsidRPr="006738B7" w:rsidRDefault="0021521A" w:rsidP="00B74B75">
            <w:pPr>
              <w:jc w:val="center"/>
              <w:rPr>
                <w:b/>
                <w:bCs/>
              </w:rPr>
            </w:pPr>
            <w:r>
              <w:rPr>
                <w:b/>
                <w:bCs/>
              </w:rPr>
              <w:t>100%</w:t>
            </w:r>
          </w:p>
        </w:tc>
        <w:tc>
          <w:tcPr>
            <w:tcW w:w="790" w:type="dxa"/>
            <w:shd w:val="clear" w:color="auto" w:fill="auto"/>
          </w:tcPr>
          <w:p w14:paraId="11F34392" w14:textId="77777777" w:rsidR="0021521A" w:rsidRPr="006738B7" w:rsidRDefault="0021521A" w:rsidP="00B74B75">
            <w:pPr>
              <w:jc w:val="center"/>
              <w:rPr>
                <w:b/>
                <w:bCs/>
              </w:rPr>
            </w:pPr>
            <w:r>
              <w:rPr>
                <w:b/>
                <w:bCs/>
              </w:rPr>
              <w:t>100%</w:t>
            </w:r>
          </w:p>
        </w:tc>
        <w:tc>
          <w:tcPr>
            <w:tcW w:w="790" w:type="dxa"/>
            <w:shd w:val="clear" w:color="auto" w:fill="auto"/>
          </w:tcPr>
          <w:p w14:paraId="3C73E2C0" w14:textId="7C183C17" w:rsidR="0021521A" w:rsidRPr="006738B7" w:rsidRDefault="0021521A" w:rsidP="00B74B75">
            <w:pPr>
              <w:jc w:val="center"/>
              <w:rPr>
                <w:b/>
                <w:bCs/>
              </w:rPr>
            </w:pPr>
            <w:r>
              <w:rPr>
                <w:b/>
                <w:bCs/>
              </w:rPr>
              <w:t>100%</w:t>
            </w:r>
          </w:p>
        </w:tc>
        <w:tc>
          <w:tcPr>
            <w:tcW w:w="791" w:type="dxa"/>
            <w:shd w:val="clear" w:color="auto" w:fill="auto"/>
          </w:tcPr>
          <w:p w14:paraId="44CEA7C2" w14:textId="21721DF3" w:rsidR="0021521A" w:rsidRPr="006738B7" w:rsidRDefault="001F6D5B" w:rsidP="00B74B75">
            <w:pPr>
              <w:jc w:val="center"/>
              <w:rPr>
                <w:b/>
                <w:bCs/>
              </w:rPr>
            </w:pPr>
            <w:r>
              <w:rPr>
                <w:b/>
                <w:bCs/>
              </w:rPr>
              <w:t>100%</w:t>
            </w: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lastRenderedPageBreak/>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2DA55B98" w14:textId="63120D5A" w:rsidR="00C67F73" w:rsidRDefault="00C67F73" w:rsidP="00C67F73">
            <w:r>
              <w:t>Because of the disruptions experienced in 2020</w:t>
            </w:r>
            <w:r w:rsidR="008E2E70">
              <w:t xml:space="preserve"> </w:t>
            </w:r>
            <w:r>
              <w:t xml:space="preserve">the school </w:t>
            </w:r>
            <w:r w:rsidR="008E2E70">
              <w:t>adjusted its action plan</w:t>
            </w:r>
            <w:r w:rsidR="00FC5C63">
              <w:t>, f</w:t>
            </w:r>
            <w:r w:rsidR="008E2E70">
              <w:t>ocus</w:t>
            </w:r>
            <w:r w:rsidR="00FC5C63">
              <w:t>sing</w:t>
            </w:r>
            <w:r w:rsidR="008E2E70">
              <w:t xml:space="preserve"> its efforts on Priority 1</w:t>
            </w:r>
            <w:r w:rsidR="00FC5C63">
              <w:t xml:space="preserve"> to </w:t>
            </w:r>
            <w:r w:rsidR="008E2E70">
              <w:t>improv</w:t>
            </w:r>
            <w:r w:rsidR="00FC5C63">
              <w:t>e</w:t>
            </w:r>
            <w:r w:rsidR="008E2E70">
              <w:t xml:space="preserve"> writing outcomes through powerful learning goals.</w:t>
            </w:r>
            <w:r w:rsidR="00CB18DA">
              <w:t xml:space="preserve"> The discussion in this section is therefore limited.</w:t>
            </w:r>
          </w:p>
          <w:p w14:paraId="79BE47D4" w14:textId="77777777" w:rsidR="00FC5C63" w:rsidRDefault="00FC5C63" w:rsidP="00C67F73"/>
          <w:p w14:paraId="251D1E4C" w14:textId="3D4B48F3" w:rsidR="00912FB9" w:rsidRDefault="008B3D24" w:rsidP="008B3D24">
            <w:pPr>
              <w:pStyle w:val="PlainText"/>
            </w:pPr>
            <w:r w:rsidRPr="003975B4">
              <w:t>Staff perception that the school’s instructional leadership model supports quality teaching ha</w:t>
            </w:r>
            <w:r w:rsidR="003975B4" w:rsidRPr="003975B4">
              <w:t>d</w:t>
            </w:r>
            <w:r w:rsidRPr="003975B4">
              <w:t xml:space="preserve"> gradually increased since 2016.</w:t>
            </w:r>
            <w:r>
              <w:t xml:space="preserve"> </w:t>
            </w:r>
            <w:r w:rsidR="00195017">
              <w:t>However</w:t>
            </w:r>
            <w:r w:rsidR="00285852">
              <w:t>,</w:t>
            </w:r>
            <w:r w:rsidR="00195017">
              <w:t xml:space="preserve"> data was unavailable in 2019 </w:t>
            </w:r>
            <w:r w:rsidR="00FC5C63">
              <w:t>and 2020</w:t>
            </w:r>
            <w:r w:rsidR="00A00021">
              <w:t>.</w:t>
            </w:r>
          </w:p>
          <w:p w14:paraId="0C3A61EE" w14:textId="77777777" w:rsidR="00A00021" w:rsidRDefault="00A00021" w:rsidP="008B3D24">
            <w:pPr>
              <w:pStyle w:val="PlainText"/>
            </w:pPr>
          </w:p>
          <w:p w14:paraId="7906C918" w14:textId="723A3D27" w:rsidR="008B3D24" w:rsidRDefault="00912FB9" w:rsidP="008B3D24">
            <w:pPr>
              <w:pStyle w:val="PlainText"/>
            </w:pPr>
            <w:r>
              <w:t>O</w:t>
            </w:r>
            <w:r w:rsidR="008B3D24">
              <w:t>ne hundred percent of teachers demonstrat</w:t>
            </w:r>
            <w:r>
              <w:t>ed</w:t>
            </w:r>
            <w:r w:rsidR="008B3D24">
              <w:t xml:space="preserve"> an improvement in teaching practice when</w:t>
            </w:r>
            <w:r w:rsidR="007B013B">
              <w:t xml:space="preserve"> </w:t>
            </w:r>
            <w:r w:rsidR="008B3D24">
              <w:t xml:space="preserve">assessed against the national teacher quality standards, </w:t>
            </w:r>
            <w:proofErr w:type="gramStart"/>
            <w:r w:rsidR="008B3D24">
              <w:t>in particular the</w:t>
            </w:r>
            <w:proofErr w:type="gramEnd"/>
            <w:r w:rsidR="008B3D24">
              <w:t xml:space="preserve"> AITSL </w:t>
            </w:r>
            <w:r w:rsidR="009D2994">
              <w:t>C</w:t>
            </w:r>
            <w:r w:rsidR="008B3D24">
              <w:t xml:space="preserve">lassroom </w:t>
            </w:r>
            <w:r w:rsidR="009D2994">
              <w:t>P</w:t>
            </w:r>
            <w:r w:rsidR="008B3D24">
              <w:t xml:space="preserve">ractice </w:t>
            </w:r>
            <w:r w:rsidR="009D2994">
              <w:t>C</w:t>
            </w:r>
            <w:r w:rsidR="008B3D24">
              <w:t>ontinuum. Whilst these assessments were made by teachers themselves, they were justified with evidence from peer coaching conversations</w:t>
            </w:r>
            <w:r w:rsidR="00997E0C">
              <w:t>, lesson observations</w:t>
            </w:r>
            <w:r w:rsidR="008B3D24">
              <w:t xml:space="preserve"> and the summative professional pathways conversations that were held between teachers and executive supervisors. </w:t>
            </w:r>
          </w:p>
          <w:p w14:paraId="145D8DBD" w14:textId="77777777" w:rsidR="008B3D24" w:rsidRDefault="008B3D24" w:rsidP="008B3D24">
            <w:pPr>
              <w:pStyle w:val="PlainText"/>
            </w:pPr>
          </w:p>
          <w:p w14:paraId="17DDC188" w14:textId="2D02F20F" w:rsidR="00EB70CE" w:rsidRPr="00A8687A" w:rsidRDefault="00A00021" w:rsidP="00A8687A">
            <w:pPr>
              <w:pBdr>
                <w:top w:val="nil"/>
                <w:left w:val="nil"/>
                <w:bottom w:val="nil"/>
                <w:right w:val="nil"/>
                <w:between w:val="nil"/>
              </w:pBdr>
              <w:rPr>
                <w:rFonts w:eastAsia="MS Mincho" w:cs="Calibri"/>
                <w:lang w:eastAsia="ja-JP"/>
              </w:rPr>
            </w:pPr>
            <w:r>
              <w:t>Staff</w:t>
            </w:r>
            <w:r w:rsidR="008B3D24">
              <w:rPr>
                <w:rFonts w:eastAsia="MS Mincho" w:cs="Calibri"/>
                <w:lang w:eastAsia="ja-JP"/>
              </w:rPr>
              <w:t xml:space="preserve"> perception that useful</w:t>
            </w:r>
            <w:r>
              <w:rPr>
                <w:rFonts w:eastAsia="MS Mincho" w:cs="Calibri"/>
                <w:lang w:eastAsia="ja-JP"/>
              </w:rPr>
              <w:t>/quality</w:t>
            </w:r>
            <w:r w:rsidR="008B3D24">
              <w:rPr>
                <w:rFonts w:eastAsia="MS Mincho" w:cs="Calibri"/>
                <w:lang w:eastAsia="ja-JP"/>
              </w:rPr>
              <w:t xml:space="preserve"> feedback is received about performance has not improved over time. </w:t>
            </w:r>
            <w:r>
              <w:rPr>
                <w:rFonts w:eastAsia="MS Mincho" w:cs="Calibri"/>
                <w:lang w:eastAsia="ja-JP"/>
              </w:rPr>
              <w:t>Whilst this priority was not a focus in 2020</w:t>
            </w:r>
            <w:r w:rsidR="005B0CB6">
              <w:rPr>
                <w:rFonts w:eastAsia="MS Mincho" w:cs="Calibri"/>
                <w:lang w:eastAsia="ja-JP"/>
              </w:rPr>
              <w:t>,</w:t>
            </w:r>
            <w:r>
              <w:rPr>
                <w:rFonts w:eastAsia="MS Mincho" w:cs="Calibri"/>
                <w:lang w:eastAsia="ja-JP"/>
              </w:rPr>
              <w:t xml:space="preserve"> we acknowledge that t</w:t>
            </w:r>
            <w:r w:rsidR="008B3D24">
              <w:rPr>
                <w:rFonts w:eastAsia="MS Mincho" w:cs="Calibri"/>
                <w:lang w:eastAsia="ja-JP"/>
              </w:rPr>
              <w:t>here are t</w:t>
            </w:r>
            <w:r>
              <w:rPr>
                <w:rFonts w:eastAsia="MS Mincho" w:cs="Calibri"/>
                <w:lang w:eastAsia="ja-JP"/>
              </w:rPr>
              <w:t>hree</w:t>
            </w:r>
            <w:r w:rsidR="008B3D24">
              <w:rPr>
                <w:rFonts w:eastAsia="MS Mincho" w:cs="Calibri"/>
                <w:lang w:eastAsia="ja-JP"/>
              </w:rPr>
              <w:t xml:space="preserve"> implications for </w:t>
            </w:r>
            <w:r w:rsidR="006E58B8">
              <w:rPr>
                <w:rFonts w:eastAsia="MS Mincho" w:cs="Calibri"/>
                <w:lang w:eastAsia="ja-JP"/>
              </w:rPr>
              <w:t>our final</w:t>
            </w:r>
            <w:r w:rsidR="008B3D24">
              <w:rPr>
                <w:rFonts w:eastAsia="MS Mincho" w:cs="Calibri"/>
                <w:lang w:eastAsia="ja-JP"/>
              </w:rPr>
              <w:t xml:space="preserve"> annual action plan. Firstly, we need to </w:t>
            </w:r>
            <w:r w:rsidR="00641423">
              <w:rPr>
                <w:rFonts w:eastAsia="MS Mincho" w:cs="Calibri"/>
                <w:lang w:eastAsia="ja-JP"/>
              </w:rPr>
              <w:t xml:space="preserve">investigate any discrepancy </w:t>
            </w:r>
            <w:r w:rsidR="008B3D24">
              <w:rPr>
                <w:rFonts w:eastAsia="MS Mincho" w:cs="Calibri"/>
                <w:lang w:eastAsia="ja-JP"/>
              </w:rPr>
              <w:t>between teacher and administrative staff perception</w:t>
            </w:r>
            <w:r w:rsidR="00276C1D">
              <w:rPr>
                <w:rFonts w:eastAsia="MS Mincho" w:cs="Calibri"/>
                <w:lang w:eastAsia="ja-JP"/>
              </w:rPr>
              <w:t xml:space="preserve"> data</w:t>
            </w:r>
            <w:r w:rsidR="008B3D24">
              <w:rPr>
                <w:rFonts w:eastAsia="MS Mincho" w:cs="Calibri"/>
                <w:lang w:eastAsia="ja-JP"/>
              </w:rPr>
              <w:t>. Secondly, whilst peer coaching</w:t>
            </w:r>
            <w:r w:rsidR="0025686F">
              <w:rPr>
                <w:rFonts w:eastAsia="MS Mincho" w:cs="Calibri"/>
                <w:lang w:eastAsia="ja-JP"/>
              </w:rPr>
              <w:t xml:space="preserve">, </w:t>
            </w:r>
            <w:r w:rsidR="008B3D24">
              <w:rPr>
                <w:rFonts w:eastAsia="MS Mincho" w:cs="Calibri"/>
                <w:lang w:eastAsia="ja-JP"/>
              </w:rPr>
              <w:t xml:space="preserve">new educator mentoring </w:t>
            </w:r>
            <w:r w:rsidR="0025686F">
              <w:rPr>
                <w:rFonts w:eastAsia="MS Mincho" w:cs="Calibri"/>
                <w:lang w:eastAsia="ja-JP"/>
              </w:rPr>
              <w:t xml:space="preserve">and professional learning communities </w:t>
            </w:r>
            <w:r w:rsidR="008B3D24">
              <w:rPr>
                <w:rFonts w:eastAsia="MS Mincho" w:cs="Calibri"/>
                <w:lang w:eastAsia="ja-JP"/>
              </w:rPr>
              <w:t xml:space="preserve">have become </w:t>
            </w:r>
            <w:r w:rsidR="00F30F1A">
              <w:rPr>
                <w:rFonts w:eastAsia="MS Mincho" w:cs="Calibri"/>
                <w:lang w:eastAsia="ja-JP"/>
              </w:rPr>
              <w:t>e</w:t>
            </w:r>
            <w:r w:rsidR="00A23E5C">
              <w:rPr>
                <w:rFonts w:eastAsia="MS Mincho" w:cs="Calibri"/>
                <w:lang w:eastAsia="ja-JP"/>
              </w:rPr>
              <w:t>xpect</w:t>
            </w:r>
            <w:r w:rsidR="00F30F1A">
              <w:rPr>
                <w:rFonts w:eastAsia="MS Mincho" w:cs="Calibri"/>
                <w:lang w:eastAsia="ja-JP"/>
              </w:rPr>
              <w:t xml:space="preserve">ed </w:t>
            </w:r>
            <w:r w:rsidR="008B3D24">
              <w:rPr>
                <w:rFonts w:eastAsia="MS Mincho" w:cs="Calibri"/>
                <w:lang w:eastAsia="ja-JP"/>
              </w:rPr>
              <w:t xml:space="preserve">parts of our instructional leadership model, </w:t>
            </w:r>
            <w:r w:rsidR="007053C6">
              <w:rPr>
                <w:rFonts w:eastAsia="MS Mincho" w:cs="Calibri"/>
                <w:lang w:eastAsia="ja-JP"/>
              </w:rPr>
              <w:t xml:space="preserve">inconsistent commitment </w:t>
            </w:r>
            <w:r w:rsidR="00D30F5E">
              <w:rPr>
                <w:rFonts w:eastAsia="MS Mincho" w:cs="Calibri"/>
                <w:lang w:eastAsia="ja-JP"/>
              </w:rPr>
              <w:t>to peer coaching</w:t>
            </w:r>
            <w:r w:rsidR="00190D07">
              <w:rPr>
                <w:rFonts w:eastAsia="MS Mincho" w:cs="Calibri"/>
                <w:lang w:eastAsia="ja-JP"/>
              </w:rPr>
              <w:t xml:space="preserve"> </w:t>
            </w:r>
            <w:r w:rsidR="00C01823">
              <w:rPr>
                <w:rFonts w:eastAsia="MS Mincho" w:cs="Calibri"/>
                <w:lang w:eastAsia="ja-JP"/>
              </w:rPr>
              <w:t>has been</w:t>
            </w:r>
            <w:r w:rsidR="00D30F5E">
              <w:rPr>
                <w:rFonts w:eastAsia="MS Mincho" w:cs="Calibri"/>
                <w:lang w:eastAsia="ja-JP"/>
              </w:rPr>
              <w:t xml:space="preserve"> identifie</w:t>
            </w:r>
            <w:r w:rsidR="00190D07">
              <w:rPr>
                <w:rFonts w:eastAsia="MS Mincho" w:cs="Calibri"/>
                <w:lang w:eastAsia="ja-JP"/>
              </w:rPr>
              <w:t xml:space="preserve">d. </w:t>
            </w:r>
            <w:r>
              <w:rPr>
                <w:rFonts w:eastAsia="MS Mincho" w:cs="Calibri"/>
                <w:lang w:eastAsia="ja-JP"/>
              </w:rPr>
              <w:t xml:space="preserve">In 2020 this was largely due to the </w:t>
            </w:r>
            <w:proofErr w:type="spellStart"/>
            <w:r>
              <w:rPr>
                <w:rFonts w:eastAsia="MS Mincho" w:cs="Calibri"/>
                <w:lang w:eastAsia="ja-JP"/>
              </w:rPr>
              <w:t>Covid</w:t>
            </w:r>
            <w:proofErr w:type="spellEnd"/>
            <w:r>
              <w:rPr>
                <w:rFonts w:eastAsia="MS Mincho" w:cs="Calibri"/>
                <w:lang w:eastAsia="ja-JP"/>
              </w:rPr>
              <w:t xml:space="preserve"> </w:t>
            </w:r>
            <w:r w:rsidR="0015284D">
              <w:rPr>
                <w:rFonts w:eastAsia="MS Mincho" w:cs="Calibri"/>
                <w:lang w:eastAsia="ja-JP"/>
              </w:rPr>
              <w:t>related disruptions. Thirdly we</w:t>
            </w:r>
            <w:r w:rsidR="00190D07">
              <w:rPr>
                <w:rFonts w:eastAsia="MS Mincho" w:cs="Calibri"/>
                <w:lang w:eastAsia="ja-JP"/>
              </w:rPr>
              <w:t xml:space="preserve"> also</w:t>
            </w:r>
            <w:r w:rsidR="008B3D24">
              <w:rPr>
                <w:rFonts w:eastAsia="MS Mincho" w:cs="Calibri"/>
                <w:lang w:eastAsia="ja-JP"/>
              </w:rPr>
              <w:t xml:space="preserve"> recognise that staff require other </w:t>
            </w:r>
            <w:r w:rsidR="00096EEA">
              <w:rPr>
                <w:rFonts w:eastAsia="MS Mincho" w:cs="Calibri"/>
                <w:lang w:eastAsia="ja-JP"/>
              </w:rPr>
              <w:t>manner</w:t>
            </w:r>
            <w:r w:rsidR="008B3D24">
              <w:rPr>
                <w:rFonts w:eastAsia="MS Mincho" w:cs="Calibri"/>
                <w:lang w:eastAsia="ja-JP"/>
              </w:rPr>
              <w:t xml:space="preserve"> of feedback </w:t>
            </w:r>
            <w:r w:rsidR="00C41D31">
              <w:rPr>
                <w:rFonts w:eastAsia="MS Mincho" w:cs="Calibri"/>
                <w:lang w:eastAsia="ja-JP"/>
              </w:rPr>
              <w:t>to</w:t>
            </w:r>
            <w:r w:rsidR="008B3D24">
              <w:rPr>
                <w:rFonts w:eastAsia="MS Mincho" w:cs="Calibri"/>
                <w:lang w:eastAsia="ja-JP"/>
              </w:rPr>
              <w:t xml:space="preserve"> inform their teaching practice</w:t>
            </w:r>
            <w:r w:rsidR="00C41D31">
              <w:rPr>
                <w:rFonts w:eastAsia="MS Mincho" w:cs="Calibri"/>
                <w:lang w:eastAsia="ja-JP"/>
              </w:rPr>
              <w:t xml:space="preserve"> and build professional capacity</w:t>
            </w:r>
            <w:r w:rsidR="008B3D24">
              <w:rPr>
                <w:rFonts w:eastAsia="MS Mincho" w:cs="Calibri"/>
                <w:lang w:eastAsia="ja-JP"/>
              </w:rPr>
              <w:t xml:space="preserve">. </w:t>
            </w:r>
            <w:r w:rsidR="00F57310">
              <w:t xml:space="preserve"> </w:t>
            </w:r>
          </w:p>
        </w:tc>
      </w:tr>
    </w:tbl>
    <w:p w14:paraId="7A877F34" w14:textId="20B3041D" w:rsidR="005611F4" w:rsidRPr="005611F4" w:rsidRDefault="00937D6F" w:rsidP="00B96F8B">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B74B75">
        <w:trPr>
          <w:trHeight w:val="223"/>
          <w:jc w:val="center"/>
        </w:trPr>
        <w:tc>
          <w:tcPr>
            <w:tcW w:w="9016" w:type="dxa"/>
            <w:shd w:val="clear" w:color="auto" w:fill="auto"/>
          </w:tcPr>
          <w:p w14:paraId="792AF30A" w14:textId="3FFB27EE" w:rsidR="00C24EC2" w:rsidRDefault="00DB293B" w:rsidP="00F20543">
            <w:pPr>
              <w:pStyle w:val="NumberedList"/>
              <w:numPr>
                <w:ilvl w:val="0"/>
                <w:numId w:val="0"/>
              </w:numPr>
              <w:ind w:left="357" w:hanging="357"/>
              <w:rPr>
                <w:b/>
                <w:bCs/>
              </w:rPr>
            </w:pPr>
            <w:r>
              <w:rPr>
                <w:b/>
              </w:rPr>
              <w:t>Embed</w:t>
            </w:r>
            <w:r w:rsidRPr="00DB293B">
              <w:rPr>
                <w:b/>
                <w:bCs/>
              </w:rPr>
              <w:t xml:space="preserve"> instructional leadership structures and processes that build professional capacity</w:t>
            </w:r>
          </w:p>
          <w:p w14:paraId="703B393B" w14:textId="1C6A8F09" w:rsidR="00856447" w:rsidRPr="005B0CB6" w:rsidRDefault="00AA27E6" w:rsidP="006F1AF9">
            <w:pPr>
              <w:pStyle w:val="NumberedList"/>
              <w:numPr>
                <w:ilvl w:val="0"/>
                <w:numId w:val="36"/>
              </w:numPr>
              <w:ind w:left="313" w:hanging="313"/>
            </w:pPr>
            <w:r w:rsidRPr="005B0CB6">
              <w:t xml:space="preserve">Teachers engaged in collaborative data inquiries </w:t>
            </w:r>
            <w:r w:rsidR="00AD658B" w:rsidRPr="005B0CB6">
              <w:t xml:space="preserve">and research </w:t>
            </w:r>
            <w:r w:rsidR="00AD5461" w:rsidRPr="005B0CB6">
              <w:t>to</w:t>
            </w:r>
            <w:r w:rsidRPr="005B0CB6">
              <w:t xml:space="preserve"> improve teaching and learning</w:t>
            </w:r>
            <w:r w:rsidR="00856447" w:rsidRPr="005B0CB6">
              <w:t>.</w:t>
            </w:r>
          </w:p>
          <w:p w14:paraId="3C849334" w14:textId="7462F3E4" w:rsidR="00C24EC2" w:rsidRPr="005B0CB6" w:rsidRDefault="00856447" w:rsidP="006F1AF9">
            <w:pPr>
              <w:pStyle w:val="NumberedList"/>
              <w:numPr>
                <w:ilvl w:val="0"/>
                <w:numId w:val="36"/>
              </w:numPr>
              <w:ind w:left="313" w:hanging="313"/>
            </w:pPr>
            <w:r w:rsidRPr="005B0CB6">
              <w:t xml:space="preserve">Teachers shared </w:t>
            </w:r>
            <w:r w:rsidR="00B84534" w:rsidRPr="005B0CB6">
              <w:t xml:space="preserve">their own learning with peers at staff meetings </w:t>
            </w:r>
            <w:r w:rsidR="00893926" w:rsidRPr="005B0CB6">
              <w:t>and in PLC</w:t>
            </w:r>
            <w:r w:rsidR="006A46F4" w:rsidRPr="005B0CB6">
              <w:t xml:space="preserve">s. </w:t>
            </w:r>
            <w:r w:rsidR="00DA015E" w:rsidRPr="005B0CB6">
              <w:t xml:space="preserve"> </w:t>
            </w:r>
          </w:p>
          <w:p w14:paraId="64D84D70" w14:textId="77777777" w:rsidR="00DB293B" w:rsidRPr="009F6E99" w:rsidRDefault="00DB293B" w:rsidP="00DB293B">
            <w:pPr>
              <w:pStyle w:val="NumberedList"/>
              <w:numPr>
                <w:ilvl w:val="0"/>
                <w:numId w:val="0"/>
              </w:numPr>
              <w:ind w:left="357" w:hanging="357"/>
            </w:pPr>
          </w:p>
          <w:p w14:paraId="51F1092F" w14:textId="0F9F2118" w:rsidR="00CA26FB" w:rsidRPr="00DB293B" w:rsidRDefault="00DB293B" w:rsidP="006F1E9B">
            <w:pPr>
              <w:pStyle w:val="NumberedList"/>
              <w:numPr>
                <w:ilvl w:val="0"/>
                <w:numId w:val="0"/>
              </w:numPr>
              <w:rPr>
                <w:b/>
                <w:bCs/>
              </w:rPr>
            </w:pPr>
            <w:r>
              <w:rPr>
                <w:b/>
                <w:bCs/>
              </w:rPr>
              <w:t>D</w:t>
            </w:r>
            <w:r w:rsidRPr="00DB293B">
              <w:rPr>
                <w:b/>
                <w:bCs/>
              </w:rPr>
              <w:t>evelop teacher expertise in peer coaching, mentoring and feedback to build professional</w:t>
            </w:r>
            <w:r w:rsidR="00B856AF">
              <w:rPr>
                <w:b/>
                <w:bCs/>
              </w:rPr>
              <w:t xml:space="preserve"> </w:t>
            </w:r>
            <w:r w:rsidRPr="00DB293B">
              <w:rPr>
                <w:b/>
                <w:bCs/>
              </w:rPr>
              <w:t>capacity</w:t>
            </w:r>
          </w:p>
          <w:p w14:paraId="38470930" w14:textId="63587313" w:rsidR="0042510B" w:rsidRPr="005B0CB6" w:rsidRDefault="0042510B" w:rsidP="00F20543">
            <w:pPr>
              <w:pStyle w:val="ListBullet"/>
              <w:rPr>
                <w:rStyle w:val="eop"/>
              </w:rPr>
            </w:pPr>
            <w:r w:rsidRPr="005B0CB6">
              <w:rPr>
                <w:rStyle w:val="eop"/>
              </w:rPr>
              <w:t xml:space="preserve">School leaders </w:t>
            </w:r>
            <w:r w:rsidR="00D95627" w:rsidRPr="005B0CB6">
              <w:rPr>
                <w:rStyle w:val="normaltextrun"/>
                <w:rFonts w:cstheme="minorHAnsi"/>
                <w:lang w:val="en-US"/>
              </w:rPr>
              <w:t>provided</w:t>
            </w:r>
            <w:r w:rsidR="005B0CB6">
              <w:rPr>
                <w:rStyle w:val="normaltextrun"/>
                <w:rFonts w:cstheme="minorHAnsi"/>
                <w:lang w:val="en-US"/>
              </w:rPr>
              <w:t xml:space="preserve"> </w:t>
            </w:r>
            <w:r w:rsidR="00D95627" w:rsidRPr="005B0CB6">
              <w:rPr>
                <w:rStyle w:val="eop"/>
              </w:rPr>
              <w:t>‘new educators’ and new staff</w:t>
            </w:r>
            <w:r w:rsidR="00D95627" w:rsidRPr="005B0CB6">
              <w:rPr>
                <w:rStyle w:val="normaltextrun"/>
                <w:rFonts w:cstheme="minorHAnsi"/>
                <w:lang w:val="en-US"/>
              </w:rPr>
              <w:t xml:space="preserve"> with focused and constructive feedback </w:t>
            </w:r>
            <w:r w:rsidR="001034C8" w:rsidRPr="005B0CB6">
              <w:rPr>
                <w:rStyle w:val="eop"/>
              </w:rPr>
              <w:t xml:space="preserve">to build their professional capacity. </w:t>
            </w:r>
          </w:p>
          <w:p w14:paraId="4F19C6D9" w14:textId="5162BC42" w:rsidR="00937D6F" w:rsidRPr="00CA26FB" w:rsidRDefault="005B0CB6" w:rsidP="00CA26FB">
            <w:pPr>
              <w:pStyle w:val="ListBullet"/>
            </w:pPr>
            <w:r>
              <w:t>Online p</w:t>
            </w:r>
            <w:r w:rsidR="0042184D" w:rsidRPr="005B0CB6">
              <w:t xml:space="preserve">eer coaching </w:t>
            </w:r>
            <w:r>
              <w:t>modules</w:t>
            </w:r>
            <w:r w:rsidR="0042184D" w:rsidRPr="005B0CB6">
              <w:t xml:space="preserve"> were </w:t>
            </w:r>
            <w:r>
              <w:t>published</w:t>
            </w:r>
            <w:r w:rsidR="0042184D" w:rsidRPr="005B0CB6">
              <w:t xml:space="preserve"> </w:t>
            </w:r>
            <w:r>
              <w:t>in term 3 to induct</w:t>
            </w:r>
            <w:r w:rsidR="0042184D" w:rsidRPr="005B0CB6">
              <w:t xml:space="preserve"> ‘new educators’ and new staff.</w:t>
            </w:r>
            <w:r w:rsidR="0042184D">
              <w:t xml:space="preserve"> </w:t>
            </w:r>
          </w:p>
        </w:tc>
      </w:tr>
    </w:tbl>
    <w:p w14:paraId="16392F0B" w14:textId="77777777" w:rsidR="00937D6F" w:rsidRDefault="00937D6F" w:rsidP="00937D6F">
      <w:pPr>
        <w:pStyle w:val="BodyText"/>
      </w:pPr>
    </w:p>
    <w:p w14:paraId="50DBDD88" w14:textId="793D45F7" w:rsidR="005611F4" w:rsidRPr="005611F4" w:rsidRDefault="00937D6F" w:rsidP="005B3663">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B74B75">
        <w:trPr>
          <w:trHeight w:val="116"/>
          <w:jc w:val="center"/>
        </w:trPr>
        <w:tc>
          <w:tcPr>
            <w:tcW w:w="9016" w:type="dxa"/>
            <w:shd w:val="clear" w:color="auto" w:fill="auto"/>
          </w:tcPr>
          <w:p w14:paraId="63AAFAB2" w14:textId="77777777" w:rsidR="005B3663" w:rsidRDefault="005B3663" w:rsidP="005B3663">
            <w:pPr>
              <w:pStyle w:val="NumberedList"/>
              <w:numPr>
                <w:ilvl w:val="0"/>
                <w:numId w:val="0"/>
              </w:numPr>
              <w:ind w:left="357" w:hanging="357"/>
              <w:rPr>
                <w:b/>
                <w:bCs/>
              </w:rPr>
            </w:pPr>
            <w:r>
              <w:rPr>
                <w:b/>
              </w:rPr>
              <w:t>Embed</w:t>
            </w:r>
            <w:r w:rsidRPr="00DB293B">
              <w:rPr>
                <w:b/>
                <w:bCs/>
              </w:rPr>
              <w:t xml:space="preserve"> instructional leadership structures and processes that build professional capacity</w:t>
            </w:r>
          </w:p>
          <w:p w14:paraId="719911C8" w14:textId="53A67F3B" w:rsidR="005708E2" w:rsidRPr="005B0CB6" w:rsidRDefault="005B3663" w:rsidP="00E52606">
            <w:pPr>
              <w:pStyle w:val="ListBullet"/>
            </w:pPr>
            <w:r>
              <w:rPr>
                <w:iCs/>
                <w:lang w:eastAsia="ja-JP"/>
              </w:rPr>
              <w:t>A</w:t>
            </w:r>
            <w:r w:rsidR="00AA6CDE" w:rsidRPr="0017587D">
              <w:rPr>
                <w:iCs/>
                <w:lang w:eastAsia="ja-JP"/>
              </w:rPr>
              <w:t xml:space="preserve"> more rigorous and explicit commitment </w:t>
            </w:r>
            <w:r w:rsidR="00AA6CDE">
              <w:t xml:space="preserve">to instructional leadership is necessary in 2020, with </w:t>
            </w:r>
            <w:r w:rsidR="00421900">
              <w:t>timetabl</w:t>
            </w:r>
            <w:r w:rsidR="001539EC">
              <w:t>es</w:t>
            </w:r>
            <w:r w:rsidR="00421900">
              <w:t xml:space="preserve"> </w:t>
            </w:r>
            <w:r w:rsidR="00603A92">
              <w:t>support</w:t>
            </w:r>
            <w:r w:rsidR="001539EC">
              <w:t>ing</w:t>
            </w:r>
            <w:r w:rsidR="00603A92">
              <w:t xml:space="preserve"> </w:t>
            </w:r>
            <w:r w:rsidR="00AA6CDE">
              <w:t xml:space="preserve">school leaders </w:t>
            </w:r>
            <w:r w:rsidR="00B96F8B">
              <w:t xml:space="preserve">to </w:t>
            </w:r>
            <w:r w:rsidR="00AA6CDE">
              <w:t xml:space="preserve">regularly be present in classrooms and </w:t>
            </w:r>
            <w:r w:rsidR="00B174A2" w:rsidRPr="005B0CB6">
              <w:rPr>
                <w:rStyle w:val="normaltextrun"/>
                <w:rFonts w:cstheme="minorHAnsi"/>
                <w:lang w:val="en-US"/>
              </w:rPr>
              <w:t>provid</w:t>
            </w:r>
            <w:r w:rsidR="00B96F8B" w:rsidRPr="005B0CB6">
              <w:rPr>
                <w:rStyle w:val="normaltextrun"/>
                <w:rFonts w:cstheme="minorHAnsi"/>
                <w:lang w:val="en-US"/>
              </w:rPr>
              <w:t>e</w:t>
            </w:r>
            <w:r w:rsidR="00B174A2" w:rsidRPr="005B0CB6">
              <w:rPr>
                <w:rStyle w:val="normaltextrun"/>
                <w:rFonts w:cstheme="minorHAnsi"/>
                <w:lang w:val="en-US"/>
              </w:rPr>
              <w:t xml:space="preserve"> teachers with focused</w:t>
            </w:r>
            <w:r w:rsidR="00A8687A">
              <w:rPr>
                <w:rStyle w:val="normaltextrun"/>
                <w:rFonts w:cstheme="minorHAnsi"/>
                <w:lang w:val="en-US"/>
              </w:rPr>
              <w:t xml:space="preserve">, </w:t>
            </w:r>
            <w:r w:rsidR="00B174A2" w:rsidRPr="005B0CB6">
              <w:rPr>
                <w:rStyle w:val="normaltextrun"/>
                <w:rFonts w:cstheme="minorHAnsi"/>
                <w:lang w:val="en-US"/>
              </w:rPr>
              <w:t xml:space="preserve">constructive </w:t>
            </w:r>
            <w:r w:rsidR="00A8687A">
              <w:rPr>
                <w:rStyle w:val="normaltextrun"/>
                <w:rFonts w:cstheme="minorHAnsi"/>
                <w:lang w:val="en-US"/>
              </w:rPr>
              <w:t xml:space="preserve">but non-judgmental </w:t>
            </w:r>
            <w:r w:rsidR="00B174A2" w:rsidRPr="005B0CB6">
              <w:rPr>
                <w:rStyle w:val="normaltextrun"/>
                <w:rFonts w:cstheme="minorHAnsi"/>
                <w:lang w:val="en-US"/>
              </w:rPr>
              <w:t xml:space="preserve">feedback that </w:t>
            </w:r>
            <w:r w:rsidR="00B174A2" w:rsidRPr="005B0CB6">
              <w:rPr>
                <w:rStyle w:val="eop"/>
                <w:rFonts w:cstheme="minorHAnsi"/>
              </w:rPr>
              <w:t>results in improved teaching and learning</w:t>
            </w:r>
            <w:r w:rsidR="00A40A2E" w:rsidRPr="005B0CB6">
              <w:rPr>
                <w:rStyle w:val="eop"/>
                <w:rFonts w:cstheme="minorHAnsi"/>
              </w:rPr>
              <w:t xml:space="preserve"> </w:t>
            </w:r>
            <w:r w:rsidR="00A40A2E" w:rsidRPr="005B0CB6">
              <w:t>in</w:t>
            </w:r>
            <w:r w:rsidR="00AA6CDE" w:rsidRPr="005B0CB6">
              <w:t xml:space="preserve"> the priority areas</w:t>
            </w:r>
            <w:r w:rsidR="005708E2" w:rsidRPr="005B0CB6">
              <w:t>.</w:t>
            </w:r>
          </w:p>
          <w:p w14:paraId="777C02C7" w14:textId="576E8FA1" w:rsidR="009C346B" w:rsidRDefault="005708E2" w:rsidP="00CB18DA">
            <w:pPr>
              <w:pStyle w:val="ListBullet2"/>
              <w:numPr>
                <w:ilvl w:val="0"/>
                <w:numId w:val="37"/>
              </w:numPr>
              <w:ind w:left="313" w:hanging="313"/>
            </w:pPr>
            <w:r>
              <w:t>P</w:t>
            </w:r>
            <w:r w:rsidR="00AA6CDE">
              <w:t xml:space="preserve">rofessional community inquiries and peer coaching </w:t>
            </w:r>
            <w:r>
              <w:t xml:space="preserve">are to </w:t>
            </w:r>
            <w:r w:rsidR="00AA6CDE">
              <w:t xml:space="preserve">be more consistently aligned with each other and school priorities.  </w:t>
            </w:r>
          </w:p>
          <w:p w14:paraId="4788E54F" w14:textId="77777777" w:rsidR="00CB18DA" w:rsidRPr="00CB18DA" w:rsidRDefault="00CB18DA" w:rsidP="00CB18DA">
            <w:pPr>
              <w:pStyle w:val="ListBullet2"/>
              <w:numPr>
                <w:ilvl w:val="0"/>
                <w:numId w:val="0"/>
              </w:numPr>
              <w:ind w:left="313"/>
            </w:pPr>
          </w:p>
          <w:p w14:paraId="77FE476C" w14:textId="1B1286CE" w:rsidR="00A8687A" w:rsidRDefault="005B3663" w:rsidP="005B3663">
            <w:pPr>
              <w:pStyle w:val="NumberedList"/>
              <w:numPr>
                <w:ilvl w:val="0"/>
                <w:numId w:val="0"/>
              </w:numPr>
              <w:rPr>
                <w:b/>
                <w:bCs/>
              </w:rPr>
            </w:pPr>
            <w:r>
              <w:rPr>
                <w:b/>
                <w:bCs/>
              </w:rPr>
              <w:lastRenderedPageBreak/>
              <w:t>D</w:t>
            </w:r>
            <w:r w:rsidRPr="00DB293B">
              <w:rPr>
                <w:b/>
                <w:bCs/>
              </w:rPr>
              <w:t>evelop teacher expertise in peer coaching, mentoring and feedback to build professional</w:t>
            </w:r>
            <w:r>
              <w:rPr>
                <w:b/>
                <w:bCs/>
              </w:rPr>
              <w:t xml:space="preserve"> </w:t>
            </w:r>
            <w:r w:rsidRPr="00DB293B">
              <w:rPr>
                <w:b/>
                <w:bCs/>
              </w:rPr>
              <w:t>capacity</w:t>
            </w:r>
          </w:p>
          <w:p w14:paraId="2296A90B" w14:textId="54C02C52" w:rsidR="00B96F8B" w:rsidRDefault="00C20A6F" w:rsidP="009C346B">
            <w:pPr>
              <w:pStyle w:val="ListBullet2"/>
              <w:numPr>
                <w:ilvl w:val="0"/>
                <w:numId w:val="35"/>
              </w:numPr>
              <w:ind w:left="313" w:hanging="313"/>
            </w:pPr>
            <w:r>
              <w:t xml:space="preserve">School leaders </w:t>
            </w:r>
            <w:r w:rsidR="00E51B53">
              <w:t xml:space="preserve">and identified teachers </w:t>
            </w:r>
            <w:r w:rsidR="00A8687A">
              <w:t xml:space="preserve">continue to </w:t>
            </w:r>
            <w:r>
              <w:t>p</w:t>
            </w:r>
            <w:r w:rsidR="00B96F8B">
              <w:t>articipate in the “10 Essential Literacy Practices” project with Christine Topfer and Directorate ‘Instructional Mentors’</w:t>
            </w:r>
            <w:r w:rsidR="00E351B5">
              <w:t xml:space="preserve">, with the intention to then </w:t>
            </w:r>
            <w:r w:rsidR="00DE3101">
              <w:t xml:space="preserve">coach and mentor all </w:t>
            </w:r>
            <w:r w:rsidR="00466941">
              <w:t>staff</w:t>
            </w:r>
            <w:r w:rsidR="001220F0">
              <w:t xml:space="preserve">. </w:t>
            </w:r>
          </w:p>
          <w:p w14:paraId="6B711A02" w14:textId="2F51332B" w:rsidR="00A8687A" w:rsidRDefault="00A8687A" w:rsidP="00A8687A">
            <w:pPr>
              <w:pStyle w:val="ListBullet2"/>
              <w:numPr>
                <w:ilvl w:val="0"/>
                <w:numId w:val="35"/>
              </w:numPr>
              <w:ind w:left="313" w:hanging="313"/>
            </w:pPr>
            <w:r>
              <w:t xml:space="preserve">School leaders and identified teachers revisit PANL and other relevant professional learning in numeracy with the intention to then coach and mentor all staff. </w:t>
            </w:r>
          </w:p>
          <w:p w14:paraId="3F28BDDC" w14:textId="1372D66B" w:rsidR="001220F0" w:rsidRPr="00A8687A" w:rsidRDefault="005F6E11" w:rsidP="009C346B">
            <w:pPr>
              <w:pStyle w:val="ListBullet2"/>
              <w:numPr>
                <w:ilvl w:val="0"/>
                <w:numId w:val="35"/>
              </w:numPr>
              <w:ind w:left="313" w:hanging="313"/>
            </w:pPr>
            <w:r w:rsidRPr="00A8687A">
              <w:t>Employ</w:t>
            </w:r>
            <w:r w:rsidR="00207104" w:rsidRPr="00A8687A">
              <w:t xml:space="preserve"> </w:t>
            </w:r>
            <w:r w:rsidR="00A8687A" w:rsidRPr="00A8687A">
              <w:t>online delivery of</w:t>
            </w:r>
            <w:r w:rsidR="00694E11" w:rsidRPr="00A8687A">
              <w:t xml:space="preserve"> professional learning</w:t>
            </w:r>
            <w:r w:rsidR="00116AD6" w:rsidRPr="00A8687A">
              <w:t xml:space="preserve"> in peer coaching</w:t>
            </w:r>
            <w:r w:rsidR="00694E11" w:rsidRPr="00A8687A">
              <w:t>:</w:t>
            </w:r>
            <w:r w:rsidR="00207104" w:rsidRPr="00A8687A">
              <w:t xml:space="preserve"> “Building a Culture of Effective Feedback”</w:t>
            </w:r>
            <w:r w:rsidR="00694E11" w:rsidRPr="00A8687A">
              <w:t xml:space="preserve">. </w:t>
            </w:r>
          </w:p>
          <w:p w14:paraId="4D0D0527" w14:textId="5D964926" w:rsidR="005B3663" w:rsidRDefault="00A06B57" w:rsidP="001954F7">
            <w:pPr>
              <w:pStyle w:val="ListBullet2"/>
              <w:numPr>
                <w:ilvl w:val="0"/>
                <w:numId w:val="35"/>
              </w:numPr>
              <w:ind w:left="313" w:hanging="313"/>
            </w:pPr>
            <w:r>
              <w:t xml:space="preserve">School leaders monitor peer coaching </w:t>
            </w:r>
            <w:r w:rsidR="0010526B">
              <w:t xml:space="preserve">cycles </w:t>
            </w:r>
            <w:r w:rsidR="00903B52">
              <w:t>more closely</w:t>
            </w:r>
            <w:r w:rsidR="00A8687A">
              <w:t>,</w:t>
            </w:r>
            <w:r w:rsidR="00903B52">
              <w:t xml:space="preserve"> ensure</w:t>
            </w:r>
            <w:r w:rsidR="0010526B">
              <w:t xml:space="preserve"> sufficient time is devoted </w:t>
            </w:r>
            <w:r w:rsidR="001954F7">
              <w:t>as an enabler</w:t>
            </w:r>
            <w:r w:rsidR="00A8687A">
              <w:t xml:space="preserve"> and ensure that all staff commit to the action. </w:t>
            </w:r>
          </w:p>
        </w:tc>
      </w:tr>
    </w:tbl>
    <w:p w14:paraId="35CBA587" w14:textId="77777777" w:rsidR="00CB18DA" w:rsidRDefault="00CB18DA" w:rsidP="00A8687A">
      <w:pPr>
        <w:pStyle w:val="Heading2"/>
        <w:tabs>
          <w:tab w:val="clear" w:pos="2410"/>
          <w:tab w:val="left" w:pos="1276"/>
        </w:tabs>
        <w:ind w:left="0" w:firstLine="0"/>
      </w:pPr>
    </w:p>
    <w:p w14:paraId="71B86871" w14:textId="69D1EF06" w:rsidR="00EB70CE" w:rsidRPr="000F0410" w:rsidRDefault="00EB70CE" w:rsidP="00A8687A">
      <w:pPr>
        <w:pStyle w:val="Heading2"/>
        <w:tabs>
          <w:tab w:val="clear" w:pos="2410"/>
          <w:tab w:val="left" w:pos="1276"/>
        </w:tabs>
        <w:ind w:left="0" w:firstLine="0"/>
        <w:rPr>
          <w:color w:val="auto"/>
        </w:rPr>
      </w:pPr>
      <w:r w:rsidRPr="000F0410">
        <w:t xml:space="preserve">Priority </w:t>
      </w:r>
      <w:r>
        <w:t>3</w:t>
      </w:r>
      <w:r w:rsidRPr="000F0410">
        <w:t>:</w:t>
      </w:r>
      <w:r w:rsidR="00F23EAA">
        <w:rPr>
          <w:color w:val="auto"/>
        </w:rPr>
        <w:t xml:space="preserve"> Build a safe, inclusive and respectful school culture</w:t>
      </w:r>
    </w:p>
    <w:p w14:paraId="4A8BBC93" w14:textId="77777777" w:rsidR="00EB70CE" w:rsidRPr="00837137" w:rsidRDefault="00EB70CE" w:rsidP="00EB70CE">
      <w:pPr>
        <w:pStyle w:val="Heading3"/>
      </w:pPr>
      <w:r w:rsidRPr="00837137">
        <w:t>Targets or measures</w:t>
      </w:r>
    </w:p>
    <w:p w14:paraId="22E7DDB3" w14:textId="23FA5D3B" w:rsidR="00EB393E" w:rsidRDefault="000A0BA9" w:rsidP="00EB393E">
      <w:pPr>
        <w:pStyle w:val="BodyText"/>
      </w:pPr>
      <w:r>
        <w:t>By the end of 2020 we will achieve</w:t>
      </w:r>
      <w:r w:rsidR="00EB393E">
        <w:t xml:space="preserve"> the following.</w:t>
      </w:r>
    </w:p>
    <w:p w14:paraId="53241B35" w14:textId="77777777" w:rsidR="00666B03" w:rsidRDefault="00D252F8" w:rsidP="00666B03">
      <w:pPr>
        <w:pStyle w:val="NoSpacing"/>
        <w:numPr>
          <w:ilvl w:val="0"/>
          <w:numId w:val="24"/>
        </w:numPr>
        <w:tabs>
          <w:tab w:val="left" w:pos="284"/>
        </w:tabs>
        <w:ind w:left="0" w:firstLine="0"/>
      </w:pPr>
      <w:r w:rsidRPr="00834670">
        <w:t>90% of students demonstrate increased understanding of wellbeing</w:t>
      </w:r>
      <w:r w:rsidR="00EB393E">
        <w:t>.</w:t>
      </w:r>
    </w:p>
    <w:p w14:paraId="6C998164" w14:textId="781184E4" w:rsidR="00666B03" w:rsidRPr="00666B03" w:rsidRDefault="00666B03" w:rsidP="00666B03">
      <w:pPr>
        <w:pStyle w:val="NoSpacing"/>
        <w:numPr>
          <w:ilvl w:val="0"/>
          <w:numId w:val="24"/>
        </w:numPr>
        <w:tabs>
          <w:tab w:val="left" w:pos="284"/>
        </w:tabs>
        <w:ind w:left="0" w:firstLine="0"/>
      </w:pPr>
      <w:r w:rsidRPr="00834670">
        <w:t xml:space="preserve">Mindfulness </w:t>
      </w:r>
      <w:r>
        <w:t>lessons are observed in 100% of classrooms.</w:t>
      </w:r>
    </w:p>
    <w:p w14:paraId="238A91C8" w14:textId="20500593" w:rsidR="000A0BA9" w:rsidRPr="006068B7" w:rsidRDefault="000A0BA9" w:rsidP="00660448">
      <w:pPr>
        <w:pStyle w:val="NoSpacing"/>
        <w:numPr>
          <w:ilvl w:val="0"/>
          <w:numId w:val="24"/>
        </w:numPr>
        <w:tabs>
          <w:tab w:val="left" w:pos="284"/>
        </w:tabs>
        <w:ind w:left="0" w:firstLine="0"/>
      </w:pPr>
      <w:r w:rsidRPr="006068B7">
        <w:t xml:space="preserve">90% of parents </w:t>
      </w:r>
      <w:r w:rsidRPr="006068B7">
        <w:rPr>
          <w:i/>
        </w:rPr>
        <w:t>agree/strongly agree that they feel respected in the school environment</w:t>
      </w:r>
      <w:r w:rsidRPr="006068B7">
        <w:t xml:space="preserve"> (</w:t>
      </w:r>
      <w:r>
        <w:t>Baseline data to be obtained in 2016 (</w:t>
      </w:r>
      <w:r w:rsidRPr="006068B7">
        <w:t>Data collection tool: School Survey)</w:t>
      </w:r>
      <w:r w:rsidR="00EB393E">
        <w:t>.</w:t>
      </w:r>
    </w:p>
    <w:p w14:paraId="16076C3E" w14:textId="38F296AB" w:rsidR="000A0BA9" w:rsidRPr="006068B7" w:rsidRDefault="000A0BA9" w:rsidP="000A0BA9">
      <w:pPr>
        <w:widowControl w:val="0"/>
        <w:numPr>
          <w:ilvl w:val="0"/>
          <w:numId w:val="22"/>
        </w:numPr>
        <w:tabs>
          <w:tab w:val="left" w:pos="284"/>
        </w:tabs>
        <w:spacing w:after="0" w:line="240" w:lineRule="auto"/>
        <w:ind w:left="0" w:firstLine="0"/>
      </w:pPr>
      <w:r w:rsidRPr="006068B7">
        <w:t xml:space="preserve">85% of students </w:t>
      </w:r>
      <w:r w:rsidRPr="006068B7">
        <w:rPr>
          <w:i/>
        </w:rPr>
        <w:t xml:space="preserve">agree/strongly agree that they feel respected in the school environment </w:t>
      </w:r>
      <w:r w:rsidRPr="006068B7">
        <w:t>(Data collection tool: School Survey)</w:t>
      </w:r>
      <w:r w:rsidR="00EB393E">
        <w:t>.</w:t>
      </w:r>
    </w:p>
    <w:p w14:paraId="35D03E0C" w14:textId="4D8AF5C9" w:rsidR="000A0BA9" w:rsidRPr="006068B7" w:rsidRDefault="000A0BA9" w:rsidP="000A0BA9">
      <w:pPr>
        <w:widowControl w:val="0"/>
        <w:numPr>
          <w:ilvl w:val="0"/>
          <w:numId w:val="22"/>
        </w:numPr>
        <w:tabs>
          <w:tab w:val="left" w:pos="284"/>
        </w:tabs>
        <w:spacing w:after="0" w:line="240" w:lineRule="auto"/>
        <w:ind w:left="0" w:firstLine="0"/>
      </w:pPr>
      <w:r w:rsidRPr="006068B7">
        <w:t xml:space="preserve">95% of staff </w:t>
      </w:r>
      <w:r w:rsidRPr="006068B7">
        <w:rPr>
          <w:i/>
        </w:rPr>
        <w:t xml:space="preserve">agree/strongly agree that they feel respected in the school environment </w:t>
      </w:r>
      <w:r w:rsidRPr="006068B7">
        <w:t>(Data collection tool: School Survey)</w:t>
      </w:r>
      <w:r w:rsidR="00EB393E">
        <w:t>.</w:t>
      </w:r>
    </w:p>
    <w:p w14:paraId="10E91CB1" w14:textId="67040DCA" w:rsidR="000A0BA9" w:rsidRPr="006068B7" w:rsidRDefault="000A0BA9" w:rsidP="000A0BA9">
      <w:pPr>
        <w:pStyle w:val="NoSpacing"/>
        <w:numPr>
          <w:ilvl w:val="0"/>
          <w:numId w:val="22"/>
        </w:numPr>
        <w:tabs>
          <w:tab w:val="left" w:pos="284"/>
          <w:tab w:val="left" w:pos="310"/>
        </w:tabs>
        <w:ind w:left="0" w:firstLine="0"/>
      </w:pPr>
      <w:r w:rsidRPr="006068B7">
        <w:t xml:space="preserve">90% of students agree/strongly agree that </w:t>
      </w:r>
      <w:r w:rsidRPr="006068B7">
        <w:rPr>
          <w:i/>
        </w:rPr>
        <w:t>I feel safe at school (</w:t>
      </w:r>
      <w:r w:rsidRPr="006068B7">
        <w:t>Data collection tool: System Satisfaction Survey)</w:t>
      </w:r>
      <w:r w:rsidR="00EB393E">
        <w:t>.</w:t>
      </w:r>
    </w:p>
    <w:p w14:paraId="59FE6CF8" w14:textId="55A1AB99" w:rsidR="000A0BA9" w:rsidRPr="006068B7" w:rsidRDefault="000A0BA9" w:rsidP="000A0BA9">
      <w:pPr>
        <w:pStyle w:val="NoSpacing"/>
        <w:numPr>
          <w:ilvl w:val="0"/>
          <w:numId w:val="22"/>
        </w:numPr>
        <w:tabs>
          <w:tab w:val="left" w:pos="284"/>
          <w:tab w:val="left" w:pos="310"/>
        </w:tabs>
        <w:ind w:left="0" w:firstLine="0"/>
      </w:pPr>
      <w:r w:rsidRPr="006068B7">
        <w:t xml:space="preserve">90% or more of parents on average from 2016 to 2020 agree/strongly agree that </w:t>
      </w:r>
      <w:r w:rsidRPr="006068B7">
        <w:rPr>
          <w:i/>
        </w:rPr>
        <w:t xml:space="preserve">my child feels safe at school </w:t>
      </w:r>
      <w:r w:rsidRPr="006068B7">
        <w:t>(Data collection tool: System Satisfaction Survey)</w:t>
      </w:r>
      <w:r w:rsidR="00EB393E">
        <w:t>.</w:t>
      </w:r>
    </w:p>
    <w:p w14:paraId="10A7488E" w14:textId="77777777" w:rsidR="000A0BA9" w:rsidRDefault="000A0BA9" w:rsidP="000A0BA9">
      <w:pPr>
        <w:pStyle w:val="NoSpacing"/>
        <w:numPr>
          <w:ilvl w:val="0"/>
          <w:numId w:val="22"/>
        </w:numPr>
        <w:tabs>
          <w:tab w:val="left" w:pos="284"/>
          <w:tab w:val="left" w:pos="310"/>
        </w:tabs>
        <w:ind w:left="0" w:firstLine="0"/>
      </w:pPr>
      <w:r w:rsidRPr="006068B7">
        <w:t xml:space="preserve">85% of parents agree that </w:t>
      </w:r>
      <w:r w:rsidRPr="006068B7">
        <w:rPr>
          <w:i/>
        </w:rPr>
        <w:t xml:space="preserve">community partnerships are valued and maintained at the school </w:t>
      </w:r>
      <w:r w:rsidRPr="006068B7">
        <w:t>(Data collection tool: System Satisfaction Survey).</w:t>
      </w:r>
    </w:p>
    <w:p w14:paraId="7C97169F" w14:textId="77777777" w:rsidR="000A0BA9" w:rsidRPr="006068B7" w:rsidRDefault="000A0BA9" w:rsidP="000A0BA9">
      <w:pPr>
        <w:pStyle w:val="NoSpacing"/>
        <w:tabs>
          <w:tab w:val="left" w:pos="284"/>
          <w:tab w:val="left" w:pos="310"/>
        </w:tabs>
      </w:pPr>
    </w:p>
    <w:p w14:paraId="4B4BC3F4" w14:textId="33FE24EC" w:rsidR="000A0BA9" w:rsidRPr="004E447B" w:rsidRDefault="000A0BA9" w:rsidP="000A0BA9">
      <w:pPr>
        <w:pStyle w:val="BodyText"/>
      </w:pPr>
      <w:r w:rsidRPr="00373DC0">
        <w:t>In 20</w:t>
      </w:r>
      <w:r w:rsidR="00CB18DA">
        <w:t>20</w:t>
      </w:r>
      <w:r w:rsidRPr="00373DC0">
        <w:t xml:space="preserve"> we </w:t>
      </w:r>
      <w:r>
        <w:t>implemented</w:t>
      </w:r>
      <w:r w:rsidRPr="00373DC0">
        <w:t xml:space="preserve"> this priority throug</w:t>
      </w:r>
      <w:r>
        <w:t xml:space="preserve">h the following </w:t>
      </w:r>
      <w:r w:rsidRPr="00373DC0">
        <w:t>strategies</w:t>
      </w:r>
      <w:r w:rsidR="008B6E06">
        <w:t>:</w:t>
      </w:r>
    </w:p>
    <w:p w14:paraId="34A93A96" w14:textId="39DB5253" w:rsidR="000A0BA9" w:rsidRPr="00362A19" w:rsidRDefault="008B6E06" w:rsidP="000A0BA9">
      <w:pPr>
        <w:pStyle w:val="ListBullet"/>
      </w:pPr>
      <w:r>
        <w:t>d</w:t>
      </w:r>
      <w:r w:rsidR="000A0BA9" w:rsidRPr="00362A19">
        <w:t>evelop</w:t>
      </w:r>
      <w:r w:rsidR="000A0BA9">
        <w:t>ing</w:t>
      </w:r>
      <w:r w:rsidR="000A0BA9" w:rsidRPr="00362A19">
        <w:t xml:space="preserve"> explicit high expectations of students in the learning environment</w:t>
      </w:r>
    </w:p>
    <w:p w14:paraId="5B396941" w14:textId="254005B3" w:rsidR="000A0BA9" w:rsidRPr="00362A19" w:rsidRDefault="008B6E06" w:rsidP="000A0BA9">
      <w:pPr>
        <w:pStyle w:val="ListBullet"/>
      </w:pPr>
      <w:r w:rsidRPr="00362A19">
        <w:rPr>
          <w:rFonts w:ascii="Calibri" w:hAnsi="Calibri"/>
        </w:rPr>
        <w:t>continu</w:t>
      </w:r>
      <w:r>
        <w:rPr>
          <w:rFonts w:ascii="Calibri" w:hAnsi="Calibri"/>
        </w:rPr>
        <w:t>ing</w:t>
      </w:r>
      <w:r w:rsidRPr="00362A19">
        <w:rPr>
          <w:rFonts w:ascii="Calibri" w:hAnsi="Calibri"/>
        </w:rPr>
        <w:t xml:space="preserve"> to embed the consistent use of restorative and relational practices</w:t>
      </w:r>
    </w:p>
    <w:p w14:paraId="4487B782" w14:textId="13EBC77A" w:rsidR="000A0BA9" w:rsidRPr="00362A19" w:rsidRDefault="008B6E06" w:rsidP="000A0BA9">
      <w:pPr>
        <w:pStyle w:val="ListBullet"/>
      </w:pPr>
      <w:r w:rsidRPr="00362A19">
        <w:t>refin</w:t>
      </w:r>
      <w:r>
        <w:t>ing</w:t>
      </w:r>
      <w:r w:rsidRPr="00362A19">
        <w:t xml:space="preserve"> structures and processes that enable the effective management of student welfare and achievement</w:t>
      </w:r>
      <w:r>
        <w:t>, and</w:t>
      </w:r>
    </w:p>
    <w:p w14:paraId="2597C85A" w14:textId="05210228" w:rsidR="000A0BA9" w:rsidRPr="00362A19" w:rsidRDefault="008B6E06" w:rsidP="000A0BA9">
      <w:pPr>
        <w:pStyle w:val="ListBullet"/>
      </w:pPr>
      <w:r w:rsidRPr="00362A19">
        <w:t>strengthen</w:t>
      </w:r>
      <w:r>
        <w:t>ing</w:t>
      </w:r>
      <w:r w:rsidRPr="00362A19">
        <w:t xml:space="preserve"> productive partnerships with parents and the community</w:t>
      </w:r>
      <w:r>
        <w:t>.</w:t>
      </w:r>
    </w:p>
    <w:p w14:paraId="6B896938" w14:textId="77777777" w:rsidR="00EB70CE" w:rsidRDefault="00EB70CE" w:rsidP="00EB70CE">
      <w:pPr>
        <w:pStyle w:val="BodyText"/>
      </w:pPr>
    </w:p>
    <w:p w14:paraId="11968979" w14:textId="776CFA56"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5724B1CF"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72E4695E" w14:textId="77777777" w:rsidTr="00B74B75">
        <w:trPr>
          <w:jc w:val="center"/>
        </w:trPr>
        <w:tc>
          <w:tcPr>
            <w:tcW w:w="4297" w:type="dxa"/>
            <w:shd w:val="clear" w:color="auto" w:fill="auto"/>
          </w:tcPr>
          <w:p w14:paraId="35C63DA6" w14:textId="77777777" w:rsidR="00EB70CE" w:rsidRPr="00D03B0C" w:rsidRDefault="00EB70CE" w:rsidP="00B74B75">
            <w:pPr>
              <w:rPr>
                <w:b/>
              </w:rPr>
            </w:pPr>
            <w:r w:rsidRPr="00D03B0C">
              <w:rPr>
                <w:b/>
              </w:rPr>
              <w:t>Targets or Measures</w:t>
            </w:r>
          </w:p>
        </w:tc>
        <w:tc>
          <w:tcPr>
            <w:tcW w:w="790" w:type="dxa"/>
            <w:shd w:val="clear" w:color="auto" w:fill="auto"/>
          </w:tcPr>
          <w:p w14:paraId="1137CEEB" w14:textId="77777777" w:rsidR="00EB70CE" w:rsidRPr="00D03B0C" w:rsidRDefault="00EB70CE" w:rsidP="00B74B75">
            <w:pPr>
              <w:jc w:val="center"/>
              <w:rPr>
                <w:b/>
              </w:rPr>
            </w:pPr>
            <w:r w:rsidRPr="00D03B0C">
              <w:rPr>
                <w:b/>
              </w:rPr>
              <w:t>Base</w:t>
            </w:r>
          </w:p>
        </w:tc>
        <w:tc>
          <w:tcPr>
            <w:tcW w:w="790" w:type="dxa"/>
            <w:shd w:val="clear" w:color="auto" w:fill="auto"/>
          </w:tcPr>
          <w:p w14:paraId="2509B708" w14:textId="77777777" w:rsidR="00EB70CE" w:rsidRPr="00D03B0C" w:rsidRDefault="00EB70CE" w:rsidP="00B74B75">
            <w:pPr>
              <w:jc w:val="center"/>
              <w:rPr>
                <w:b/>
              </w:rPr>
            </w:pPr>
            <w:r w:rsidRPr="00D03B0C">
              <w:rPr>
                <w:b/>
              </w:rPr>
              <w:t>Year 1</w:t>
            </w:r>
          </w:p>
        </w:tc>
        <w:tc>
          <w:tcPr>
            <w:tcW w:w="790" w:type="dxa"/>
            <w:shd w:val="clear" w:color="auto" w:fill="auto"/>
          </w:tcPr>
          <w:p w14:paraId="00BF8773" w14:textId="77777777" w:rsidR="00EB70CE" w:rsidRPr="00D03B0C" w:rsidRDefault="00EB70CE" w:rsidP="00B74B75">
            <w:pPr>
              <w:jc w:val="center"/>
              <w:rPr>
                <w:b/>
              </w:rPr>
            </w:pPr>
            <w:r w:rsidRPr="00D03B0C">
              <w:rPr>
                <w:b/>
              </w:rPr>
              <w:t>Year 2</w:t>
            </w:r>
          </w:p>
        </w:tc>
        <w:tc>
          <w:tcPr>
            <w:tcW w:w="790" w:type="dxa"/>
            <w:shd w:val="clear" w:color="auto" w:fill="auto"/>
          </w:tcPr>
          <w:p w14:paraId="4EBBFC93" w14:textId="77777777" w:rsidR="00EB70CE" w:rsidRPr="00D03B0C" w:rsidRDefault="00EB70CE" w:rsidP="00B74B75">
            <w:pPr>
              <w:jc w:val="center"/>
              <w:rPr>
                <w:b/>
              </w:rPr>
            </w:pPr>
            <w:r w:rsidRPr="00D03B0C">
              <w:rPr>
                <w:b/>
              </w:rPr>
              <w:t>Year 3</w:t>
            </w:r>
          </w:p>
        </w:tc>
        <w:tc>
          <w:tcPr>
            <w:tcW w:w="790" w:type="dxa"/>
            <w:shd w:val="clear" w:color="auto" w:fill="auto"/>
          </w:tcPr>
          <w:p w14:paraId="1CD57D48" w14:textId="77777777" w:rsidR="00EB70CE" w:rsidRPr="00D03B0C" w:rsidRDefault="00EB70CE" w:rsidP="00B74B75">
            <w:pPr>
              <w:jc w:val="center"/>
              <w:rPr>
                <w:b/>
              </w:rPr>
            </w:pPr>
            <w:r w:rsidRPr="00D03B0C">
              <w:rPr>
                <w:b/>
              </w:rPr>
              <w:t>Year 4</w:t>
            </w:r>
          </w:p>
        </w:tc>
        <w:tc>
          <w:tcPr>
            <w:tcW w:w="791" w:type="dxa"/>
            <w:shd w:val="clear" w:color="auto" w:fill="auto"/>
          </w:tcPr>
          <w:p w14:paraId="4533E4FC" w14:textId="77777777" w:rsidR="00EB70CE" w:rsidRPr="00D03B0C" w:rsidRDefault="00EB70CE" w:rsidP="00B74B75">
            <w:pPr>
              <w:jc w:val="center"/>
              <w:rPr>
                <w:b/>
              </w:rPr>
            </w:pPr>
            <w:r w:rsidRPr="00D03B0C">
              <w:rPr>
                <w:b/>
              </w:rPr>
              <w:t>Year 5</w:t>
            </w:r>
          </w:p>
        </w:tc>
      </w:tr>
      <w:tr w:rsidR="006C1498" w14:paraId="24102F58" w14:textId="77777777" w:rsidTr="003E43FF">
        <w:trPr>
          <w:jc w:val="center"/>
        </w:trPr>
        <w:tc>
          <w:tcPr>
            <w:tcW w:w="4297" w:type="dxa"/>
            <w:shd w:val="clear" w:color="auto" w:fill="auto"/>
          </w:tcPr>
          <w:p w14:paraId="3FAB227A" w14:textId="7F65B8CC" w:rsidR="006C1498" w:rsidRPr="008973E6" w:rsidRDefault="006C1498" w:rsidP="008973E6">
            <w:pPr>
              <w:pStyle w:val="NoSpacing"/>
              <w:tabs>
                <w:tab w:val="left" w:pos="284"/>
              </w:tabs>
            </w:pPr>
            <w:r w:rsidRPr="00834670">
              <w:t>90% of students demonstrate increased understanding of wellbeing</w:t>
            </w:r>
            <w:r>
              <w:t>.</w:t>
            </w:r>
          </w:p>
        </w:tc>
        <w:tc>
          <w:tcPr>
            <w:tcW w:w="1580" w:type="dxa"/>
            <w:gridSpan w:val="2"/>
            <w:shd w:val="clear" w:color="auto" w:fill="auto"/>
            <w:vAlign w:val="center"/>
          </w:tcPr>
          <w:p w14:paraId="44EF24B5" w14:textId="7233E79C" w:rsidR="006C1498" w:rsidRPr="00D03B0C" w:rsidRDefault="006C1498" w:rsidP="006C1498">
            <w:pPr>
              <w:jc w:val="center"/>
            </w:pPr>
            <w:r>
              <w:t>9</w:t>
            </w:r>
            <w:r w:rsidR="001866A2">
              <w:t>3</w:t>
            </w:r>
            <w:r w:rsidR="00AD7C41">
              <w:t>.</w:t>
            </w:r>
            <w:r>
              <w:t>5%</w:t>
            </w:r>
          </w:p>
        </w:tc>
        <w:tc>
          <w:tcPr>
            <w:tcW w:w="790" w:type="dxa"/>
            <w:shd w:val="clear" w:color="auto" w:fill="auto"/>
            <w:vAlign w:val="center"/>
          </w:tcPr>
          <w:p w14:paraId="25601AEF" w14:textId="1C78CF94" w:rsidR="006C1498" w:rsidRPr="00D03B0C" w:rsidRDefault="003E43FF" w:rsidP="003E43FF">
            <w:pPr>
              <w:jc w:val="center"/>
            </w:pPr>
            <w:r>
              <w:t>n/a</w:t>
            </w:r>
          </w:p>
        </w:tc>
        <w:tc>
          <w:tcPr>
            <w:tcW w:w="790" w:type="dxa"/>
            <w:shd w:val="clear" w:color="auto" w:fill="D0CECE" w:themeFill="background2" w:themeFillShade="E6"/>
          </w:tcPr>
          <w:p w14:paraId="72F5FADE" w14:textId="77777777" w:rsidR="006C1498" w:rsidRPr="00D03B0C" w:rsidRDefault="006C1498" w:rsidP="00B74B75"/>
        </w:tc>
        <w:tc>
          <w:tcPr>
            <w:tcW w:w="790" w:type="dxa"/>
            <w:shd w:val="clear" w:color="auto" w:fill="D0CECE" w:themeFill="background2" w:themeFillShade="E6"/>
          </w:tcPr>
          <w:p w14:paraId="61A611C1" w14:textId="77777777" w:rsidR="006C1498" w:rsidRPr="00D03B0C" w:rsidRDefault="006C1498" w:rsidP="00B74B75"/>
        </w:tc>
        <w:tc>
          <w:tcPr>
            <w:tcW w:w="791" w:type="dxa"/>
            <w:shd w:val="clear" w:color="auto" w:fill="D0CECE" w:themeFill="background2" w:themeFillShade="E6"/>
          </w:tcPr>
          <w:p w14:paraId="3B0403BD" w14:textId="77777777" w:rsidR="006C1498" w:rsidRPr="00D03B0C" w:rsidRDefault="006C1498" w:rsidP="00B74B75"/>
        </w:tc>
      </w:tr>
    </w:tbl>
    <w:p w14:paraId="62C95D9C" w14:textId="3A0F072D" w:rsidR="00B25E4C" w:rsidRDefault="00EB70CE" w:rsidP="008973E6">
      <w:pPr>
        <w:pStyle w:val="Heading4"/>
      </w:pPr>
      <w:r>
        <w:lastRenderedPageBreak/>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B25E4C" w14:paraId="2A3EB367" w14:textId="77777777" w:rsidTr="00B74B75">
        <w:trPr>
          <w:jc w:val="center"/>
        </w:trPr>
        <w:tc>
          <w:tcPr>
            <w:tcW w:w="4297" w:type="dxa"/>
            <w:shd w:val="clear" w:color="auto" w:fill="auto"/>
          </w:tcPr>
          <w:p w14:paraId="4B54F837" w14:textId="77777777" w:rsidR="00B25E4C" w:rsidRPr="006D2F6B" w:rsidRDefault="00B25E4C" w:rsidP="00B74B75">
            <w:pPr>
              <w:rPr>
                <w:b/>
              </w:rPr>
            </w:pPr>
            <w:r w:rsidRPr="006D2F6B">
              <w:rPr>
                <w:b/>
              </w:rPr>
              <w:t>Targets or Measures</w:t>
            </w:r>
          </w:p>
        </w:tc>
        <w:tc>
          <w:tcPr>
            <w:tcW w:w="790" w:type="dxa"/>
            <w:shd w:val="clear" w:color="auto" w:fill="auto"/>
          </w:tcPr>
          <w:p w14:paraId="15C33751" w14:textId="77777777" w:rsidR="00B25E4C" w:rsidRPr="006D2F6B" w:rsidRDefault="00B25E4C" w:rsidP="00B74B75">
            <w:pPr>
              <w:jc w:val="center"/>
              <w:rPr>
                <w:b/>
              </w:rPr>
            </w:pPr>
            <w:r w:rsidRPr="006D2F6B">
              <w:rPr>
                <w:b/>
              </w:rPr>
              <w:t>Base</w:t>
            </w:r>
          </w:p>
        </w:tc>
        <w:tc>
          <w:tcPr>
            <w:tcW w:w="790" w:type="dxa"/>
            <w:shd w:val="clear" w:color="auto" w:fill="auto"/>
          </w:tcPr>
          <w:p w14:paraId="7D2DD006" w14:textId="77777777" w:rsidR="00B25E4C" w:rsidRPr="006D2F6B" w:rsidRDefault="00B25E4C" w:rsidP="00B74B75">
            <w:pPr>
              <w:jc w:val="center"/>
              <w:rPr>
                <w:b/>
              </w:rPr>
            </w:pPr>
            <w:r w:rsidRPr="006D2F6B">
              <w:rPr>
                <w:b/>
              </w:rPr>
              <w:t>Year 1</w:t>
            </w:r>
          </w:p>
        </w:tc>
        <w:tc>
          <w:tcPr>
            <w:tcW w:w="790" w:type="dxa"/>
            <w:shd w:val="clear" w:color="auto" w:fill="auto"/>
          </w:tcPr>
          <w:p w14:paraId="61927FD2" w14:textId="77777777" w:rsidR="00B25E4C" w:rsidRPr="006D2F6B" w:rsidRDefault="00B25E4C" w:rsidP="00B74B75">
            <w:pPr>
              <w:jc w:val="center"/>
              <w:rPr>
                <w:b/>
              </w:rPr>
            </w:pPr>
            <w:r w:rsidRPr="006D2F6B">
              <w:rPr>
                <w:b/>
              </w:rPr>
              <w:t>Year 2</w:t>
            </w:r>
          </w:p>
        </w:tc>
        <w:tc>
          <w:tcPr>
            <w:tcW w:w="790" w:type="dxa"/>
            <w:shd w:val="clear" w:color="auto" w:fill="auto"/>
          </w:tcPr>
          <w:p w14:paraId="4C3E8F0E" w14:textId="77777777" w:rsidR="00B25E4C" w:rsidRPr="006D2F6B" w:rsidRDefault="00B25E4C" w:rsidP="00B74B75">
            <w:pPr>
              <w:jc w:val="center"/>
              <w:rPr>
                <w:b/>
              </w:rPr>
            </w:pPr>
            <w:r w:rsidRPr="006D2F6B">
              <w:rPr>
                <w:b/>
              </w:rPr>
              <w:t>Year 3</w:t>
            </w:r>
          </w:p>
        </w:tc>
        <w:tc>
          <w:tcPr>
            <w:tcW w:w="790" w:type="dxa"/>
            <w:shd w:val="clear" w:color="auto" w:fill="auto"/>
          </w:tcPr>
          <w:p w14:paraId="1702D7EB" w14:textId="77777777" w:rsidR="00B25E4C" w:rsidRPr="006D2F6B" w:rsidRDefault="00B25E4C" w:rsidP="00B74B75">
            <w:pPr>
              <w:jc w:val="center"/>
              <w:rPr>
                <w:b/>
              </w:rPr>
            </w:pPr>
            <w:r w:rsidRPr="006D2F6B">
              <w:rPr>
                <w:b/>
              </w:rPr>
              <w:t>Year 4</w:t>
            </w:r>
          </w:p>
        </w:tc>
        <w:tc>
          <w:tcPr>
            <w:tcW w:w="791" w:type="dxa"/>
            <w:shd w:val="clear" w:color="auto" w:fill="auto"/>
          </w:tcPr>
          <w:p w14:paraId="6321FEF4" w14:textId="77777777" w:rsidR="00B25E4C" w:rsidRPr="006D2F6B" w:rsidRDefault="00B25E4C" w:rsidP="00B74B75">
            <w:pPr>
              <w:jc w:val="center"/>
              <w:rPr>
                <w:b/>
              </w:rPr>
            </w:pPr>
            <w:r w:rsidRPr="006D2F6B">
              <w:rPr>
                <w:b/>
              </w:rPr>
              <w:t>Year 5</w:t>
            </w:r>
          </w:p>
        </w:tc>
      </w:tr>
      <w:tr w:rsidR="00B25E4C" w14:paraId="28D70E30" w14:textId="77777777" w:rsidTr="00B74B75">
        <w:trPr>
          <w:jc w:val="center"/>
        </w:trPr>
        <w:tc>
          <w:tcPr>
            <w:tcW w:w="9038" w:type="dxa"/>
            <w:gridSpan w:val="7"/>
            <w:shd w:val="clear" w:color="auto" w:fill="auto"/>
          </w:tcPr>
          <w:p w14:paraId="42754B50" w14:textId="77777777" w:rsidR="00B25E4C" w:rsidRPr="006D2F6B" w:rsidRDefault="00B25E4C" w:rsidP="00B74B75">
            <w:pPr>
              <w:rPr>
                <w:b/>
              </w:rPr>
            </w:pPr>
            <w:r>
              <w:t>Stakeholders</w:t>
            </w:r>
            <w:r w:rsidRPr="006068B7">
              <w:t xml:space="preserve"> </w:t>
            </w:r>
            <w:r w:rsidRPr="006068B7">
              <w:rPr>
                <w:i/>
              </w:rPr>
              <w:t>agree/strongly agree that they feel respected in the school environment</w:t>
            </w:r>
            <w:r>
              <w:rPr>
                <w:i/>
              </w:rPr>
              <w:t>.</w:t>
            </w:r>
          </w:p>
        </w:tc>
      </w:tr>
      <w:tr w:rsidR="00B25E4C" w14:paraId="5288AF46" w14:textId="77777777" w:rsidTr="00B74B75">
        <w:trPr>
          <w:jc w:val="center"/>
        </w:trPr>
        <w:tc>
          <w:tcPr>
            <w:tcW w:w="4297" w:type="dxa"/>
            <w:shd w:val="clear" w:color="auto" w:fill="auto"/>
          </w:tcPr>
          <w:p w14:paraId="5D47FDE9" w14:textId="77777777" w:rsidR="00B25E4C" w:rsidRPr="006D2F6B" w:rsidRDefault="00B25E4C" w:rsidP="00B74B75">
            <w:pPr>
              <w:pStyle w:val="PlainText"/>
            </w:pPr>
            <w:r>
              <w:t>Parents</w:t>
            </w:r>
          </w:p>
        </w:tc>
        <w:tc>
          <w:tcPr>
            <w:tcW w:w="1580" w:type="dxa"/>
            <w:gridSpan w:val="2"/>
            <w:shd w:val="clear" w:color="auto" w:fill="auto"/>
          </w:tcPr>
          <w:p w14:paraId="2DE4AF82" w14:textId="77777777" w:rsidR="00B25E4C" w:rsidRPr="006D2F6B" w:rsidRDefault="00B25E4C" w:rsidP="00B74B75">
            <w:pPr>
              <w:jc w:val="center"/>
            </w:pPr>
            <w:r>
              <w:t>92%</w:t>
            </w:r>
          </w:p>
        </w:tc>
        <w:tc>
          <w:tcPr>
            <w:tcW w:w="790" w:type="dxa"/>
            <w:shd w:val="clear" w:color="auto" w:fill="auto"/>
          </w:tcPr>
          <w:p w14:paraId="392DDC3A" w14:textId="77777777" w:rsidR="00B25E4C" w:rsidRPr="006D2F6B" w:rsidRDefault="00B25E4C" w:rsidP="00B74B75">
            <w:pPr>
              <w:jc w:val="center"/>
            </w:pPr>
            <w:r>
              <w:t>91%</w:t>
            </w:r>
          </w:p>
        </w:tc>
        <w:tc>
          <w:tcPr>
            <w:tcW w:w="790" w:type="dxa"/>
            <w:shd w:val="clear" w:color="auto" w:fill="auto"/>
          </w:tcPr>
          <w:p w14:paraId="2F667A48" w14:textId="77777777" w:rsidR="00B25E4C" w:rsidRPr="006D2F6B" w:rsidRDefault="00B25E4C" w:rsidP="00B74B75">
            <w:pPr>
              <w:jc w:val="center"/>
            </w:pPr>
            <w:r>
              <w:t>85%</w:t>
            </w:r>
          </w:p>
        </w:tc>
        <w:tc>
          <w:tcPr>
            <w:tcW w:w="790" w:type="dxa"/>
            <w:shd w:val="clear" w:color="auto" w:fill="auto"/>
          </w:tcPr>
          <w:p w14:paraId="096DF480" w14:textId="405CB4AE" w:rsidR="00B25E4C" w:rsidRPr="006D2F6B" w:rsidRDefault="00DC16E8" w:rsidP="00B74B75">
            <w:pPr>
              <w:jc w:val="center"/>
            </w:pPr>
            <w:r>
              <w:t>83%</w:t>
            </w:r>
          </w:p>
        </w:tc>
        <w:tc>
          <w:tcPr>
            <w:tcW w:w="791" w:type="dxa"/>
            <w:shd w:val="clear" w:color="auto" w:fill="auto"/>
          </w:tcPr>
          <w:p w14:paraId="5A498BE5" w14:textId="065EA44E" w:rsidR="00B25E4C" w:rsidRPr="006D2F6B" w:rsidRDefault="0033636E" w:rsidP="00B74B75">
            <w:pPr>
              <w:jc w:val="center"/>
            </w:pPr>
            <w:r>
              <w:t>84%</w:t>
            </w:r>
          </w:p>
        </w:tc>
      </w:tr>
      <w:tr w:rsidR="00B25E4C" w14:paraId="1DE7E0AF" w14:textId="77777777" w:rsidTr="00B74B75">
        <w:trPr>
          <w:jc w:val="center"/>
        </w:trPr>
        <w:tc>
          <w:tcPr>
            <w:tcW w:w="4297" w:type="dxa"/>
            <w:shd w:val="clear" w:color="auto" w:fill="auto"/>
          </w:tcPr>
          <w:p w14:paraId="60B8FD86" w14:textId="77777777" w:rsidR="00B25E4C" w:rsidRPr="006D2F6B" w:rsidRDefault="00B25E4C" w:rsidP="00B74B75">
            <w:r>
              <w:t>Students</w:t>
            </w:r>
          </w:p>
        </w:tc>
        <w:tc>
          <w:tcPr>
            <w:tcW w:w="1580" w:type="dxa"/>
            <w:gridSpan w:val="2"/>
            <w:shd w:val="clear" w:color="auto" w:fill="auto"/>
          </w:tcPr>
          <w:p w14:paraId="33E2E981" w14:textId="77777777" w:rsidR="00B25E4C" w:rsidRPr="006D2F6B" w:rsidRDefault="00B25E4C" w:rsidP="00B74B75">
            <w:pPr>
              <w:jc w:val="center"/>
            </w:pPr>
            <w:r>
              <w:t>82%</w:t>
            </w:r>
          </w:p>
        </w:tc>
        <w:tc>
          <w:tcPr>
            <w:tcW w:w="790" w:type="dxa"/>
            <w:shd w:val="clear" w:color="auto" w:fill="auto"/>
          </w:tcPr>
          <w:p w14:paraId="2324BBF4" w14:textId="77777777" w:rsidR="00B25E4C" w:rsidRPr="006D2F6B" w:rsidRDefault="00B25E4C" w:rsidP="00B74B75">
            <w:pPr>
              <w:jc w:val="center"/>
            </w:pPr>
            <w:r>
              <w:t>62%</w:t>
            </w:r>
          </w:p>
        </w:tc>
        <w:tc>
          <w:tcPr>
            <w:tcW w:w="790" w:type="dxa"/>
            <w:shd w:val="clear" w:color="auto" w:fill="auto"/>
          </w:tcPr>
          <w:p w14:paraId="534B3B0F" w14:textId="77777777" w:rsidR="00B25E4C" w:rsidRPr="006D2F6B" w:rsidRDefault="00B25E4C" w:rsidP="00B74B75">
            <w:pPr>
              <w:jc w:val="center"/>
            </w:pPr>
            <w:r>
              <w:t>73%</w:t>
            </w:r>
          </w:p>
        </w:tc>
        <w:tc>
          <w:tcPr>
            <w:tcW w:w="790" w:type="dxa"/>
            <w:shd w:val="clear" w:color="auto" w:fill="auto"/>
          </w:tcPr>
          <w:p w14:paraId="082589DE" w14:textId="79A58219" w:rsidR="00B25E4C" w:rsidRPr="006D2F6B" w:rsidRDefault="00854791" w:rsidP="00B74B75">
            <w:pPr>
              <w:jc w:val="center"/>
            </w:pPr>
            <w:r>
              <w:t>n/a</w:t>
            </w:r>
          </w:p>
        </w:tc>
        <w:tc>
          <w:tcPr>
            <w:tcW w:w="791" w:type="dxa"/>
            <w:shd w:val="clear" w:color="auto" w:fill="auto"/>
          </w:tcPr>
          <w:p w14:paraId="2326ADD7" w14:textId="674B2129" w:rsidR="00B25E4C" w:rsidRPr="006D2F6B" w:rsidRDefault="0033636E" w:rsidP="00B74B75">
            <w:pPr>
              <w:jc w:val="center"/>
            </w:pPr>
            <w:r>
              <w:t>64%</w:t>
            </w:r>
          </w:p>
        </w:tc>
      </w:tr>
      <w:tr w:rsidR="00B25E4C" w14:paraId="6F1396CA" w14:textId="77777777" w:rsidTr="00B74B75">
        <w:trPr>
          <w:jc w:val="center"/>
        </w:trPr>
        <w:tc>
          <w:tcPr>
            <w:tcW w:w="4297" w:type="dxa"/>
            <w:shd w:val="clear" w:color="auto" w:fill="auto"/>
          </w:tcPr>
          <w:p w14:paraId="63A3494D" w14:textId="77777777" w:rsidR="00B25E4C" w:rsidRDefault="00B25E4C" w:rsidP="00B74B75">
            <w:r>
              <w:t>Staff</w:t>
            </w:r>
          </w:p>
        </w:tc>
        <w:tc>
          <w:tcPr>
            <w:tcW w:w="1580" w:type="dxa"/>
            <w:gridSpan w:val="2"/>
            <w:shd w:val="clear" w:color="auto" w:fill="auto"/>
          </w:tcPr>
          <w:p w14:paraId="0A4003DD" w14:textId="77777777" w:rsidR="00B25E4C" w:rsidRPr="006D2F6B" w:rsidRDefault="00B25E4C" w:rsidP="00B74B75">
            <w:pPr>
              <w:jc w:val="center"/>
            </w:pPr>
            <w:r>
              <w:t>89%</w:t>
            </w:r>
          </w:p>
        </w:tc>
        <w:tc>
          <w:tcPr>
            <w:tcW w:w="790" w:type="dxa"/>
            <w:shd w:val="clear" w:color="auto" w:fill="auto"/>
          </w:tcPr>
          <w:p w14:paraId="54E0F68C" w14:textId="77777777" w:rsidR="00B25E4C" w:rsidRPr="006D2F6B" w:rsidRDefault="00B25E4C" w:rsidP="00B74B75">
            <w:pPr>
              <w:jc w:val="center"/>
            </w:pPr>
            <w:r>
              <w:t>90%</w:t>
            </w:r>
          </w:p>
        </w:tc>
        <w:tc>
          <w:tcPr>
            <w:tcW w:w="790" w:type="dxa"/>
            <w:shd w:val="clear" w:color="auto" w:fill="auto"/>
          </w:tcPr>
          <w:p w14:paraId="555F3AB7" w14:textId="77777777" w:rsidR="00B25E4C" w:rsidRPr="006D2F6B" w:rsidRDefault="00B25E4C" w:rsidP="00B74B75">
            <w:pPr>
              <w:jc w:val="center"/>
            </w:pPr>
            <w:r>
              <w:t>93%</w:t>
            </w:r>
          </w:p>
        </w:tc>
        <w:tc>
          <w:tcPr>
            <w:tcW w:w="790" w:type="dxa"/>
            <w:shd w:val="clear" w:color="auto" w:fill="auto"/>
          </w:tcPr>
          <w:p w14:paraId="415C60DD" w14:textId="4BD3A7F8" w:rsidR="00B25E4C" w:rsidRPr="006D2F6B" w:rsidRDefault="00854791" w:rsidP="00B74B75">
            <w:pPr>
              <w:jc w:val="center"/>
            </w:pPr>
            <w:r>
              <w:t>86%</w:t>
            </w:r>
          </w:p>
        </w:tc>
        <w:tc>
          <w:tcPr>
            <w:tcW w:w="791" w:type="dxa"/>
            <w:shd w:val="clear" w:color="auto" w:fill="auto"/>
          </w:tcPr>
          <w:p w14:paraId="0FFCC4B9" w14:textId="0B2D544E" w:rsidR="00B25E4C" w:rsidRPr="006D2F6B" w:rsidRDefault="0033636E" w:rsidP="00B74B75">
            <w:pPr>
              <w:jc w:val="center"/>
            </w:pPr>
            <w:r>
              <w:t>78%</w:t>
            </w:r>
          </w:p>
        </w:tc>
      </w:tr>
    </w:tbl>
    <w:p w14:paraId="79FDECD4" w14:textId="1D737FCC" w:rsidR="00B25E4C" w:rsidRDefault="00B25E4C" w:rsidP="00B25E4C"/>
    <w:p w14:paraId="72FA7578" w14:textId="48017BFE" w:rsidR="00B25E4C" w:rsidRDefault="00B25E4C" w:rsidP="00B25E4C"/>
    <w:p w14:paraId="7BFEADCA" w14:textId="745E1B83" w:rsidR="00B25E4C" w:rsidRDefault="00B25E4C" w:rsidP="00B25E4C"/>
    <w:tbl>
      <w:tblPr>
        <w:tblStyle w:val="TableGrid"/>
        <w:tblpPr w:leftFromText="180" w:rightFromText="180" w:vertAnchor="text" w:horzAnchor="margin" w:tblpY="-194"/>
        <w:tblW w:w="9038" w:type="dxa"/>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893C36" w14:paraId="2E840069" w14:textId="77777777" w:rsidTr="00B74B75">
        <w:tc>
          <w:tcPr>
            <w:tcW w:w="4297" w:type="dxa"/>
            <w:shd w:val="clear" w:color="auto" w:fill="auto"/>
          </w:tcPr>
          <w:p w14:paraId="5C0FCD0D" w14:textId="77777777" w:rsidR="00893C36" w:rsidRPr="006D2F6B" w:rsidRDefault="00893C36" w:rsidP="00B74B75">
            <w:pPr>
              <w:rPr>
                <w:b/>
              </w:rPr>
            </w:pPr>
            <w:r w:rsidRPr="006D2F6B">
              <w:rPr>
                <w:b/>
              </w:rPr>
              <w:t>Targets or Measures</w:t>
            </w:r>
          </w:p>
        </w:tc>
        <w:tc>
          <w:tcPr>
            <w:tcW w:w="790" w:type="dxa"/>
            <w:shd w:val="clear" w:color="auto" w:fill="auto"/>
          </w:tcPr>
          <w:p w14:paraId="653A5B70" w14:textId="77777777" w:rsidR="00893C36" w:rsidRPr="006D2F6B" w:rsidRDefault="00893C36" w:rsidP="00B74B75">
            <w:pPr>
              <w:jc w:val="center"/>
              <w:rPr>
                <w:b/>
              </w:rPr>
            </w:pPr>
            <w:r w:rsidRPr="006D2F6B">
              <w:rPr>
                <w:b/>
              </w:rPr>
              <w:t>Base</w:t>
            </w:r>
          </w:p>
        </w:tc>
        <w:tc>
          <w:tcPr>
            <w:tcW w:w="790" w:type="dxa"/>
            <w:shd w:val="clear" w:color="auto" w:fill="auto"/>
          </w:tcPr>
          <w:p w14:paraId="0AD2D13A" w14:textId="77777777" w:rsidR="00893C36" w:rsidRPr="006D2F6B" w:rsidRDefault="00893C36" w:rsidP="00B74B75">
            <w:pPr>
              <w:jc w:val="center"/>
              <w:rPr>
                <w:b/>
              </w:rPr>
            </w:pPr>
            <w:r w:rsidRPr="006D2F6B">
              <w:rPr>
                <w:b/>
              </w:rPr>
              <w:t>Year 1</w:t>
            </w:r>
          </w:p>
        </w:tc>
        <w:tc>
          <w:tcPr>
            <w:tcW w:w="790" w:type="dxa"/>
            <w:shd w:val="clear" w:color="auto" w:fill="auto"/>
          </w:tcPr>
          <w:p w14:paraId="54B14302" w14:textId="77777777" w:rsidR="00893C36" w:rsidRPr="006D2F6B" w:rsidRDefault="00893C36" w:rsidP="00B74B75">
            <w:pPr>
              <w:jc w:val="center"/>
              <w:rPr>
                <w:b/>
              </w:rPr>
            </w:pPr>
            <w:r w:rsidRPr="006D2F6B">
              <w:rPr>
                <w:b/>
              </w:rPr>
              <w:t>Year 2</w:t>
            </w:r>
          </w:p>
        </w:tc>
        <w:tc>
          <w:tcPr>
            <w:tcW w:w="790" w:type="dxa"/>
            <w:shd w:val="clear" w:color="auto" w:fill="auto"/>
          </w:tcPr>
          <w:p w14:paraId="2F64929F" w14:textId="77777777" w:rsidR="00893C36" w:rsidRPr="006D2F6B" w:rsidRDefault="00893C36" w:rsidP="00B74B75">
            <w:pPr>
              <w:jc w:val="center"/>
              <w:rPr>
                <w:b/>
              </w:rPr>
            </w:pPr>
            <w:r w:rsidRPr="006D2F6B">
              <w:rPr>
                <w:b/>
              </w:rPr>
              <w:t>Year 3</w:t>
            </w:r>
          </w:p>
        </w:tc>
        <w:tc>
          <w:tcPr>
            <w:tcW w:w="790" w:type="dxa"/>
            <w:shd w:val="clear" w:color="auto" w:fill="auto"/>
          </w:tcPr>
          <w:p w14:paraId="4059B102" w14:textId="77777777" w:rsidR="00893C36" w:rsidRPr="006D2F6B" w:rsidRDefault="00893C36" w:rsidP="00B74B75">
            <w:pPr>
              <w:jc w:val="center"/>
              <w:rPr>
                <w:b/>
              </w:rPr>
            </w:pPr>
            <w:r w:rsidRPr="006D2F6B">
              <w:rPr>
                <w:b/>
              </w:rPr>
              <w:t>Year 4</w:t>
            </w:r>
          </w:p>
        </w:tc>
        <w:tc>
          <w:tcPr>
            <w:tcW w:w="791" w:type="dxa"/>
            <w:shd w:val="clear" w:color="auto" w:fill="auto"/>
          </w:tcPr>
          <w:p w14:paraId="4BE86BFF" w14:textId="77777777" w:rsidR="00893C36" w:rsidRPr="006D2F6B" w:rsidRDefault="00893C36" w:rsidP="00B74B75">
            <w:pPr>
              <w:jc w:val="center"/>
              <w:rPr>
                <w:b/>
              </w:rPr>
            </w:pPr>
            <w:r w:rsidRPr="006D2F6B">
              <w:rPr>
                <w:b/>
              </w:rPr>
              <w:t>Year 5</w:t>
            </w:r>
          </w:p>
        </w:tc>
      </w:tr>
      <w:tr w:rsidR="00893C36" w14:paraId="2B6820F4" w14:textId="77777777" w:rsidTr="00B74B75">
        <w:tc>
          <w:tcPr>
            <w:tcW w:w="9038" w:type="dxa"/>
            <w:gridSpan w:val="7"/>
            <w:shd w:val="clear" w:color="auto" w:fill="auto"/>
          </w:tcPr>
          <w:p w14:paraId="19108FC4" w14:textId="77777777" w:rsidR="00893C36" w:rsidRPr="006D2F6B" w:rsidRDefault="00893C36" w:rsidP="00B74B75">
            <w:pPr>
              <w:rPr>
                <w:b/>
              </w:rPr>
            </w:pPr>
            <w:r>
              <w:t>Stakeholders</w:t>
            </w:r>
            <w:r w:rsidRPr="006068B7">
              <w:t xml:space="preserve"> </w:t>
            </w:r>
            <w:r w:rsidRPr="00151F33">
              <w:rPr>
                <w:iCs/>
              </w:rPr>
              <w:t>agree/strongly agree that students</w:t>
            </w:r>
            <w:r w:rsidRPr="006068B7">
              <w:rPr>
                <w:i/>
              </w:rPr>
              <w:t xml:space="preserve"> feel </w:t>
            </w:r>
            <w:r>
              <w:rPr>
                <w:i/>
              </w:rPr>
              <w:t>safe</w:t>
            </w:r>
            <w:r w:rsidRPr="006068B7">
              <w:rPr>
                <w:i/>
              </w:rPr>
              <w:t xml:space="preserve"> </w:t>
            </w:r>
            <w:r>
              <w:rPr>
                <w:i/>
              </w:rPr>
              <w:t>at school.</w:t>
            </w:r>
          </w:p>
        </w:tc>
      </w:tr>
      <w:tr w:rsidR="00893C36" w14:paraId="3227F535" w14:textId="77777777" w:rsidTr="00B74B75">
        <w:tc>
          <w:tcPr>
            <w:tcW w:w="4297" w:type="dxa"/>
            <w:shd w:val="clear" w:color="auto" w:fill="auto"/>
          </w:tcPr>
          <w:p w14:paraId="54C506CF" w14:textId="77777777" w:rsidR="00893C36" w:rsidRPr="006D2F6B" w:rsidRDefault="00893C36" w:rsidP="00B74B75">
            <w:pPr>
              <w:pStyle w:val="PlainText"/>
            </w:pPr>
            <w:r>
              <w:t>Parents</w:t>
            </w:r>
          </w:p>
        </w:tc>
        <w:tc>
          <w:tcPr>
            <w:tcW w:w="790" w:type="dxa"/>
            <w:shd w:val="clear" w:color="auto" w:fill="auto"/>
          </w:tcPr>
          <w:p w14:paraId="25A308B2" w14:textId="77777777" w:rsidR="00893C36" w:rsidRPr="006D2F6B" w:rsidRDefault="00893C36" w:rsidP="00B74B75">
            <w:pPr>
              <w:jc w:val="center"/>
            </w:pPr>
            <w:r>
              <w:t>85%</w:t>
            </w:r>
          </w:p>
        </w:tc>
        <w:tc>
          <w:tcPr>
            <w:tcW w:w="790" w:type="dxa"/>
            <w:shd w:val="clear" w:color="auto" w:fill="auto"/>
          </w:tcPr>
          <w:p w14:paraId="7A9151CD" w14:textId="77777777" w:rsidR="00893C36" w:rsidRPr="006D2F6B" w:rsidRDefault="00893C36" w:rsidP="00B74B75">
            <w:pPr>
              <w:jc w:val="center"/>
            </w:pPr>
            <w:r>
              <w:t>94%</w:t>
            </w:r>
          </w:p>
        </w:tc>
        <w:tc>
          <w:tcPr>
            <w:tcW w:w="790" w:type="dxa"/>
            <w:shd w:val="clear" w:color="auto" w:fill="auto"/>
          </w:tcPr>
          <w:p w14:paraId="33FC2E11" w14:textId="77777777" w:rsidR="00893C36" w:rsidRPr="006D2F6B" w:rsidRDefault="00893C36" w:rsidP="00B74B75">
            <w:pPr>
              <w:jc w:val="center"/>
            </w:pPr>
            <w:r>
              <w:t>96%</w:t>
            </w:r>
          </w:p>
        </w:tc>
        <w:tc>
          <w:tcPr>
            <w:tcW w:w="790" w:type="dxa"/>
            <w:shd w:val="clear" w:color="auto" w:fill="auto"/>
          </w:tcPr>
          <w:p w14:paraId="6C80211C" w14:textId="77777777" w:rsidR="00893C36" w:rsidRPr="006D2F6B" w:rsidRDefault="00893C36" w:rsidP="00B74B75">
            <w:pPr>
              <w:jc w:val="center"/>
            </w:pPr>
            <w:r>
              <w:t>91%</w:t>
            </w:r>
          </w:p>
        </w:tc>
        <w:tc>
          <w:tcPr>
            <w:tcW w:w="790" w:type="dxa"/>
            <w:shd w:val="clear" w:color="auto" w:fill="auto"/>
          </w:tcPr>
          <w:p w14:paraId="0A830E56" w14:textId="155EE2A4" w:rsidR="00893C36" w:rsidRPr="006D2F6B" w:rsidRDefault="00FD7B72" w:rsidP="00B74B75">
            <w:pPr>
              <w:jc w:val="center"/>
            </w:pPr>
            <w:r>
              <w:t>92</w:t>
            </w:r>
            <w:r w:rsidR="003C436D">
              <w:t>%</w:t>
            </w:r>
          </w:p>
        </w:tc>
        <w:tc>
          <w:tcPr>
            <w:tcW w:w="791" w:type="dxa"/>
            <w:shd w:val="clear" w:color="auto" w:fill="auto"/>
          </w:tcPr>
          <w:p w14:paraId="60C9A0BA" w14:textId="0CE06A9D" w:rsidR="00893C36" w:rsidRPr="006D2F6B" w:rsidRDefault="0033636E" w:rsidP="00B74B75">
            <w:pPr>
              <w:jc w:val="center"/>
            </w:pPr>
            <w:r>
              <w:t>9</w:t>
            </w:r>
            <w:r w:rsidR="00FC511A">
              <w:t>1</w:t>
            </w:r>
            <w:r>
              <w:t>%</w:t>
            </w:r>
          </w:p>
        </w:tc>
      </w:tr>
      <w:tr w:rsidR="00893C36" w14:paraId="21F38859" w14:textId="77777777" w:rsidTr="00B74B75">
        <w:tc>
          <w:tcPr>
            <w:tcW w:w="4297" w:type="dxa"/>
            <w:shd w:val="clear" w:color="auto" w:fill="auto"/>
          </w:tcPr>
          <w:p w14:paraId="41F6D2D6" w14:textId="77777777" w:rsidR="00893C36" w:rsidRPr="006D2F6B" w:rsidRDefault="00893C36" w:rsidP="00B74B75">
            <w:r>
              <w:t>Students</w:t>
            </w:r>
          </w:p>
        </w:tc>
        <w:tc>
          <w:tcPr>
            <w:tcW w:w="790" w:type="dxa"/>
            <w:shd w:val="clear" w:color="auto" w:fill="auto"/>
          </w:tcPr>
          <w:p w14:paraId="35033AC1" w14:textId="77777777" w:rsidR="00893C36" w:rsidRPr="006D2F6B" w:rsidRDefault="00893C36" w:rsidP="00B74B75">
            <w:pPr>
              <w:jc w:val="center"/>
            </w:pPr>
            <w:r>
              <w:t>77%</w:t>
            </w:r>
          </w:p>
        </w:tc>
        <w:tc>
          <w:tcPr>
            <w:tcW w:w="790" w:type="dxa"/>
            <w:shd w:val="clear" w:color="auto" w:fill="auto"/>
          </w:tcPr>
          <w:p w14:paraId="57F1BDE0" w14:textId="77777777" w:rsidR="00893C36" w:rsidRPr="006D2F6B" w:rsidRDefault="00893C36" w:rsidP="00B74B75">
            <w:pPr>
              <w:jc w:val="center"/>
            </w:pPr>
            <w:r>
              <w:t>89%</w:t>
            </w:r>
          </w:p>
        </w:tc>
        <w:tc>
          <w:tcPr>
            <w:tcW w:w="790" w:type="dxa"/>
            <w:shd w:val="clear" w:color="auto" w:fill="auto"/>
          </w:tcPr>
          <w:p w14:paraId="700E2A51" w14:textId="77777777" w:rsidR="00893C36" w:rsidRPr="006D2F6B" w:rsidRDefault="00893C36" w:rsidP="00B74B75">
            <w:pPr>
              <w:jc w:val="center"/>
            </w:pPr>
            <w:r>
              <w:t>86%</w:t>
            </w:r>
          </w:p>
        </w:tc>
        <w:tc>
          <w:tcPr>
            <w:tcW w:w="790" w:type="dxa"/>
            <w:shd w:val="clear" w:color="auto" w:fill="auto"/>
          </w:tcPr>
          <w:p w14:paraId="6A7A4D80" w14:textId="6CEB1AD1" w:rsidR="00893C36" w:rsidRPr="006D2F6B" w:rsidRDefault="003C436D" w:rsidP="00B74B75">
            <w:pPr>
              <w:jc w:val="center"/>
            </w:pPr>
            <w:r>
              <w:t>79%</w:t>
            </w:r>
          </w:p>
        </w:tc>
        <w:tc>
          <w:tcPr>
            <w:tcW w:w="790" w:type="dxa"/>
            <w:shd w:val="clear" w:color="auto" w:fill="auto"/>
          </w:tcPr>
          <w:p w14:paraId="70FC0CE0" w14:textId="30870F21" w:rsidR="00893C36" w:rsidRPr="006D2F6B" w:rsidRDefault="003C436D" w:rsidP="00B74B75">
            <w:pPr>
              <w:jc w:val="center"/>
            </w:pPr>
            <w:r>
              <w:t>78%</w:t>
            </w:r>
          </w:p>
        </w:tc>
        <w:tc>
          <w:tcPr>
            <w:tcW w:w="791" w:type="dxa"/>
            <w:shd w:val="clear" w:color="auto" w:fill="auto"/>
          </w:tcPr>
          <w:p w14:paraId="1086E45D" w14:textId="263F9291" w:rsidR="00893C36" w:rsidRPr="006D2F6B" w:rsidRDefault="0033636E" w:rsidP="00B74B75">
            <w:pPr>
              <w:jc w:val="center"/>
            </w:pPr>
            <w:r>
              <w:t>7</w:t>
            </w:r>
            <w:r w:rsidR="005D45D9">
              <w:t>2</w:t>
            </w:r>
            <w:r>
              <w:t>%</w:t>
            </w:r>
          </w:p>
        </w:tc>
      </w:tr>
    </w:tbl>
    <w:p w14:paraId="06347188" w14:textId="24F428B4" w:rsidR="00893C36" w:rsidRDefault="00893C36" w:rsidP="00B25E4C"/>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E3E18" w14:paraId="4A1DBCB4" w14:textId="77777777" w:rsidTr="00B74B75">
        <w:trPr>
          <w:jc w:val="center"/>
        </w:trPr>
        <w:tc>
          <w:tcPr>
            <w:tcW w:w="4297" w:type="dxa"/>
            <w:shd w:val="clear" w:color="auto" w:fill="auto"/>
          </w:tcPr>
          <w:p w14:paraId="5117874B" w14:textId="77777777" w:rsidR="006E3E18" w:rsidRPr="006D2F6B" w:rsidRDefault="006E3E18" w:rsidP="00B74B75">
            <w:pPr>
              <w:rPr>
                <w:b/>
              </w:rPr>
            </w:pPr>
            <w:r w:rsidRPr="006D2F6B">
              <w:rPr>
                <w:b/>
              </w:rPr>
              <w:t>Targets or Measures</w:t>
            </w:r>
          </w:p>
        </w:tc>
        <w:tc>
          <w:tcPr>
            <w:tcW w:w="790" w:type="dxa"/>
            <w:shd w:val="clear" w:color="auto" w:fill="auto"/>
          </w:tcPr>
          <w:p w14:paraId="0EAE223D" w14:textId="77777777" w:rsidR="006E3E18" w:rsidRPr="006D2F6B" w:rsidRDefault="006E3E18" w:rsidP="00B74B75">
            <w:pPr>
              <w:jc w:val="center"/>
              <w:rPr>
                <w:b/>
              </w:rPr>
            </w:pPr>
            <w:r w:rsidRPr="006D2F6B">
              <w:rPr>
                <w:b/>
              </w:rPr>
              <w:t>Base</w:t>
            </w:r>
          </w:p>
        </w:tc>
        <w:tc>
          <w:tcPr>
            <w:tcW w:w="790" w:type="dxa"/>
            <w:shd w:val="clear" w:color="auto" w:fill="auto"/>
          </w:tcPr>
          <w:p w14:paraId="49643768" w14:textId="77777777" w:rsidR="006E3E18" w:rsidRPr="006D2F6B" w:rsidRDefault="006E3E18" w:rsidP="00B74B75">
            <w:pPr>
              <w:jc w:val="center"/>
              <w:rPr>
                <w:b/>
              </w:rPr>
            </w:pPr>
            <w:r w:rsidRPr="006D2F6B">
              <w:rPr>
                <w:b/>
              </w:rPr>
              <w:t>Year 1</w:t>
            </w:r>
          </w:p>
        </w:tc>
        <w:tc>
          <w:tcPr>
            <w:tcW w:w="790" w:type="dxa"/>
            <w:shd w:val="clear" w:color="auto" w:fill="auto"/>
          </w:tcPr>
          <w:p w14:paraId="24AE61EE" w14:textId="77777777" w:rsidR="006E3E18" w:rsidRPr="006D2F6B" w:rsidRDefault="006E3E18" w:rsidP="00B74B75">
            <w:pPr>
              <w:jc w:val="center"/>
              <w:rPr>
                <w:b/>
              </w:rPr>
            </w:pPr>
            <w:r w:rsidRPr="006D2F6B">
              <w:rPr>
                <w:b/>
              </w:rPr>
              <w:t>Year 2</w:t>
            </w:r>
          </w:p>
        </w:tc>
        <w:tc>
          <w:tcPr>
            <w:tcW w:w="790" w:type="dxa"/>
            <w:shd w:val="clear" w:color="auto" w:fill="auto"/>
          </w:tcPr>
          <w:p w14:paraId="50EFB66F" w14:textId="77777777" w:rsidR="006E3E18" w:rsidRPr="006D2F6B" w:rsidRDefault="006E3E18" w:rsidP="00B74B75">
            <w:pPr>
              <w:jc w:val="center"/>
              <w:rPr>
                <w:b/>
              </w:rPr>
            </w:pPr>
            <w:r w:rsidRPr="006D2F6B">
              <w:rPr>
                <w:b/>
              </w:rPr>
              <w:t>Year 3</w:t>
            </w:r>
          </w:p>
        </w:tc>
        <w:tc>
          <w:tcPr>
            <w:tcW w:w="790" w:type="dxa"/>
            <w:shd w:val="clear" w:color="auto" w:fill="auto"/>
          </w:tcPr>
          <w:p w14:paraId="1736AB66" w14:textId="77777777" w:rsidR="006E3E18" w:rsidRPr="006D2F6B" w:rsidRDefault="006E3E18" w:rsidP="00B74B75">
            <w:pPr>
              <w:jc w:val="center"/>
              <w:rPr>
                <w:b/>
              </w:rPr>
            </w:pPr>
            <w:r w:rsidRPr="006D2F6B">
              <w:rPr>
                <w:b/>
              </w:rPr>
              <w:t>Year 4</w:t>
            </w:r>
          </w:p>
        </w:tc>
        <w:tc>
          <w:tcPr>
            <w:tcW w:w="791" w:type="dxa"/>
            <w:shd w:val="clear" w:color="auto" w:fill="auto"/>
          </w:tcPr>
          <w:p w14:paraId="275A3130" w14:textId="77777777" w:rsidR="006E3E18" w:rsidRPr="006D2F6B" w:rsidRDefault="006E3E18" w:rsidP="00B74B75">
            <w:pPr>
              <w:jc w:val="center"/>
              <w:rPr>
                <w:b/>
              </w:rPr>
            </w:pPr>
            <w:r w:rsidRPr="006D2F6B">
              <w:rPr>
                <w:b/>
              </w:rPr>
              <w:t>Year 5</w:t>
            </w:r>
          </w:p>
        </w:tc>
      </w:tr>
      <w:tr w:rsidR="006E3E18" w14:paraId="341D0846" w14:textId="77777777" w:rsidTr="00B74B75">
        <w:trPr>
          <w:jc w:val="center"/>
        </w:trPr>
        <w:tc>
          <w:tcPr>
            <w:tcW w:w="4297" w:type="dxa"/>
            <w:shd w:val="clear" w:color="auto" w:fill="auto"/>
          </w:tcPr>
          <w:p w14:paraId="71DD1D0E" w14:textId="77777777" w:rsidR="006E3E18" w:rsidRPr="006D2F6B" w:rsidRDefault="006E3E18" w:rsidP="00B74B75">
            <w:pPr>
              <w:pStyle w:val="PlainText"/>
            </w:pPr>
            <w:r>
              <w:t xml:space="preserve">Parents </w:t>
            </w:r>
            <w:r w:rsidRPr="006068B7">
              <w:t>agree</w:t>
            </w:r>
            <w:r>
              <w:t>/strongly</w:t>
            </w:r>
            <w:r w:rsidRPr="006068B7">
              <w:t xml:space="preserve"> </w:t>
            </w:r>
            <w:r>
              <w:t xml:space="preserve">agree </w:t>
            </w:r>
            <w:r w:rsidRPr="006068B7">
              <w:t xml:space="preserve">that </w:t>
            </w:r>
            <w:r w:rsidRPr="006068B7">
              <w:rPr>
                <w:i/>
              </w:rPr>
              <w:t>community partnerships are valued and maintained at the school</w:t>
            </w:r>
            <w:r>
              <w:rPr>
                <w:i/>
              </w:rPr>
              <w:t>.</w:t>
            </w:r>
          </w:p>
        </w:tc>
        <w:tc>
          <w:tcPr>
            <w:tcW w:w="790" w:type="dxa"/>
            <w:shd w:val="clear" w:color="auto" w:fill="auto"/>
          </w:tcPr>
          <w:p w14:paraId="4AB08FDB" w14:textId="77777777" w:rsidR="006E3E18" w:rsidRPr="006D2F6B" w:rsidRDefault="006E3E18" w:rsidP="00B74B75">
            <w:pPr>
              <w:jc w:val="center"/>
            </w:pPr>
            <w:r>
              <w:t>75%</w:t>
            </w:r>
          </w:p>
        </w:tc>
        <w:tc>
          <w:tcPr>
            <w:tcW w:w="790" w:type="dxa"/>
            <w:shd w:val="clear" w:color="auto" w:fill="auto"/>
          </w:tcPr>
          <w:p w14:paraId="728BA271" w14:textId="77777777" w:rsidR="006E3E18" w:rsidRPr="006D2F6B" w:rsidRDefault="006E3E18" w:rsidP="00B74B75">
            <w:pPr>
              <w:jc w:val="center"/>
            </w:pPr>
            <w:r>
              <w:t>81%</w:t>
            </w:r>
          </w:p>
        </w:tc>
        <w:tc>
          <w:tcPr>
            <w:tcW w:w="790" w:type="dxa"/>
            <w:shd w:val="clear" w:color="auto" w:fill="auto"/>
          </w:tcPr>
          <w:p w14:paraId="71E3B9BD" w14:textId="77777777" w:rsidR="006E3E18" w:rsidRPr="006D2F6B" w:rsidRDefault="006E3E18" w:rsidP="00B74B75">
            <w:pPr>
              <w:jc w:val="center"/>
            </w:pPr>
            <w:r>
              <w:t>88%</w:t>
            </w:r>
          </w:p>
        </w:tc>
        <w:tc>
          <w:tcPr>
            <w:tcW w:w="790" w:type="dxa"/>
            <w:shd w:val="clear" w:color="auto" w:fill="auto"/>
          </w:tcPr>
          <w:p w14:paraId="48598F0E" w14:textId="77777777" w:rsidR="006E3E18" w:rsidRPr="006D2F6B" w:rsidRDefault="006E3E18" w:rsidP="00B74B75">
            <w:pPr>
              <w:jc w:val="center"/>
            </w:pPr>
            <w:r>
              <w:t>79.5%</w:t>
            </w:r>
          </w:p>
        </w:tc>
        <w:tc>
          <w:tcPr>
            <w:tcW w:w="790" w:type="dxa"/>
            <w:shd w:val="clear" w:color="auto" w:fill="auto"/>
          </w:tcPr>
          <w:p w14:paraId="2ED1EE9E" w14:textId="1DB98B38" w:rsidR="006E3E18" w:rsidRPr="006D2F6B" w:rsidRDefault="00AE6E7D" w:rsidP="00B74B75">
            <w:pPr>
              <w:jc w:val="center"/>
            </w:pPr>
            <w:r>
              <w:t>90%</w:t>
            </w:r>
          </w:p>
        </w:tc>
        <w:tc>
          <w:tcPr>
            <w:tcW w:w="791" w:type="dxa"/>
            <w:shd w:val="clear" w:color="auto" w:fill="auto"/>
          </w:tcPr>
          <w:p w14:paraId="46BBF7C5" w14:textId="6FDCC21E" w:rsidR="006E3E18" w:rsidRPr="006D2F6B" w:rsidRDefault="0033636E" w:rsidP="00B74B75">
            <w:pPr>
              <w:jc w:val="center"/>
            </w:pPr>
            <w:r>
              <w:t>76%</w:t>
            </w:r>
          </w:p>
        </w:tc>
      </w:tr>
    </w:tbl>
    <w:p w14:paraId="7EDBA4FA" w14:textId="77777777" w:rsidR="00B25E4C" w:rsidRPr="00B25E4C" w:rsidRDefault="00B25E4C" w:rsidP="00B25E4C"/>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23259FCC" w14:textId="77777777" w:rsidTr="00B74B75">
        <w:trPr>
          <w:jc w:val="center"/>
        </w:trPr>
        <w:tc>
          <w:tcPr>
            <w:tcW w:w="4297" w:type="dxa"/>
            <w:shd w:val="clear" w:color="auto" w:fill="auto"/>
          </w:tcPr>
          <w:p w14:paraId="2A2C4D4A" w14:textId="77777777" w:rsidR="00EB70CE" w:rsidRPr="006D2F6B" w:rsidRDefault="00EB70CE" w:rsidP="00B74B75">
            <w:pPr>
              <w:rPr>
                <w:b/>
              </w:rPr>
            </w:pPr>
            <w:r w:rsidRPr="006D2F6B">
              <w:rPr>
                <w:b/>
              </w:rPr>
              <w:t>Targets or Measures</w:t>
            </w:r>
          </w:p>
        </w:tc>
        <w:tc>
          <w:tcPr>
            <w:tcW w:w="790" w:type="dxa"/>
            <w:shd w:val="clear" w:color="auto" w:fill="auto"/>
          </w:tcPr>
          <w:p w14:paraId="009DCD54" w14:textId="77777777" w:rsidR="00EB70CE" w:rsidRPr="006D2F6B" w:rsidRDefault="00EB70CE" w:rsidP="00B74B75">
            <w:pPr>
              <w:jc w:val="center"/>
              <w:rPr>
                <w:b/>
              </w:rPr>
            </w:pPr>
            <w:r w:rsidRPr="006D2F6B">
              <w:rPr>
                <w:b/>
              </w:rPr>
              <w:t>Base</w:t>
            </w:r>
          </w:p>
        </w:tc>
        <w:tc>
          <w:tcPr>
            <w:tcW w:w="790" w:type="dxa"/>
            <w:shd w:val="clear" w:color="auto" w:fill="auto"/>
          </w:tcPr>
          <w:p w14:paraId="40DAC0E5" w14:textId="77777777" w:rsidR="00EB70CE" w:rsidRPr="006D2F6B" w:rsidRDefault="00EB70CE" w:rsidP="00B74B75">
            <w:pPr>
              <w:jc w:val="center"/>
              <w:rPr>
                <w:b/>
              </w:rPr>
            </w:pPr>
            <w:r w:rsidRPr="006D2F6B">
              <w:rPr>
                <w:b/>
              </w:rPr>
              <w:t>Year 1</w:t>
            </w:r>
          </w:p>
        </w:tc>
        <w:tc>
          <w:tcPr>
            <w:tcW w:w="790" w:type="dxa"/>
            <w:shd w:val="clear" w:color="auto" w:fill="auto"/>
          </w:tcPr>
          <w:p w14:paraId="2326DF92" w14:textId="77777777" w:rsidR="00EB70CE" w:rsidRPr="006D2F6B" w:rsidRDefault="00EB70CE" w:rsidP="00B74B75">
            <w:pPr>
              <w:jc w:val="center"/>
              <w:rPr>
                <w:b/>
              </w:rPr>
            </w:pPr>
            <w:r w:rsidRPr="006D2F6B">
              <w:rPr>
                <w:b/>
              </w:rPr>
              <w:t>Year 2</w:t>
            </w:r>
          </w:p>
        </w:tc>
        <w:tc>
          <w:tcPr>
            <w:tcW w:w="790" w:type="dxa"/>
            <w:shd w:val="clear" w:color="auto" w:fill="auto"/>
          </w:tcPr>
          <w:p w14:paraId="255BA2D5" w14:textId="77777777" w:rsidR="00EB70CE" w:rsidRPr="006D2F6B" w:rsidRDefault="00EB70CE" w:rsidP="00B74B75">
            <w:pPr>
              <w:jc w:val="center"/>
              <w:rPr>
                <w:b/>
              </w:rPr>
            </w:pPr>
            <w:r w:rsidRPr="006D2F6B">
              <w:rPr>
                <w:b/>
              </w:rPr>
              <w:t>Year 3</w:t>
            </w:r>
          </w:p>
        </w:tc>
        <w:tc>
          <w:tcPr>
            <w:tcW w:w="790" w:type="dxa"/>
            <w:shd w:val="clear" w:color="auto" w:fill="auto"/>
          </w:tcPr>
          <w:p w14:paraId="47828119" w14:textId="77777777" w:rsidR="00EB70CE" w:rsidRPr="006D2F6B" w:rsidRDefault="00EB70CE" w:rsidP="00B74B75">
            <w:pPr>
              <w:jc w:val="center"/>
              <w:rPr>
                <w:b/>
              </w:rPr>
            </w:pPr>
            <w:r w:rsidRPr="006D2F6B">
              <w:rPr>
                <w:b/>
              </w:rPr>
              <w:t>Year 4</w:t>
            </w:r>
          </w:p>
        </w:tc>
        <w:tc>
          <w:tcPr>
            <w:tcW w:w="791" w:type="dxa"/>
            <w:shd w:val="clear" w:color="auto" w:fill="auto"/>
          </w:tcPr>
          <w:p w14:paraId="749F6D00" w14:textId="77777777" w:rsidR="00EB70CE" w:rsidRPr="006D2F6B" w:rsidRDefault="00EB70CE" w:rsidP="00B74B75">
            <w:pPr>
              <w:jc w:val="center"/>
              <w:rPr>
                <w:b/>
              </w:rPr>
            </w:pPr>
            <w:r w:rsidRPr="006D2F6B">
              <w:rPr>
                <w:b/>
              </w:rPr>
              <w:t>Year 5</w:t>
            </w:r>
          </w:p>
        </w:tc>
      </w:tr>
      <w:tr w:rsidR="00666B03" w14:paraId="0CD32F13" w14:textId="77777777" w:rsidTr="00666B03">
        <w:trPr>
          <w:trHeight w:val="485"/>
          <w:jc w:val="center"/>
        </w:trPr>
        <w:tc>
          <w:tcPr>
            <w:tcW w:w="4297" w:type="dxa"/>
            <w:shd w:val="clear" w:color="auto" w:fill="auto"/>
          </w:tcPr>
          <w:p w14:paraId="75702641" w14:textId="295ABDFC" w:rsidR="00666B03" w:rsidRPr="00666B03" w:rsidRDefault="00666B03" w:rsidP="00666B03">
            <w:pPr>
              <w:pStyle w:val="BodyText"/>
              <w:contextualSpacing/>
              <w:rPr>
                <w:b/>
              </w:rPr>
            </w:pPr>
            <w:r w:rsidRPr="00834670">
              <w:t xml:space="preserve">Mindfulness </w:t>
            </w:r>
            <w:r>
              <w:t>lessons are observed in 100% of classrooms.</w:t>
            </w:r>
          </w:p>
        </w:tc>
        <w:tc>
          <w:tcPr>
            <w:tcW w:w="790" w:type="dxa"/>
            <w:shd w:val="clear" w:color="auto" w:fill="auto"/>
          </w:tcPr>
          <w:p w14:paraId="6A7880F3" w14:textId="72FB9743" w:rsidR="00666B03" w:rsidRPr="006D2F6B" w:rsidRDefault="00FC511A" w:rsidP="00666B03">
            <w:r>
              <w:t>100%</w:t>
            </w:r>
          </w:p>
        </w:tc>
        <w:tc>
          <w:tcPr>
            <w:tcW w:w="790" w:type="dxa"/>
            <w:shd w:val="clear" w:color="auto" w:fill="auto"/>
          </w:tcPr>
          <w:p w14:paraId="2BF7D580" w14:textId="680367E3" w:rsidR="00666B03" w:rsidRPr="006D2F6B" w:rsidRDefault="00666B03" w:rsidP="00666B03">
            <w:pPr>
              <w:jc w:val="center"/>
            </w:pPr>
            <w:r>
              <w:t>n/a</w:t>
            </w:r>
          </w:p>
        </w:tc>
        <w:tc>
          <w:tcPr>
            <w:tcW w:w="790" w:type="dxa"/>
            <w:shd w:val="clear" w:color="auto" w:fill="auto"/>
          </w:tcPr>
          <w:p w14:paraId="5DC66691" w14:textId="0A39F11B" w:rsidR="00666B03" w:rsidRPr="006D2F6B" w:rsidRDefault="00666B03" w:rsidP="00666B03">
            <w:pPr>
              <w:jc w:val="center"/>
            </w:pPr>
            <w:r w:rsidRPr="003D21D5">
              <w:t>n/a</w:t>
            </w:r>
          </w:p>
        </w:tc>
        <w:tc>
          <w:tcPr>
            <w:tcW w:w="790" w:type="dxa"/>
            <w:shd w:val="clear" w:color="auto" w:fill="auto"/>
          </w:tcPr>
          <w:p w14:paraId="1F59A511" w14:textId="6BE350DA" w:rsidR="00666B03" w:rsidRPr="006D2F6B" w:rsidRDefault="00666B03" w:rsidP="00666B03">
            <w:pPr>
              <w:jc w:val="center"/>
            </w:pPr>
            <w:r w:rsidRPr="003D21D5">
              <w:t>n/a</w:t>
            </w:r>
          </w:p>
        </w:tc>
        <w:tc>
          <w:tcPr>
            <w:tcW w:w="790" w:type="dxa"/>
            <w:shd w:val="clear" w:color="auto" w:fill="auto"/>
          </w:tcPr>
          <w:p w14:paraId="4D1E2F3A" w14:textId="26148222" w:rsidR="00666B03" w:rsidRPr="006D2F6B" w:rsidRDefault="000549A3" w:rsidP="000549A3">
            <w:pPr>
              <w:jc w:val="center"/>
            </w:pPr>
            <w:r>
              <w:t>100%</w:t>
            </w:r>
          </w:p>
        </w:tc>
        <w:tc>
          <w:tcPr>
            <w:tcW w:w="791" w:type="dxa"/>
            <w:shd w:val="clear" w:color="auto" w:fill="auto"/>
          </w:tcPr>
          <w:p w14:paraId="1A06AACD" w14:textId="71039800" w:rsidR="00666B03" w:rsidRPr="006D2F6B" w:rsidRDefault="005D45D9" w:rsidP="00666B03">
            <w:r>
              <w:t>100%</w:t>
            </w:r>
          </w:p>
        </w:tc>
      </w:tr>
    </w:tbl>
    <w:p w14:paraId="6AA8C18D" w14:textId="77777777" w:rsidR="00EB70CE" w:rsidRDefault="00EB70CE" w:rsidP="00EB70CE">
      <w:pPr>
        <w:pStyle w:val="BodyText"/>
      </w:pP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B74B75">
        <w:trPr>
          <w:trHeight w:val="401"/>
          <w:jc w:val="center"/>
        </w:trPr>
        <w:tc>
          <w:tcPr>
            <w:tcW w:w="9016" w:type="dxa"/>
            <w:shd w:val="clear" w:color="auto" w:fill="auto"/>
          </w:tcPr>
          <w:p w14:paraId="0C0C8250" w14:textId="25A1A343" w:rsidR="00FC511A" w:rsidRDefault="00FC511A" w:rsidP="00FC511A">
            <w:r>
              <w:t xml:space="preserve">Given the required adjustment to the school’s action plan, </w:t>
            </w:r>
            <w:r w:rsidR="00CB18DA">
              <w:t xml:space="preserve">some actions for </w:t>
            </w:r>
            <w:r>
              <w:t xml:space="preserve">this priority </w:t>
            </w:r>
            <w:r w:rsidR="00CB18DA">
              <w:t>were</w:t>
            </w:r>
            <w:r>
              <w:t xml:space="preserve"> not a focus in 2020</w:t>
            </w:r>
            <w:r w:rsidR="00C33D1F">
              <w:t>. However,</w:t>
            </w:r>
            <w:r w:rsidR="00CB18DA">
              <w:t xml:space="preserve"> the school</w:t>
            </w:r>
            <w:r w:rsidR="00C33D1F">
              <w:t xml:space="preserve"> </w:t>
            </w:r>
            <w:r w:rsidR="00CB18DA">
              <w:t xml:space="preserve">did endeavour to support the wellbeing of students and staff in a very challenging year through </w:t>
            </w:r>
            <w:r w:rsidR="00C33D1F">
              <w:t>implementation of the school’s Positive Education framework</w:t>
            </w:r>
            <w:r w:rsidR="00CB18DA">
              <w:t>.</w:t>
            </w:r>
            <w:r w:rsidR="00C33D1F">
              <w:t xml:space="preserve"> </w:t>
            </w:r>
          </w:p>
          <w:p w14:paraId="7C99DAFD" w14:textId="357320E9" w:rsidR="003E43FF" w:rsidRDefault="003E43FF" w:rsidP="00FC511A"/>
          <w:p w14:paraId="10C70EA0" w14:textId="0A296989" w:rsidR="003E43FF" w:rsidRDefault="003E43FF" w:rsidP="00FC511A">
            <w:pPr>
              <w:rPr>
                <w:rFonts w:cstheme="minorHAnsi"/>
                <w:color w:val="212529"/>
                <w:shd w:val="clear" w:color="auto" w:fill="FFFFFF"/>
              </w:rPr>
            </w:pPr>
            <w:r>
              <w:rPr>
                <w:rFonts w:cstheme="minorHAnsi"/>
                <w:color w:val="212529"/>
                <w:shd w:val="clear" w:color="auto" w:fill="FFFFFF"/>
              </w:rPr>
              <w:t xml:space="preserve">The Positive Education classroom focus in 2020 was on the domains of health and strengths. Unfortunately, quantitative student learning data was not available this year. However, we did have access to two sets of student perception data which suggest that Positive Education is </w:t>
            </w:r>
            <w:r w:rsidR="00CB18DA">
              <w:rPr>
                <w:rFonts w:cstheme="minorHAnsi"/>
                <w:color w:val="212529"/>
                <w:shd w:val="clear" w:color="auto" w:fill="FFFFFF"/>
              </w:rPr>
              <w:t xml:space="preserve">gradually </w:t>
            </w:r>
            <w:r>
              <w:rPr>
                <w:rFonts w:cstheme="minorHAnsi"/>
                <w:color w:val="212529"/>
                <w:shd w:val="clear" w:color="auto" w:fill="FFFFFF"/>
              </w:rPr>
              <w:t xml:space="preserve">improving students’ social and emotional well-being. In the August system survey 74% of our students reported feeling fairly or very happy, compared to 72% of all ACT primary students. The percentage of students who felt very happy increased by 5% from 2019 and was higher than the ACT average for the first time. </w:t>
            </w:r>
          </w:p>
          <w:p w14:paraId="7EFB0323" w14:textId="77777777" w:rsidR="003E43FF" w:rsidRDefault="003E43FF" w:rsidP="00FC511A">
            <w:pPr>
              <w:rPr>
                <w:rFonts w:cstheme="minorHAnsi"/>
                <w:color w:val="212529"/>
                <w:shd w:val="clear" w:color="auto" w:fill="FFFFFF"/>
              </w:rPr>
            </w:pPr>
          </w:p>
          <w:p w14:paraId="1CC2598C" w14:textId="08C71E08" w:rsidR="003E43FF" w:rsidRDefault="003E43FF" w:rsidP="003E43FF">
            <w:pPr>
              <w:rPr>
                <w:rFonts w:cstheme="minorHAnsi"/>
                <w:color w:val="212529"/>
                <w:shd w:val="clear" w:color="auto" w:fill="FFFFFF"/>
              </w:rPr>
            </w:pPr>
            <w:r w:rsidRPr="003E43FF">
              <w:rPr>
                <w:rFonts w:cstheme="minorHAnsi"/>
                <w:color w:val="212529"/>
                <w:shd w:val="clear" w:color="auto" w:fill="FFFFFF"/>
              </w:rPr>
              <w:lastRenderedPageBreak/>
              <w:t>The school also purchased ACER’s “Social-Emotional Wellbeing</w:t>
            </w:r>
            <w:r>
              <w:rPr>
                <w:rFonts w:cstheme="minorHAnsi"/>
                <w:color w:val="212529"/>
                <w:shd w:val="clear" w:color="auto" w:fill="FFFFFF"/>
              </w:rPr>
              <w:t>(SEW)</w:t>
            </w:r>
            <w:r w:rsidRPr="003E43FF">
              <w:rPr>
                <w:rFonts w:cstheme="minorHAnsi"/>
                <w:color w:val="212529"/>
                <w:shd w:val="clear" w:color="auto" w:fill="FFFFFF"/>
              </w:rPr>
              <w:t xml:space="preserve"> Survey” tool to collect baseline data and monitor wellbeing </w:t>
            </w:r>
            <w:r w:rsidR="00CB18DA">
              <w:rPr>
                <w:rFonts w:cstheme="minorHAnsi"/>
                <w:color w:val="212529"/>
                <w:shd w:val="clear" w:color="auto" w:fill="FFFFFF"/>
              </w:rPr>
              <w:t>over time</w:t>
            </w:r>
            <w:r w:rsidRPr="003E43FF">
              <w:rPr>
                <w:rFonts w:cstheme="minorHAnsi"/>
                <w:color w:val="212529"/>
                <w:shd w:val="clear" w:color="auto" w:fill="FFFFFF"/>
              </w:rPr>
              <w:t xml:space="preserve">. The survey assesses two domains: </w:t>
            </w:r>
            <w:r w:rsidRPr="003E43FF">
              <w:rPr>
                <w:rFonts w:cstheme="minorHAnsi"/>
                <w:i/>
                <w:iCs/>
                <w:color w:val="212529"/>
                <w:shd w:val="clear" w:color="auto" w:fill="FFFFFF"/>
              </w:rPr>
              <w:t>Feelings and Behaviours</w:t>
            </w:r>
            <w:r w:rsidRPr="003E43FF">
              <w:rPr>
                <w:rFonts w:cstheme="minorHAnsi"/>
                <w:color w:val="212529"/>
                <w:shd w:val="clear" w:color="auto" w:fill="FFFFFF"/>
              </w:rPr>
              <w:t xml:space="preserve"> which focuses on the extent to which young people experience both positive emotions and behaviours (e.g. happiness, positive self-identity, and get</w:t>
            </w:r>
            <w:r>
              <w:rPr>
                <w:rFonts w:cstheme="minorHAnsi"/>
                <w:color w:val="212529"/>
                <w:shd w:val="clear" w:color="auto" w:fill="FFFFFF"/>
              </w:rPr>
              <w:t>ting</w:t>
            </w:r>
            <w:r w:rsidRPr="003E43FF">
              <w:rPr>
                <w:rFonts w:cstheme="minorHAnsi"/>
                <w:color w:val="212529"/>
                <w:shd w:val="clear" w:color="auto" w:fill="FFFFFF"/>
              </w:rPr>
              <w:t xml:space="preserve"> along with a variety of people</w:t>
            </w:r>
            <w:r>
              <w:rPr>
                <w:rFonts w:cstheme="minorHAnsi"/>
                <w:color w:val="212529"/>
                <w:shd w:val="clear" w:color="auto" w:fill="FFFFFF"/>
              </w:rPr>
              <w:t>)</w:t>
            </w:r>
            <w:r w:rsidRPr="003E43FF">
              <w:rPr>
                <w:rFonts w:cstheme="minorHAnsi"/>
                <w:color w:val="212529"/>
                <w:shd w:val="clear" w:color="auto" w:fill="FFFFFF"/>
              </w:rPr>
              <w:t xml:space="preserve"> and negative emotions and behaviours (e.g. anger, stress, rule breaking behaviour); and </w:t>
            </w:r>
            <w:r w:rsidRPr="003E43FF">
              <w:rPr>
                <w:rFonts w:cstheme="minorHAnsi"/>
                <w:i/>
                <w:iCs/>
                <w:color w:val="212529"/>
                <w:shd w:val="clear" w:color="auto" w:fill="FFFFFF"/>
              </w:rPr>
              <w:t>Internal Strengths</w:t>
            </w:r>
            <w:r w:rsidRPr="003E43FF">
              <w:rPr>
                <w:rFonts w:cstheme="minorHAnsi"/>
                <w:color w:val="212529"/>
                <w:shd w:val="clear" w:color="auto" w:fill="FFFFFF"/>
              </w:rPr>
              <w:t>, which focuses on students’ values, self-awareness and self-management of social, emotional and learning skills</w:t>
            </w:r>
            <w:r>
              <w:rPr>
                <w:rFonts w:cstheme="minorHAnsi"/>
                <w:color w:val="212529"/>
                <w:shd w:val="clear" w:color="auto" w:fill="FFFFFF"/>
              </w:rPr>
              <w:t xml:space="preserve">. </w:t>
            </w:r>
          </w:p>
          <w:p w14:paraId="4F362AD1" w14:textId="6C15781A" w:rsidR="003E43FF" w:rsidRDefault="003E43FF" w:rsidP="003E43FF">
            <w:pPr>
              <w:rPr>
                <w:rFonts w:cstheme="minorHAnsi"/>
              </w:rPr>
            </w:pPr>
          </w:p>
          <w:tbl>
            <w:tblPr>
              <w:tblStyle w:val="TableGrid"/>
              <w:tblW w:w="0" w:type="auto"/>
              <w:tblInd w:w="736" w:type="dxa"/>
              <w:tblLook w:val="04A0" w:firstRow="1" w:lastRow="0" w:firstColumn="1" w:lastColumn="0" w:noHBand="0" w:noVBand="1"/>
            </w:tblPr>
            <w:tblGrid>
              <w:gridCol w:w="2977"/>
              <w:gridCol w:w="2231"/>
              <w:gridCol w:w="2232"/>
            </w:tblGrid>
            <w:tr w:rsidR="00CB18DA" w14:paraId="5BC24560" w14:textId="77777777" w:rsidTr="00CB18DA">
              <w:trPr>
                <w:trHeight w:hRule="exact" w:val="284"/>
              </w:trPr>
              <w:tc>
                <w:tcPr>
                  <w:tcW w:w="7440" w:type="dxa"/>
                  <w:gridSpan w:val="3"/>
                </w:tcPr>
                <w:p w14:paraId="0D06DFBE" w14:textId="5FFBB732" w:rsidR="00CB18DA" w:rsidRPr="00CB18DA" w:rsidRDefault="00CB18DA" w:rsidP="00CB18DA">
                  <w:pPr>
                    <w:rPr>
                      <w:rFonts w:cstheme="minorHAnsi"/>
                      <w:b/>
                      <w:bCs/>
                      <w:i/>
                      <w:iCs/>
                      <w:sz w:val="20"/>
                      <w:szCs w:val="20"/>
                    </w:rPr>
                  </w:pPr>
                  <w:r w:rsidRPr="00CB18DA">
                    <w:rPr>
                      <w:rFonts w:cstheme="minorHAnsi"/>
                      <w:b/>
                      <w:bCs/>
                      <w:i/>
                      <w:iCs/>
                      <w:sz w:val="20"/>
                      <w:szCs w:val="20"/>
                    </w:rPr>
                    <w:t>Mean score of the level of students social-emotional well-being</w:t>
                  </w:r>
                </w:p>
              </w:tc>
            </w:tr>
            <w:tr w:rsidR="003E43FF" w14:paraId="035A0CCB" w14:textId="227E4EBB" w:rsidTr="003E43FF">
              <w:trPr>
                <w:trHeight w:hRule="exact" w:val="567"/>
              </w:trPr>
              <w:tc>
                <w:tcPr>
                  <w:tcW w:w="2977" w:type="dxa"/>
                </w:tcPr>
                <w:p w14:paraId="1026948D" w14:textId="77777777" w:rsidR="003E43FF" w:rsidRPr="00CB18DA" w:rsidRDefault="003E43FF" w:rsidP="003E43FF">
                  <w:pPr>
                    <w:rPr>
                      <w:rFonts w:cstheme="minorHAnsi"/>
                      <w:sz w:val="20"/>
                      <w:szCs w:val="20"/>
                    </w:rPr>
                  </w:pPr>
                </w:p>
              </w:tc>
              <w:tc>
                <w:tcPr>
                  <w:tcW w:w="2231" w:type="dxa"/>
                  <w:vAlign w:val="center"/>
                </w:tcPr>
                <w:p w14:paraId="551B88F4" w14:textId="5236C5E3" w:rsidR="003E43FF" w:rsidRPr="00CB18DA" w:rsidRDefault="003E43FF" w:rsidP="003E43FF">
                  <w:pPr>
                    <w:jc w:val="center"/>
                    <w:rPr>
                      <w:rFonts w:cstheme="minorHAnsi"/>
                      <w:b/>
                      <w:bCs/>
                      <w:sz w:val="20"/>
                      <w:szCs w:val="20"/>
                    </w:rPr>
                  </w:pPr>
                  <w:r w:rsidRPr="00CB18DA">
                    <w:rPr>
                      <w:rFonts w:cstheme="minorHAnsi"/>
                      <w:b/>
                      <w:bCs/>
                      <w:sz w:val="20"/>
                      <w:szCs w:val="20"/>
                    </w:rPr>
                    <w:t>Mean Score</w:t>
                  </w:r>
                </w:p>
                <w:p w14:paraId="331D95B4" w14:textId="30DE2418" w:rsidR="003E43FF" w:rsidRPr="00CB18DA" w:rsidRDefault="003E43FF" w:rsidP="003E43FF">
                  <w:pPr>
                    <w:jc w:val="center"/>
                    <w:rPr>
                      <w:rFonts w:cstheme="minorHAnsi"/>
                      <w:b/>
                      <w:bCs/>
                      <w:sz w:val="20"/>
                      <w:szCs w:val="20"/>
                    </w:rPr>
                  </w:pPr>
                  <w:r w:rsidRPr="00CB18DA">
                    <w:rPr>
                      <w:rFonts w:cstheme="minorHAnsi"/>
                      <w:b/>
                      <w:bCs/>
                      <w:sz w:val="20"/>
                      <w:szCs w:val="20"/>
                    </w:rPr>
                    <w:t>August 2020</w:t>
                  </w:r>
                </w:p>
              </w:tc>
              <w:tc>
                <w:tcPr>
                  <w:tcW w:w="2232" w:type="dxa"/>
                  <w:vAlign w:val="center"/>
                </w:tcPr>
                <w:p w14:paraId="734702A6" w14:textId="642DF5AC" w:rsidR="003E43FF" w:rsidRPr="00CB18DA" w:rsidRDefault="003E43FF" w:rsidP="003E43FF">
                  <w:pPr>
                    <w:jc w:val="center"/>
                    <w:rPr>
                      <w:rFonts w:cstheme="minorHAnsi"/>
                      <w:b/>
                      <w:bCs/>
                      <w:sz w:val="20"/>
                      <w:szCs w:val="20"/>
                    </w:rPr>
                  </w:pPr>
                  <w:r w:rsidRPr="00CB18DA">
                    <w:rPr>
                      <w:rFonts w:cstheme="minorHAnsi"/>
                      <w:b/>
                      <w:bCs/>
                      <w:sz w:val="20"/>
                      <w:szCs w:val="20"/>
                    </w:rPr>
                    <w:t>Mean Score</w:t>
                  </w:r>
                </w:p>
                <w:p w14:paraId="1104E1E0" w14:textId="1C61E97C" w:rsidR="003E43FF" w:rsidRPr="00CB18DA" w:rsidRDefault="003E43FF" w:rsidP="003E43FF">
                  <w:pPr>
                    <w:jc w:val="center"/>
                    <w:rPr>
                      <w:rFonts w:cstheme="minorHAnsi"/>
                      <w:b/>
                      <w:bCs/>
                      <w:sz w:val="20"/>
                      <w:szCs w:val="20"/>
                    </w:rPr>
                  </w:pPr>
                  <w:r w:rsidRPr="00CB18DA">
                    <w:rPr>
                      <w:rFonts w:cstheme="minorHAnsi"/>
                      <w:b/>
                      <w:bCs/>
                      <w:sz w:val="20"/>
                      <w:szCs w:val="20"/>
                    </w:rPr>
                    <w:t>December 2020</w:t>
                  </w:r>
                </w:p>
              </w:tc>
            </w:tr>
            <w:tr w:rsidR="003E43FF" w14:paraId="73895BB2" w14:textId="0FF02957" w:rsidTr="003E43FF">
              <w:trPr>
                <w:trHeight w:hRule="exact" w:val="284"/>
              </w:trPr>
              <w:tc>
                <w:tcPr>
                  <w:tcW w:w="2977" w:type="dxa"/>
                </w:tcPr>
                <w:p w14:paraId="30A986FD" w14:textId="4E650706" w:rsidR="003E43FF" w:rsidRPr="00CB18DA" w:rsidRDefault="003E43FF" w:rsidP="003E43FF">
                  <w:pPr>
                    <w:rPr>
                      <w:rFonts w:cstheme="minorHAnsi"/>
                      <w:b/>
                      <w:bCs/>
                      <w:sz w:val="20"/>
                      <w:szCs w:val="20"/>
                    </w:rPr>
                  </w:pPr>
                  <w:r w:rsidRPr="00CB18DA">
                    <w:rPr>
                      <w:rFonts w:cstheme="minorHAnsi"/>
                      <w:b/>
                      <w:bCs/>
                      <w:sz w:val="20"/>
                      <w:szCs w:val="20"/>
                    </w:rPr>
                    <w:t>School (</w:t>
                  </w:r>
                  <w:r w:rsidRPr="00CB18DA">
                    <w:rPr>
                      <w:rFonts w:cstheme="minorHAnsi"/>
                      <w:b/>
                      <w:bCs/>
                      <w:i/>
                      <w:iCs/>
                      <w:sz w:val="20"/>
                      <w:szCs w:val="20"/>
                    </w:rPr>
                    <w:t>n=438</w:t>
                  </w:r>
                  <w:r w:rsidRPr="00CB18DA">
                    <w:rPr>
                      <w:rFonts w:cstheme="minorHAnsi"/>
                      <w:b/>
                      <w:bCs/>
                      <w:sz w:val="20"/>
                      <w:szCs w:val="20"/>
                    </w:rPr>
                    <w:t>)</w:t>
                  </w:r>
                </w:p>
              </w:tc>
              <w:tc>
                <w:tcPr>
                  <w:tcW w:w="2231" w:type="dxa"/>
                  <w:vAlign w:val="center"/>
                </w:tcPr>
                <w:p w14:paraId="72AC5712" w14:textId="4E8DF6C3" w:rsidR="003E43FF" w:rsidRPr="00CB18DA" w:rsidRDefault="003E43FF" w:rsidP="003E43FF">
                  <w:pPr>
                    <w:jc w:val="center"/>
                    <w:rPr>
                      <w:rFonts w:cstheme="minorHAnsi"/>
                      <w:sz w:val="20"/>
                      <w:szCs w:val="20"/>
                    </w:rPr>
                  </w:pPr>
                  <w:r w:rsidRPr="00CB18DA">
                    <w:rPr>
                      <w:rFonts w:cstheme="minorHAnsi"/>
                      <w:sz w:val="20"/>
                      <w:szCs w:val="20"/>
                    </w:rPr>
                    <w:t>119</w:t>
                  </w:r>
                </w:p>
              </w:tc>
              <w:tc>
                <w:tcPr>
                  <w:tcW w:w="2232" w:type="dxa"/>
                  <w:shd w:val="clear" w:color="auto" w:fill="D0CECE" w:themeFill="background2" w:themeFillShade="E6"/>
                  <w:vAlign w:val="center"/>
                </w:tcPr>
                <w:p w14:paraId="58955276" w14:textId="77777777" w:rsidR="003E43FF" w:rsidRPr="00CB18DA" w:rsidRDefault="003E43FF" w:rsidP="003E43FF">
                  <w:pPr>
                    <w:jc w:val="center"/>
                    <w:rPr>
                      <w:rFonts w:cstheme="minorHAnsi"/>
                      <w:sz w:val="20"/>
                      <w:szCs w:val="20"/>
                    </w:rPr>
                  </w:pPr>
                </w:p>
              </w:tc>
            </w:tr>
            <w:tr w:rsidR="003E43FF" w14:paraId="54CC4F66" w14:textId="2DBFF7A4" w:rsidTr="003E43FF">
              <w:trPr>
                <w:trHeight w:hRule="exact" w:val="284"/>
              </w:trPr>
              <w:tc>
                <w:tcPr>
                  <w:tcW w:w="2977" w:type="dxa"/>
                </w:tcPr>
                <w:p w14:paraId="778FABE7" w14:textId="3F4BA921" w:rsidR="003E43FF" w:rsidRPr="00CB18DA" w:rsidRDefault="003E43FF" w:rsidP="003E43FF">
                  <w:pPr>
                    <w:rPr>
                      <w:rFonts w:cstheme="minorHAnsi"/>
                      <w:b/>
                      <w:bCs/>
                      <w:sz w:val="20"/>
                      <w:szCs w:val="20"/>
                    </w:rPr>
                  </w:pPr>
                  <w:r w:rsidRPr="00CB18DA">
                    <w:rPr>
                      <w:rFonts w:cstheme="minorHAnsi"/>
                      <w:b/>
                      <w:bCs/>
                      <w:sz w:val="20"/>
                      <w:szCs w:val="20"/>
                    </w:rPr>
                    <w:t>All schools (</w:t>
                  </w:r>
                  <w:r w:rsidRPr="00CB18DA">
                    <w:rPr>
                      <w:rFonts w:cstheme="minorHAnsi"/>
                      <w:b/>
                      <w:bCs/>
                      <w:i/>
                      <w:iCs/>
                      <w:sz w:val="20"/>
                      <w:szCs w:val="20"/>
                    </w:rPr>
                    <w:t>n=18,082</w:t>
                  </w:r>
                  <w:r w:rsidRPr="00CB18DA">
                    <w:rPr>
                      <w:rFonts w:cstheme="minorHAnsi"/>
                      <w:b/>
                      <w:bCs/>
                      <w:sz w:val="20"/>
                      <w:szCs w:val="20"/>
                    </w:rPr>
                    <w:t>)</w:t>
                  </w:r>
                  <w:r w:rsidRPr="00CB18DA">
                    <w:rPr>
                      <w:rStyle w:val="FootnoteReference"/>
                      <w:rFonts w:cstheme="minorHAnsi"/>
                      <w:b/>
                      <w:bCs/>
                      <w:sz w:val="20"/>
                      <w:szCs w:val="20"/>
                    </w:rPr>
                    <w:footnoteReference w:id="7"/>
                  </w:r>
                </w:p>
              </w:tc>
              <w:tc>
                <w:tcPr>
                  <w:tcW w:w="2231" w:type="dxa"/>
                  <w:vAlign w:val="center"/>
                </w:tcPr>
                <w:p w14:paraId="5DC2C104" w14:textId="5DE9C022" w:rsidR="003E43FF" w:rsidRPr="00CB18DA" w:rsidRDefault="003E43FF" w:rsidP="003E43FF">
                  <w:pPr>
                    <w:jc w:val="center"/>
                    <w:rPr>
                      <w:rFonts w:cstheme="minorHAnsi"/>
                      <w:sz w:val="20"/>
                      <w:szCs w:val="20"/>
                    </w:rPr>
                  </w:pPr>
                  <w:r w:rsidRPr="00CB18DA">
                    <w:rPr>
                      <w:rFonts w:cstheme="minorHAnsi"/>
                      <w:sz w:val="20"/>
                      <w:szCs w:val="20"/>
                    </w:rPr>
                    <w:t>120</w:t>
                  </w:r>
                </w:p>
              </w:tc>
              <w:tc>
                <w:tcPr>
                  <w:tcW w:w="2232" w:type="dxa"/>
                  <w:shd w:val="clear" w:color="auto" w:fill="D0CECE" w:themeFill="background2" w:themeFillShade="E6"/>
                  <w:vAlign w:val="center"/>
                </w:tcPr>
                <w:p w14:paraId="13739949" w14:textId="77777777" w:rsidR="003E43FF" w:rsidRPr="00CB18DA" w:rsidRDefault="003E43FF" w:rsidP="003E43FF">
                  <w:pPr>
                    <w:jc w:val="center"/>
                    <w:rPr>
                      <w:rFonts w:cstheme="minorHAnsi"/>
                      <w:sz w:val="20"/>
                      <w:szCs w:val="20"/>
                    </w:rPr>
                  </w:pPr>
                </w:p>
              </w:tc>
            </w:tr>
            <w:tr w:rsidR="003E43FF" w14:paraId="312992B1" w14:textId="77777777" w:rsidTr="003E43FF">
              <w:trPr>
                <w:trHeight w:hRule="exact" w:val="284"/>
              </w:trPr>
              <w:tc>
                <w:tcPr>
                  <w:tcW w:w="2977" w:type="dxa"/>
                </w:tcPr>
                <w:p w14:paraId="399F440D" w14:textId="6CE99EBB" w:rsidR="003E43FF" w:rsidRPr="00CB18DA" w:rsidRDefault="003E43FF" w:rsidP="003E43FF">
                  <w:pPr>
                    <w:rPr>
                      <w:rFonts w:cstheme="minorHAnsi"/>
                      <w:b/>
                      <w:bCs/>
                      <w:sz w:val="20"/>
                      <w:szCs w:val="20"/>
                    </w:rPr>
                  </w:pPr>
                  <w:r w:rsidRPr="00CB18DA">
                    <w:rPr>
                      <w:rFonts w:cstheme="minorHAnsi"/>
                      <w:b/>
                      <w:bCs/>
                      <w:sz w:val="20"/>
                      <w:szCs w:val="20"/>
                    </w:rPr>
                    <w:t>School Sample Group (</w:t>
                  </w:r>
                  <w:r w:rsidRPr="00CB18DA">
                    <w:rPr>
                      <w:rFonts w:cstheme="minorHAnsi"/>
                      <w:b/>
                      <w:bCs/>
                      <w:i/>
                      <w:iCs/>
                      <w:sz w:val="20"/>
                      <w:szCs w:val="20"/>
                    </w:rPr>
                    <w:t>n=25</w:t>
                  </w:r>
                  <w:r w:rsidRPr="00CB18DA">
                    <w:rPr>
                      <w:rFonts w:cstheme="minorHAnsi"/>
                      <w:b/>
                      <w:bCs/>
                      <w:sz w:val="20"/>
                      <w:szCs w:val="20"/>
                    </w:rPr>
                    <w:t>)</w:t>
                  </w:r>
                </w:p>
              </w:tc>
              <w:tc>
                <w:tcPr>
                  <w:tcW w:w="2231" w:type="dxa"/>
                  <w:vAlign w:val="center"/>
                </w:tcPr>
                <w:p w14:paraId="2E02880E" w14:textId="54C1CD30" w:rsidR="003E43FF" w:rsidRPr="00CB18DA" w:rsidRDefault="003E43FF" w:rsidP="003E43FF">
                  <w:pPr>
                    <w:jc w:val="center"/>
                    <w:rPr>
                      <w:rFonts w:cstheme="minorHAnsi"/>
                      <w:sz w:val="20"/>
                      <w:szCs w:val="20"/>
                    </w:rPr>
                  </w:pPr>
                  <w:r w:rsidRPr="00CB18DA">
                    <w:rPr>
                      <w:rFonts w:cstheme="minorHAnsi"/>
                      <w:sz w:val="20"/>
                      <w:szCs w:val="20"/>
                    </w:rPr>
                    <w:t>120.1</w:t>
                  </w:r>
                </w:p>
              </w:tc>
              <w:tc>
                <w:tcPr>
                  <w:tcW w:w="2232" w:type="dxa"/>
                  <w:vAlign w:val="center"/>
                </w:tcPr>
                <w:p w14:paraId="322A590E" w14:textId="559B787C" w:rsidR="003E43FF" w:rsidRPr="00CB18DA" w:rsidRDefault="003E43FF" w:rsidP="003E43FF">
                  <w:pPr>
                    <w:jc w:val="center"/>
                    <w:rPr>
                      <w:rFonts w:cstheme="minorHAnsi"/>
                      <w:sz w:val="20"/>
                      <w:szCs w:val="20"/>
                    </w:rPr>
                  </w:pPr>
                  <w:r w:rsidRPr="00CB18DA">
                    <w:rPr>
                      <w:rFonts w:cstheme="minorHAnsi"/>
                      <w:sz w:val="20"/>
                      <w:szCs w:val="20"/>
                    </w:rPr>
                    <w:t>122.2</w:t>
                  </w:r>
                </w:p>
              </w:tc>
            </w:tr>
          </w:tbl>
          <w:p w14:paraId="0EAD7808" w14:textId="56AFD566" w:rsidR="003E43FF" w:rsidRDefault="003E43FF" w:rsidP="003E43FF">
            <w:pPr>
              <w:tabs>
                <w:tab w:val="left" w:pos="741"/>
              </w:tabs>
              <w:ind w:left="741" w:right="698"/>
              <w:rPr>
                <w:rFonts w:cstheme="minorHAnsi"/>
                <w:i/>
                <w:iCs/>
                <w:color w:val="212529"/>
                <w:sz w:val="20"/>
                <w:szCs w:val="20"/>
                <w:shd w:val="clear" w:color="auto" w:fill="FFFFFF"/>
              </w:rPr>
            </w:pPr>
            <w:r w:rsidRPr="003E43FF">
              <w:rPr>
                <w:rFonts w:cstheme="minorHAnsi"/>
                <w:i/>
                <w:iCs/>
                <w:color w:val="212529"/>
                <w:sz w:val="20"/>
                <w:szCs w:val="20"/>
                <w:shd w:val="clear" w:color="auto" w:fill="FFFFFF"/>
              </w:rPr>
              <w:t xml:space="preserve">The ‘mean’ score reports the average level of social-emotional wellbeing for students surveyed in </w:t>
            </w:r>
            <w:r>
              <w:rPr>
                <w:rFonts w:cstheme="minorHAnsi"/>
                <w:i/>
                <w:iCs/>
                <w:color w:val="212529"/>
                <w:sz w:val="20"/>
                <w:szCs w:val="20"/>
                <w:shd w:val="clear" w:color="auto" w:fill="FFFFFF"/>
              </w:rPr>
              <w:t>the</w:t>
            </w:r>
            <w:r w:rsidRPr="003E43FF">
              <w:rPr>
                <w:rFonts w:cstheme="minorHAnsi"/>
                <w:i/>
                <w:iCs/>
                <w:color w:val="212529"/>
                <w:sz w:val="20"/>
                <w:szCs w:val="20"/>
                <w:shd w:val="clear" w:color="auto" w:fill="FFFFFF"/>
              </w:rPr>
              <w:t xml:space="preserve"> school and across all schools participating in the survey. A higher mean score indicates that this </w:t>
            </w:r>
            <w:proofErr w:type="gramStart"/>
            <w:r w:rsidRPr="003E43FF">
              <w:rPr>
                <w:rFonts w:cstheme="minorHAnsi"/>
                <w:i/>
                <w:iCs/>
                <w:color w:val="212529"/>
                <w:sz w:val="20"/>
                <w:szCs w:val="20"/>
                <w:shd w:val="clear" w:color="auto" w:fill="FFFFFF"/>
              </w:rPr>
              <w:t>particular student</w:t>
            </w:r>
            <w:proofErr w:type="gramEnd"/>
            <w:r w:rsidRPr="003E43FF">
              <w:rPr>
                <w:rFonts w:cstheme="minorHAnsi"/>
                <w:i/>
                <w:iCs/>
                <w:color w:val="212529"/>
                <w:sz w:val="20"/>
                <w:szCs w:val="20"/>
                <w:shd w:val="clear" w:color="auto" w:fill="FFFFFF"/>
              </w:rPr>
              <w:t xml:space="preserve"> cohort on average enjoys a higher level of social-emotional wellbeing than student cohorts with a lower mean score</w:t>
            </w:r>
            <w:r>
              <w:rPr>
                <w:rFonts w:cstheme="minorHAnsi"/>
                <w:i/>
                <w:iCs/>
                <w:color w:val="212529"/>
                <w:sz w:val="20"/>
                <w:szCs w:val="20"/>
                <w:shd w:val="clear" w:color="auto" w:fill="FFFFFF"/>
              </w:rPr>
              <w:t>.</w:t>
            </w:r>
          </w:p>
          <w:p w14:paraId="329A9AE6" w14:textId="70353228" w:rsidR="00CB18DA" w:rsidRDefault="00CB18DA" w:rsidP="003E43FF">
            <w:pPr>
              <w:tabs>
                <w:tab w:val="left" w:pos="741"/>
              </w:tabs>
              <w:ind w:left="741" w:right="698"/>
              <w:rPr>
                <w:rFonts w:cstheme="minorHAnsi"/>
                <w:i/>
                <w:iCs/>
                <w:color w:val="212529"/>
                <w:sz w:val="20"/>
                <w:szCs w:val="20"/>
                <w:shd w:val="clear" w:color="auto" w:fill="FFFFFF"/>
              </w:rPr>
            </w:pPr>
          </w:p>
          <w:p w14:paraId="43D2291C" w14:textId="73C26FAB" w:rsidR="00CB18DA" w:rsidRPr="003E43FF" w:rsidRDefault="00CB18DA" w:rsidP="003E43FF">
            <w:pPr>
              <w:tabs>
                <w:tab w:val="left" w:pos="741"/>
              </w:tabs>
              <w:ind w:left="741" w:right="698"/>
              <w:rPr>
                <w:rFonts w:cstheme="minorHAnsi"/>
                <w:i/>
                <w:iCs/>
                <w:sz w:val="20"/>
                <w:szCs w:val="20"/>
              </w:rPr>
            </w:pPr>
            <w:r>
              <w:rPr>
                <w:rFonts w:cstheme="minorHAnsi"/>
                <w:i/>
                <w:iCs/>
                <w:color w:val="212529"/>
                <w:sz w:val="20"/>
                <w:szCs w:val="20"/>
                <w:shd w:val="clear" w:color="auto" w:fill="FFFFFF"/>
              </w:rPr>
              <w:t>Source: ACER Social-Emotional Wellbeing Survey 2020</w:t>
            </w:r>
          </w:p>
          <w:p w14:paraId="234D8C90" w14:textId="143E2DA2" w:rsidR="00C33D1F" w:rsidRDefault="00C33D1F" w:rsidP="00FC511A"/>
          <w:p w14:paraId="306959EC" w14:textId="430EE8C1" w:rsidR="003E43FF" w:rsidRDefault="003E43FF" w:rsidP="00FC511A">
            <w:r>
              <w:t xml:space="preserve">As well as collecting baseline data, some comparative data was also collected from a sample group of year 5 students who completed the SEW survey in August and December. As a school our students scored lower in the second domain of inner strengths. It is therefore promising that, after focussing on strengths as our second school domain from August to December, the sample group’s mean score increased. </w:t>
            </w:r>
          </w:p>
          <w:p w14:paraId="212B531D" w14:textId="77777777" w:rsidR="003E43FF" w:rsidRDefault="003E43FF" w:rsidP="00FC511A"/>
          <w:p w14:paraId="38E7DF3F" w14:textId="3E3353A5" w:rsidR="0047684A" w:rsidRDefault="00C33D1F" w:rsidP="0047684A">
            <w:pPr>
              <w:pStyle w:val="PlainText"/>
            </w:pPr>
            <w:r>
              <w:t>Very disappointingly the school did not meet its targets for stakeholder perception of feeling respected in the school environment. However</w:t>
            </w:r>
            <w:r w:rsidR="00BA1DAD">
              <w:t>,</w:t>
            </w:r>
            <w:r>
              <w:t xml:space="preserve"> it was of interest that </w:t>
            </w:r>
            <w:r w:rsidR="00EA34EC">
              <w:t>relatively large</w:t>
            </w:r>
            <w:r>
              <w:t xml:space="preserve"> percentages of each stakeholder group </w:t>
            </w:r>
            <w:r w:rsidR="00EA34EC">
              <w:t>gave neutral or “don’t know</w:t>
            </w:r>
            <w:r w:rsidR="009D3A09">
              <w:t>”</w:t>
            </w:r>
            <w:r w:rsidR="00EA34EC">
              <w:t xml:space="preserve"> responses this year (parents 11%</w:t>
            </w:r>
            <w:r w:rsidR="00BC076D">
              <w:t>;</w:t>
            </w:r>
            <w:r w:rsidR="00EA34EC">
              <w:t xml:space="preserve"> students 28%</w:t>
            </w:r>
            <w:r w:rsidR="00BC076D">
              <w:t>;</w:t>
            </w:r>
            <w:r w:rsidR="00EA34EC">
              <w:t xml:space="preserve"> staff 12%)</w:t>
            </w:r>
            <w:r w:rsidR="00BA1DAD">
              <w:t xml:space="preserve">, which for students and parents might be attributed to the long period of online learning </w:t>
            </w:r>
            <w:r w:rsidR="00CB18DA">
              <w:t xml:space="preserve">they experienced </w:t>
            </w:r>
            <w:r w:rsidR="00BA1DAD">
              <w:t xml:space="preserve">immediately prior to the survey. </w:t>
            </w:r>
          </w:p>
          <w:p w14:paraId="3CCAA17D" w14:textId="77777777" w:rsidR="00BA1DAD" w:rsidRDefault="00BA1DAD" w:rsidP="0047684A">
            <w:pPr>
              <w:pStyle w:val="PlainText"/>
            </w:pPr>
          </w:p>
          <w:p w14:paraId="683E15C6" w14:textId="33B00CDE" w:rsidR="009D3A09" w:rsidRDefault="0047684A" w:rsidP="0047684A">
            <w:pPr>
              <w:pStyle w:val="PlainText"/>
            </w:pPr>
            <w:r>
              <w:t>Stakeholder perception of the school’s progress in building a safe school environment for students is also strong. The target related to parents’ perception of student safety has been consistently surpassed each year.  Student perception has averaged 8</w:t>
            </w:r>
            <w:r w:rsidR="00BA1DAD">
              <w:t>1</w:t>
            </w:r>
            <w:r>
              <w:t>% over the life of the  current school plan</w:t>
            </w:r>
            <w:r w:rsidR="004657B8">
              <w:t xml:space="preserve">. Disappointingly the progress made in the first two years </w:t>
            </w:r>
            <w:r w:rsidR="00242945">
              <w:t xml:space="preserve">towards </w:t>
            </w:r>
            <w:r w:rsidR="007D133B">
              <w:t>achieving</w:t>
            </w:r>
            <w:r w:rsidR="00242945">
              <w:t xml:space="preserve"> this target has not been sustained</w:t>
            </w:r>
            <w:r w:rsidR="00DA7329">
              <w:t xml:space="preserve"> and is </w:t>
            </w:r>
            <w:r w:rsidR="00F46922">
              <w:t>not aligned to the</w:t>
            </w:r>
            <w:r w:rsidR="00D67F96">
              <w:t xml:space="preserve"> parent and staff perception</w:t>
            </w:r>
            <w:r w:rsidR="007D133B">
              <w:t xml:space="preserve"> data</w:t>
            </w:r>
            <w:r w:rsidR="00BC076D">
              <w:rPr>
                <w:rStyle w:val="FootnoteReference"/>
              </w:rPr>
              <w:footnoteReference w:id="8"/>
            </w:r>
            <w:r w:rsidR="007D133B">
              <w:t xml:space="preserve">. </w:t>
            </w:r>
            <w:r w:rsidR="001E08CD">
              <w:t xml:space="preserve">In 2020 the student perception data </w:t>
            </w:r>
            <w:r w:rsidR="009D3A09">
              <w:t xml:space="preserve">result </w:t>
            </w:r>
            <w:r w:rsidR="001E08CD">
              <w:t>was also impacted by the large proportion of students who gave neutral or “don’t know</w:t>
            </w:r>
            <w:r w:rsidR="009D3A09">
              <w:t>”</w:t>
            </w:r>
            <w:r w:rsidR="001E08CD">
              <w:t xml:space="preserve"> responses (19%)</w:t>
            </w:r>
            <w:r w:rsidR="009D3A09">
              <w:t>.</w:t>
            </w:r>
          </w:p>
          <w:p w14:paraId="2357DCB4" w14:textId="77777777" w:rsidR="009D3A09" w:rsidRDefault="009D3A09" w:rsidP="0047684A">
            <w:pPr>
              <w:pStyle w:val="PlainText"/>
            </w:pPr>
          </w:p>
          <w:p w14:paraId="326C4B41" w14:textId="521CB9F5" w:rsidR="0047684A" w:rsidRDefault="00242945" w:rsidP="0047684A">
            <w:pPr>
              <w:pStyle w:val="PlainText"/>
            </w:pPr>
            <w:r>
              <w:t>F</w:t>
            </w:r>
            <w:r w:rsidR="0047684A">
              <w:t>ortunately</w:t>
            </w:r>
            <w:r w:rsidR="009C38E1">
              <w:t>,</w:t>
            </w:r>
            <w:r w:rsidR="0047684A">
              <w:t xml:space="preserve"> the school has collected similar information through regular “safety audits”. When surveyed in </w:t>
            </w:r>
            <w:r w:rsidR="009D3A09">
              <w:t>a term four</w:t>
            </w:r>
            <w:r w:rsidR="0047684A">
              <w:t xml:space="preserve"> random audit in every classroom across the school, </w:t>
            </w:r>
            <w:r w:rsidR="0047684A" w:rsidRPr="00FD7D3F">
              <w:t>9</w:t>
            </w:r>
            <w:r w:rsidR="009D3A09">
              <w:t>4</w:t>
            </w:r>
            <w:r w:rsidR="0047684A" w:rsidRPr="00FD7D3F">
              <w:t>% of senior students</w:t>
            </w:r>
            <w:r w:rsidR="00FD7D3F" w:rsidRPr="00FD7D3F">
              <w:t xml:space="preserve"> (3-6)</w:t>
            </w:r>
            <w:r w:rsidR="0047684A" w:rsidRPr="00FD7D3F">
              <w:t xml:space="preserve"> and 9</w:t>
            </w:r>
            <w:r w:rsidR="009D3A09">
              <w:t>5</w:t>
            </w:r>
            <w:r w:rsidR="0047684A" w:rsidRPr="00FD7D3F">
              <w:t xml:space="preserve">% of </w:t>
            </w:r>
            <w:r w:rsidR="00FD7D3F" w:rsidRPr="00FD7D3F">
              <w:t xml:space="preserve">junior </w:t>
            </w:r>
            <w:r w:rsidR="0047684A" w:rsidRPr="00FD7D3F">
              <w:t>students</w:t>
            </w:r>
            <w:r w:rsidR="00FD7D3F" w:rsidRPr="00FD7D3F">
              <w:t xml:space="preserve"> (</w:t>
            </w:r>
            <w:r w:rsidR="009D3A09">
              <w:t>P</w:t>
            </w:r>
            <w:r w:rsidR="00FD7D3F" w:rsidRPr="00FD7D3F">
              <w:t>-2)</w:t>
            </w:r>
            <w:r w:rsidR="0047684A">
              <w:t xml:space="preserve"> overall reported feeling safe at school</w:t>
            </w:r>
            <w:r w:rsidR="00251CD7">
              <w:t xml:space="preserve">, demonstrating a consistent </w:t>
            </w:r>
            <w:r w:rsidR="00502010">
              <w:t xml:space="preserve">improvement </w:t>
            </w:r>
            <w:r w:rsidR="00251CD7">
              <w:t xml:space="preserve">in school </w:t>
            </w:r>
            <w:r w:rsidR="00C229C1">
              <w:t xml:space="preserve">results since 2016. </w:t>
            </w:r>
            <w:r w:rsidR="003F46A3">
              <w:t xml:space="preserve">It should also be noted that </w:t>
            </w:r>
            <w:r w:rsidR="007C308B">
              <w:t xml:space="preserve">the school’s </w:t>
            </w:r>
            <w:r w:rsidR="00013941">
              <w:lastRenderedPageBreak/>
              <w:t xml:space="preserve">perception data </w:t>
            </w:r>
            <w:r w:rsidR="001E263D">
              <w:t xml:space="preserve">results </w:t>
            </w:r>
            <w:r w:rsidR="00013941">
              <w:t xml:space="preserve">for all three stakeholder groups </w:t>
            </w:r>
            <w:r w:rsidR="001E08CD">
              <w:t>have been consistently higher</w:t>
            </w:r>
            <w:r w:rsidR="00013941">
              <w:t xml:space="preserve"> </w:t>
            </w:r>
            <w:r w:rsidR="006A5136">
              <w:t xml:space="preserve">than for the </w:t>
            </w:r>
            <w:r w:rsidR="001E263D">
              <w:t>ACT primary school</w:t>
            </w:r>
            <w:r w:rsidR="00013778">
              <w:t xml:space="preserve"> average</w:t>
            </w:r>
            <w:r w:rsidR="001E08CD">
              <w:rPr>
                <w:rStyle w:val="FootnoteReference"/>
              </w:rPr>
              <w:footnoteReference w:id="9"/>
            </w:r>
            <w:r w:rsidR="001E263D">
              <w:t xml:space="preserve">. </w:t>
            </w:r>
            <w:r w:rsidR="0047684A">
              <w:t xml:space="preserve"> </w:t>
            </w:r>
          </w:p>
          <w:p w14:paraId="3316BDC0" w14:textId="77777777" w:rsidR="00CB18DA" w:rsidRDefault="00CB18DA" w:rsidP="0047684A">
            <w:pPr>
              <w:pStyle w:val="PlainText"/>
            </w:pPr>
          </w:p>
          <w:p w14:paraId="7DE867D1" w14:textId="47AF348C" w:rsidR="00EB70CE" w:rsidRDefault="0047684A" w:rsidP="00BC076D">
            <w:pPr>
              <w:pStyle w:val="PlainText"/>
            </w:pPr>
            <w:r>
              <w:t>Parent perception that community partnerships are valued and maintained ha</w:t>
            </w:r>
            <w:r w:rsidR="002E0E77">
              <w:t>d</w:t>
            </w:r>
            <w:r>
              <w:t xml:space="preserve"> averaged 8</w:t>
            </w:r>
            <w:r w:rsidR="00DA7BB3">
              <w:t>5</w:t>
            </w:r>
            <w:r>
              <w:t xml:space="preserve">% over the last </w:t>
            </w:r>
            <w:r w:rsidR="00DA7BB3">
              <w:t>four</w:t>
            </w:r>
            <w:r>
              <w:t xml:space="preserve"> years, indicating that we w</w:t>
            </w:r>
            <w:r w:rsidR="002E0E77">
              <w:t>ould</w:t>
            </w:r>
            <w:r>
              <w:t xml:space="preserve"> </w:t>
            </w:r>
            <w:r w:rsidR="00703CA2">
              <w:t xml:space="preserve">easily </w:t>
            </w:r>
            <w:r>
              <w:t xml:space="preserve">meet our target in 2020. </w:t>
            </w:r>
            <w:r w:rsidR="002E0E77">
              <w:t xml:space="preserve">This year’s result of 76% was therefore disappointing but understandable, given the challenging year and </w:t>
            </w:r>
            <w:r w:rsidR="00E01807">
              <w:t xml:space="preserve">the school’s </w:t>
            </w:r>
            <w:r w:rsidR="002E0E77">
              <w:t xml:space="preserve">adjusted </w:t>
            </w:r>
            <w:r w:rsidR="00E01807">
              <w:t>priorities</w:t>
            </w:r>
            <w:r w:rsidR="002E0E77">
              <w:t xml:space="preserve">. </w:t>
            </w:r>
            <w:r w:rsidR="00541294">
              <w:t>Two points</w:t>
            </w:r>
            <w:r w:rsidR="002E0E77">
              <w:t xml:space="preserve"> should also be noted</w:t>
            </w:r>
            <w:r w:rsidR="00541294">
              <w:t>. Firstly, o</w:t>
            </w:r>
            <w:r w:rsidR="002E0E77">
              <w:t>nly 3% of parents disagreed that community partnerships are valued and maintained.</w:t>
            </w:r>
            <w:r w:rsidR="00541294">
              <w:rPr>
                <w:rFonts w:ascii="Arial" w:hAnsi="Arial" w:cs="Arial"/>
                <w:color w:val="707070"/>
                <w:shd w:val="clear" w:color="auto" w:fill="FFFFFF"/>
              </w:rPr>
              <w:t xml:space="preserve"> </w:t>
            </w:r>
            <w:r w:rsidR="00541294" w:rsidRPr="00541294">
              <w:rPr>
                <w:rFonts w:asciiTheme="minorHAnsi" w:hAnsiTheme="minorHAnsi" w:cstheme="minorHAnsi"/>
                <w:shd w:val="clear" w:color="auto" w:fill="FFFFFF"/>
              </w:rPr>
              <w:t>Secondly</w:t>
            </w:r>
            <w:r w:rsidR="00541294">
              <w:rPr>
                <w:rFonts w:asciiTheme="minorHAnsi" w:hAnsiTheme="minorHAnsi" w:cstheme="minorHAnsi"/>
                <w:shd w:val="clear" w:color="auto" w:fill="FFFFFF"/>
              </w:rPr>
              <w:t>,</w:t>
            </w:r>
            <w:r w:rsidR="00541294" w:rsidRPr="00541294">
              <w:rPr>
                <w:rFonts w:asciiTheme="minorHAnsi" w:hAnsiTheme="minorHAnsi" w:cstheme="minorHAnsi"/>
                <w:shd w:val="clear" w:color="auto" w:fill="FFFFFF"/>
              </w:rPr>
              <w:t xml:space="preserve"> a greater percentage of parents and carers </w:t>
            </w:r>
            <w:r w:rsidR="006F12E8">
              <w:rPr>
                <w:rFonts w:asciiTheme="minorHAnsi" w:hAnsiTheme="minorHAnsi" w:cstheme="minorHAnsi"/>
                <w:shd w:val="clear" w:color="auto" w:fill="FFFFFF"/>
              </w:rPr>
              <w:t>than in other ACT primary schools</w:t>
            </w:r>
            <w:r w:rsidR="006F12E8">
              <w:rPr>
                <w:rStyle w:val="FootnoteReference"/>
                <w:rFonts w:asciiTheme="minorHAnsi" w:hAnsiTheme="minorHAnsi" w:cstheme="minorHAnsi"/>
                <w:shd w:val="clear" w:color="auto" w:fill="FFFFFF"/>
              </w:rPr>
              <w:footnoteReference w:id="10"/>
            </w:r>
            <w:r w:rsidR="006F12E8">
              <w:rPr>
                <w:rFonts w:asciiTheme="minorHAnsi" w:hAnsiTheme="minorHAnsi" w:cstheme="minorHAnsi"/>
                <w:shd w:val="clear" w:color="auto" w:fill="FFFFFF"/>
              </w:rPr>
              <w:t xml:space="preserve"> </w:t>
            </w:r>
            <w:r w:rsidR="00541294">
              <w:rPr>
                <w:rFonts w:asciiTheme="minorHAnsi" w:hAnsiTheme="minorHAnsi" w:cstheme="minorHAnsi"/>
                <w:shd w:val="clear" w:color="auto" w:fill="FFFFFF"/>
              </w:rPr>
              <w:t xml:space="preserve">agreed that </w:t>
            </w:r>
            <w:r w:rsidR="00541294" w:rsidRPr="00541294">
              <w:rPr>
                <w:rFonts w:asciiTheme="minorHAnsi" w:hAnsiTheme="minorHAnsi" w:cstheme="minorHAnsi"/>
                <w:shd w:val="clear" w:color="auto" w:fill="FFFFFF"/>
              </w:rPr>
              <w:t>the school effective</w:t>
            </w:r>
            <w:r w:rsidR="006F12E8">
              <w:rPr>
                <w:rFonts w:asciiTheme="minorHAnsi" w:hAnsiTheme="minorHAnsi" w:cstheme="minorHAnsi"/>
                <w:shd w:val="clear" w:color="auto" w:fill="FFFFFF"/>
              </w:rPr>
              <w:t>ly</w:t>
            </w:r>
            <w:r w:rsidR="00541294" w:rsidRPr="00541294">
              <w:rPr>
                <w:rFonts w:asciiTheme="minorHAnsi" w:hAnsiTheme="minorHAnsi" w:cstheme="minorHAnsi"/>
                <w:shd w:val="clear" w:color="auto" w:fill="FFFFFF"/>
              </w:rPr>
              <w:t xml:space="preserve"> buil</w:t>
            </w:r>
            <w:r w:rsidR="006F12E8">
              <w:rPr>
                <w:rFonts w:asciiTheme="minorHAnsi" w:hAnsiTheme="minorHAnsi" w:cstheme="minorHAnsi"/>
                <w:shd w:val="clear" w:color="auto" w:fill="FFFFFF"/>
              </w:rPr>
              <w:t>t</w:t>
            </w:r>
            <w:r w:rsidR="00541294" w:rsidRPr="00541294">
              <w:rPr>
                <w:rFonts w:asciiTheme="minorHAnsi" w:hAnsiTheme="minorHAnsi" w:cstheme="minorHAnsi"/>
                <w:shd w:val="clear" w:color="auto" w:fill="FFFFFF"/>
              </w:rPr>
              <w:t xml:space="preserve"> good communication between school and home and </w:t>
            </w:r>
            <w:r w:rsidR="006F12E8">
              <w:rPr>
                <w:rFonts w:asciiTheme="minorHAnsi" w:hAnsiTheme="minorHAnsi" w:cstheme="minorHAnsi"/>
                <w:shd w:val="clear" w:color="auto" w:fill="FFFFFF"/>
              </w:rPr>
              <w:t>included them</w:t>
            </w:r>
            <w:r w:rsidR="00541294" w:rsidRPr="00541294">
              <w:rPr>
                <w:rFonts w:asciiTheme="minorHAnsi" w:hAnsiTheme="minorHAnsi" w:cstheme="minorHAnsi"/>
                <w:shd w:val="clear" w:color="auto" w:fill="FFFFFF"/>
              </w:rPr>
              <w:t xml:space="preserve"> in decision-making</w:t>
            </w:r>
            <w:r w:rsidR="006F12E8">
              <w:rPr>
                <w:rFonts w:asciiTheme="minorHAnsi" w:hAnsiTheme="minorHAnsi" w:cstheme="minorHAnsi"/>
                <w:shd w:val="clear" w:color="auto" w:fill="FFFFFF"/>
              </w:rPr>
              <w:t xml:space="preserve">.  </w:t>
            </w:r>
          </w:p>
        </w:tc>
      </w:tr>
    </w:tbl>
    <w:p w14:paraId="579EE3F1" w14:textId="77777777" w:rsidR="005C7432" w:rsidRDefault="005C7432" w:rsidP="005C7432">
      <w:pPr>
        <w:pStyle w:val="BodyText"/>
      </w:pPr>
    </w:p>
    <w:p w14:paraId="49A66F64" w14:textId="362B9D1C" w:rsidR="005611F4" w:rsidRDefault="00DA09ED" w:rsidP="00CD24CB">
      <w:pPr>
        <w:pStyle w:val="Heading3"/>
      </w:pPr>
      <w:r w:rsidRPr="00FA6A61">
        <w:t>Our achievements for this priority</w:t>
      </w:r>
    </w:p>
    <w:tbl>
      <w:tblPr>
        <w:tblStyle w:val="TableGrid"/>
        <w:tblpPr w:leftFromText="180" w:rightFromText="180" w:vertAnchor="text" w:horzAnchor="margin" w:tblpY="164"/>
        <w:tblW w:w="9027" w:type="dxa"/>
        <w:tblCellMar>
          <w:top w:w="113" w:type="dxa"/>
          <w:bottom w:w="113" w:type="dxa"/>
        </w:tblCellMar>
        <w:tblLook w:val="04A0" w:firstRow="1" w:lastRow="0" w:firstColumn="1" w:lastColumn="0" w:noHBand="0" w:noVBand="1"/>
      </w:tblPr>
      <w:tblGrid>
        <w:gridCol w:w="9027"/>
      </w:tblGrid>
      <w:tr w:rsidR="0086492E" w14:paraId="45DEA7B2" w14:textId="77777777" w:rsidTr="0086492E">
        <w:trPr>
          <w:trHeight w:val="116"/>
        </w:trPr>
        <w:tc>
          <w:tcPr>
            <w:tcW w:w="9027" w:type="dxa"/>
            <w:shd w:val="clear" w:color="auto" w:fill="auto"/>
          </w:tcPr>
          <w:p w14:paraId="0ADEB054" w14:textId="6B081C2C" w:rsidR="00DB596F" w:rsidRPr="00A075DF" w:rsidRDefault="00A075DF" w:rsidP="00A075DF">
            <w:pPr>
              <w:pStyle w:val="ListBullet"/>
              <w:numPr>
                <w:ilvl w:val="0"/>
                <w:numId w:val="0"/>
              </w:numPr>
              <w:rPr>
                <w:b/>
                <w:bCs/>
              </w:rPr>
            </w:pPr>
            <w:r>
              <w:rPr>
                <w:b/>
                <w:bCs/>
              </w:rPr>
              <w:t>R</w:t>
            </w:r>
            <w:r w:rsidRPr="00A075DF">
              <w:rPr>
                <w:b/>
                <w:bCs/>
              </w:rPr>
              <w:t xml:space="preserve">estorative and relational practices </w:t>
            </w:r>
            <w:r>
              <w:rPr>
                <w:b/>
                <w:bCs/>
              </w:rPr>
              <w:t>and</w:t>
            </w:r>
            <w:r w:rsidRPr="00A075DF">
              <w:rPr>
                <w:b/>
                <w:bCs/>
              </w:rPr>
              <w:t xml:space="preserve"> high expectations of students in the learning environment </w:t>
            </w:r>
          </w:p>
          <w:p w14:paraId="2501D2A3" w14:textId="0943941B" w:rsidR="0086492E" w:rsidRDefault="00E01807" w:rsidP="00DB596F">
            <w:pPr>
              <w:pStyle w:val="ListBullet"/>
            </w:pPr>
            <w:r>
              <w:t>Restorative</w:t>
            </w:r>
            <w:r w:rsidR="00AB6389">
              <w:t xml:space="preserve"> and relational practices promote</w:t>
            </w:r>
            <w:r>
              <w:t>d</w:t>
            </w:r>
            <w:r w:rsidR="00AB6389">
              <w:t xml:space="preserve"> “firm but fair-high expectations” in the learning environment</w:t>
            </w:r>
            <w:r>
              <w:t>.</w:t>
            </w:r>
          </w:p>
          <w:p w14:paraId="1BE9871B" w14:textId="267E6BA9" w:rsidR="009E12EF" w:rsidRPr="002E0E77" w:rsidRDefault="009E12EF" w:rsidP="00DB596F">
            <w:pPr>
              <w:pStyle w:val="ListBullet"/>
            </w:pPr>
            <w:r w:rsidRPr="002E0E77">
              <w:t xml:space="preserve">Student voice and agency were promoted </w:t>
            </w:r>
            <w:r w:rsidR="0005521F" w:rsidRPr="002E0E77">
              <w:t xml:space="preserve">through opportunities for leadership and action </w:t>
            </w:r>
            <w:r w:rsidRPr="002E0E77">
              <w:t xml:space="preserve">so that students perceived they </w:t>
            </w:r>
            <w:r w:rsidR="0018743C" w:rsidRPr="002E0E77">
              <w:t>were</w:t>
            </w:r>
            <w:r w:rsidRPr="002E0E77">
              <w:t xml:space="preserve"> treated fairly and listened to</w:t>
            </w:r>
            <w:r w:rsidR="00F47312" w:rsidRPr="002E0E77">
              <w:t>. These opportunities i</w:t>
            </w:r>
            <w:r w:rsidR="00821D3C" w:rsidRPr="002E0E77">
              <w:t>nclud</w:t>
            </w:r>
            <w:r w:rsidR="00F47312" w:rsidRPr="002E0E77">
              <w:t>ed</w:t>
            </w:r>
            <w:r w:rsidR="00821D3C" w:rsidRPr="002E0E77">
              <w:t xml:space="preserve"> </w:t>
            </w:r>
            <w:r w:rsidR="00DE5BEC" w:rsidRPr="002E0E77">
              <w:t xml:space="preserve">units of inquiry, </w:t>
            </w:r>
            <w:r w:rsidR="00F47312" w:rsidRPr="002E0E77">
              <w:t xml:space="preserve">the </w:t>
            </w:r>
            <w:r w:rsidR="00DE5BEC" w:rsidRPr="002E0E77">
              <w:t xml:space="preserve">year six student leadership </w:t>
            </w:r>
            <w:r w:rsidR="008F3C43" w:rsidRPr="002E0E77">
              <w:t>team</w:t>
            </w:r>
            <w:r w:rsidR="00F47312" w:rsidRPr="002E0E77">
              <w:t>s</w:t>
            </w:r>
            <w:r w:rsidR="008F3C43" w:rsidRPr="002E0E77">
              <w:t xml:space="preserve">, </w:t>
            </w:r>
            <w:r w:rsidR="00F47312" w:rsidRPr="002E0E77">
              <w:t xml:space="preserve">the </w:t>
            </w:r>
            <w:r w:rsidR="008F3C43" w:rsidRPr="002E0E77">
              <w:t xml:space="preserve">Student Representative Council, </w:t>
            </w:r>
            <w:r w:rsidR="00F47312" w:rsidRPr="002E0E77">
              <w:t xml:space="preserve">and the </w:t>
            </w:r>
            <w:r w:rsidR="00E04247" w:rsidRPr="002E0E77">
              <w:t xml:space="preserve">‘Deadly Boomerangs’ Aboriginal and Torres Strait Islander action group. </w:t>
            </w:r>
          </w:p>
          <w:p w14:paraId="51FA7BEC" w14:textId="77777777" w:rsidR="0086492E" w:rsidRDefault="0086492E" w:rsidP="0086492E">
            <w:pPr>
              <w:pStyle w:val="ListBullet"/>
              <w:numPr>
                <w:ilvl w:val="0"/>
                <w:numId w:val="0"/>
              </w:numPr>
              <w:ind w:left="360" w:hanging="360"/>
            </w:pPr>
          </w:p>
          <w:p w14:paraId="1170FC3B" w14:textId="723C4D65" w:rsidR="0086492E" w:rsidRPr="00CA26FB" w:rsidRDefault="00DF6946" w:rsidP="0086492E">
            <w:pPr>
              <w:pStyle w:val="BodyText"/>
              <w:rPr>
                <w:b/>
              </w:rPr>
            </w:pPr>
            <w:r>
              <w:rPr>
                <w:b/>
              </w:rPr>
              <w:t xml:space="preserve">Positive Education </w:t>
            </w:r>
          </w:p>
          <w:p w14:paraId="7DA877A4" w14:textId="54845952" w:rsidR="0086492E" w:rsidRDefault="00DF6946" w:rsidP="00DB596F">
            <w:pPr>
              <w:pStyle w:val="ListBullet"/>
            </w:pPr>
            <w:r>
              <w:t>A critical friendship with Dr. Justin Coulson,</w:t>
            </w:r>
            <w:r w:rsidR="00A36D3D">
              <w:t xml:space="preserve"> child psychologist,</w:t>
            </w:r>
            <w:r>
              <w:t xml:space="preserve"> was </w:t>
            </w:r>
            <w:r w:rsidR="00A36D3D">
              <w:t>co</w:t>
            </w:r>
            <w:r w:rsidR="00E01807">
              <w:t>ntinued</w:t>
            </w:r>
            <w:r w:rsidR="00A36D3D">
              <w:t xml:space="preserve">. This included professional learning </w:t>
            </w:r>
            <w:r w:rsidR="00D547D6">
              <w:t xml:space="preserve">for all staff </w:t>
            </w:r>
            <w:r w:rsidR="00A36D3D">
              <w:t>and mentoring</w:t>
            </w:r>
            <w:r w:rsidR="00D547D6">
              <w:t xml:space="preserve"> of PEIT</w:t>
            </w:r>
            <w:r w:rsidR="00E01807">
              <w:rPr>
                <w:rStyle w:val="FootnoteReference"/>
              </w:rPr>
              <w:footnoteReference w:id="11"/>
            </w:r>
            <w:r w:rsidR="00D547D6">
              <w:t>.</w:t>
            </w:r>
          </w:p>
          <w:p w14:paraId="64B55F3F" w14:textId="5070AF4F" w:rsidR="008139C5" w:rsidRDefault="003E73C3" w:rsidP="008139C5">
            <w:pPr>
              <w:pStyle w:val="ListBullet"/>
            </w:pPr>
            <w:r>
              <w:t xml:space="preserve">Every classroom conducted at least two mindfulness </w:t>
            </w:r>
            <w:r w:rsidR="00A866F8">
              <w:t>activities or brain breaks daily</w:t>
            </w:r>
            <w:r w:rsidR="00E01807">
              <w:t>.</w:t>
            </w:r>
          </w:p>
          <w:p w14:paraId="13CC085D" w14:textId="6DE78766" w:rsidR="00B758D8" w:rsidRDefault="00B758D8" w:rsidP="008139C5">
            <w:pPr>
              <w:pStyle w:val="ListBullet"/>
            </w:pPr>
            <w:r>
              <w:t>A positive education resource bank was set up.</w:t>
            </w:r>
          </w:p>
          <w:p w14:paraId="66423FA7" w14:textId="3AD1A15F" w:rsidR="00B758D8" w:rsidRDefault="00423107" w:rsidP="008139C5">
            <w:pPr>
              <w:pStyle w:val="ListBullet"/>
            </w:pPr>
            <w:r>
              <w:t xml:space="preserve">PEIT </w:t>
            </w:r>
            <w:r w:rsidR="00E01807">
              <w:t>commenced implementation of</w:t>
            </w:r>
            <w:r>
              <w:t xml:space="preserve"> </w:t>
            </w:r>
            <w:r w:rsidR="00E01807">
              <w:t>Red Hill’s</w:t>
            </w:r>
            <w:r w:rsidR="00564CD9">
              <w:t xml:space="preserve"> positive education framework</w:t>
            </w:r>
            <w:r w:rsidR="00CB18DA">
              <w:t>, delivering curriculum in the health and strength domains.</w:t>
            </w:r>
            <w:r w:rsidR="00564CD9">
              <w:t xml:space="preserve"> </w:t>
            </w:r>
          </w:p>
          <w:p w14:paraId="5E555FAD" w14:textId="19C768C0" w:rsidR="00E01807" w:rsidRDefault="00E01807" w:rsidP="008139C5">
            <w:pPr>
              <w:pStyle w:val="ListBullet"/>
            </w:pPr>
            <w:r>
              <w:t xml:space="preserve">Baseline wellbeing data was collected through ACER’s PAT survey tool. </w:t>
            </w:r>
          </w:p>
          <w:p w14:paraId="6A36158A" w14:textId="77777777" w:rsidR="00701C3B" w:rsidRDefault="00701C3B" w:rsidP="00701C3B">
            <w:pPr>
              <w:pStyle w:val="ListBullet"/>
              <w:numPr>
                <w:ilvl w:val="0"/>
                <w:numId w:val="0"/>
              </w:numPr>
            </w:pPr>
          </w:p>
          <w:p w14:paraId="7C92D881" w14:textId="77777777" w:rsidR="00701C3B" w:rsidRDefault="00701C3B" w:rsidP="00701C3B">
            <w:pPr>
              <w:pStyle w:val="ListBullet"/>
              <w:numPr>
                <w:ilvl w:val="0"/>
                <w:numId w:val="0"/>
              </w:numPr>
              <w:rPr>
                <w:b/>
                <w:bCs/>
              </w:rPr>
            </w:pPr>
            <w:r w:rsidRPr="00701C3B">
              <w:rPr>
                <w:b/>
                <w:bCs/>
              </w:rPr>
              <w:t>Community Partnerships</w:t>
            </w:r>
          </w:p>
          <w:p w14:paraId="5851379E" w14:textId="77777777" w:rsidR="00B609D9" w:rsidRDefault="00B609D9" w:rsidP="00B609D9">
            <w:pPr>
              <w:pStyle w:val="ListBullet"/>
              <w:numPr>
                <w:ilvl w:val="0"/>
                <w:numId w:val="38"/>
              </w:numPr>
              <w:ind w:left="313" w:hanging="284"/>
            </w:pPr>
            <w:r>
              <w:t xml:space="preserve">All staff completed cultural integrity “On Country” professional learning with Adam Shipp. </w:t>
            </w:r>
          </w:p>
          <w:p w14:paraId="7DE71C96" w14:textId="538CD3EB" w:rsidR="00DE0F9D" w:rsidRDefault="00B609D9" w:rsidP="00B609D9">
            <w:pPr>
              <w:pStyle w:val="ListBullet"/>
              <w:numPr>
                <w:ilvl w:val="0"/>
                <w:numId w:val="38"/>
              </w:numPr>
              <w:ind w:left="313" w:hanging="284"/>
            </w:pPr>
            <w:r>
              <w:t>The school commenced a partnership with the P&amp;C</w:t>
            </w:r>
            <w:r w:rsidR="00CB18DA">
              <w:t xml:space="preserve">, </w:t>
            </w:r>
            <w:r>
              <w:t xml:space="preserve">the ‘Healthy Kids Association’ </w:t>
            </w:r>
            <w:r w:rsidR="00CB18DA">
              <w:t xml:space="preserve">and year six student leaders </w:t>
            </w:r>
            <w:r>
              <w:t xml:space="preserve">to offer healthy lunches and snacks three days a week. </w:t>
            </w:r>
          </w:p>
          <w:p w14:paraId="368921B3" w14:textId="3A458157" w:rsidR="00B609D9" w:rsidRPr="00FD63CA" w:rsidRDefault="00B609D9" w:rsidP="00B609D9">
            <w:pPr>
              <w:pStyle w:val="ListBullet"/>
              <w:numPr>
                <w:ilvl w:val="0"/>
                <w:numId w:val="38"/>
              </w:numPr>
              <w:ind w:left="313" w:hanging="284"/>
            </w:pPr>
            <w:r>
              <w:t xml:space="preserve">Teachers worked in partnership with parents through Google Classroom to support students’ academic learning. </w:t>
            </w:r>
          </w:p>
        </w:tc>
      </w:tr>
    </w:tbl>
    <w:p w14:paraId="294EE590" w14:textId="77777777" w:rsidR="0059350F" w:rsidRDefault="0059350F" w:rsidP="009B454E">
      <w:pPr>
        <w:pStyle w:val="BodyText"/>
      </w:pPr>
    </w:p>
    <w:p w14:paraId="54D8C6E2" w14:textId="00EB372E" w:rsidR="005611F4" w:rsidRPr="005611F4" w:rsidRDefault="00DA09ED" w:rsidP="00FE0387">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pPr w:leftFromText="180" w:rightFromText="180" w:vertAnchor="text" w:horzAnchor="margin" w:tblpY="81"/>
        <w:tblW w:w="9027" w:type="dxa"/>
        <w:tblCellMar>
          <w:top w:w="113" w:type="dxa"/>
          <w:bottom w:w="113" w:type="dxa"/>
        </w:tblCellMar>
        <w:tblLook w:val="04A0" w:firstRow="1" w:lastRow="0" w:firstColumn="1" w:lastColumn="0" w:noHBand="0" w:noVBand="1"/>
      </w:tblPr>
      <w:tblGrid>
        <w:gridCol w:w="9027"/>
      </w:tblGrid>
      <w:tr w:rsidR="0086492E" w14:paraId="48A17045" w14:textId="77777777" w:rsidTr="0086492E">
        <w:trPr>
          <w:trHeight w:val="223"/>
        </w:trPr>
        <w:tc>
          <w:tcPr>
            <w:tcW w:w="9027" w:type="dxa"/>
            <w:shd w:val="clear" w:color="auto" w:fill="auto"/>
          </w:tcPr>
          <w:p w14:paraId="3F740108" w14:textId="77777777" w:rsidR="003E43FF" w:rsidRDefault="003E43FF" w:rsidP="00395FEF">
            <w:pPr>
              <w:pStyle w:val="ListBullet"/>
              <w:numPr>
                <w:ilvl w:val="0"/>
                <w:numId w:val="0"/>
              </w:numPr>
              <w:rPr>
                <w:b/>
                <w:bCs/>
              </w:rPr>
            </w:pPr>
            <w:r>
              <w:rPr>
                <w:b/>
                <w:bCs/>
              </w:rPr>
              <w:t>Positive Education</w:t>
            </w:r>
          </w:p>
          <w:p w14:paraId="38CF8DBA" w14:textId="3B11BC6F" w:rsidR="003E43FF" w:rsidRPr="003E43FF" w:rsidRDefault="003E43FF" w:rsidP="00395FEF">
            <w:pPr>
              <w:pStyle w:val="ListBullet"/>
              <w:numPr>
                <w:ilvl w:val="0"/>
                <w:numId w:val="0"/>
              </w:numPr>
            </w:pPr>
            <w:r w:rsidRPr="003E43FF">
              <w:t xml:space="preserve">It will be important </w:t>
            </w:r>
            <w:r>
              <w:t xml:space="preserve">to monitor the effectiveness of our new Positive Education framework on student and staff well-being over time. We note that staff self-esteem decreased very slightly but </w:t>
            </w:r>
            <w:r>
              <w:lastRenderedPageBreak/>
              <w:t xml:space="preserve">the number of staff experiencing high stress levels increased to 7% from 2019. Whilst we acknowledge the challenging year had by all, it will be important that we ensure Positive Education supports both staff and students. </w:t>
            </w:r>
          </w:p>
          <w:p w14:paraId="0B642F3A" w14:textId="77777777" w:rsidR="003E43FF" w:rsidRPr="003E43FF" w:rsidRDefault="003E43FF" w:rsidP="00395FEF">
            <w:pPr>
              <w:pStyle w:val="ListBullet"/>
              <w:numPr>
                <w:ilvl w:val="0"/>
                <w:numId w:val="0"/>
              </w:numPr>
            </w:pPr>
          </w:p>
          <w:p w14:paraId="40D2AE1F" w14:textId="0D7CE4DA" w:rsidR="00395FEF" w:rsidRDefault="00395FEF" w:rsidP="00395FEF">
            <w:pPr>
              <w:pStyle w:val="ListBullet"/>
              <w:numPr>
                <w:ilvl w:val="0"/>
                <w:numId w:val="0"/>
              </w:numPr>
              <w:rPr>
                <w:b/>
                <w:bCs/>
              </w:rPr>
            </w:pPr>
            <w:r w:rsidRPr="00701C3B">
              <w:rPr>
                <w:b/>
                <w:bCs/>
              </w:rPr>
              <w:t>Community Partnerships</w:t>
            </w:r>
          </w:p>
          <w:p w14:paraId="79A1A0C4" w14:textId="3AB72BC1" w:rsidR="0086492E" w:rsidRDefault="00B609D9" w:rsidP="00B609D9">
            <w:pPr>
              <w:pStyle w:val="ListBullet2"/>
              <w:numPr>
                <w:ilvl w:val="0"/>
                <w:numId w:val="0"/>
              </w:numPr>
            </w:pPr>
            <w:r>
              <w:t>We will continue to explore opportunities that increase mutual respect</w:t>
            </w:r>
            <w:r w:rsidR="009C5516">
              <w:t xml:space="preserve">. We will also pursue and promote further </w:t>
            </w:r>
            <w:r w:rsidR="00541294">
              <w:t xml:space="preserve">purposeful </w:t>
            </w:r>
            <w:r>
              <w:t>community partnerships</w:t>
            </w:r>
            <w:r w:rsidR="009C5516">
              <w:t xml:space="preserve"> beyond the immediate school community</w:t>
            </w:r>
            <w:r>
              <w:t xml:space="preserve">. </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p w14:paraId="0C848164" w14:textId="77777777" w:rsidR="00271528" w:rsidRDefault="00610A38" w:rsidP="009B454E">
      <w:pPr>
        <w:pStyle w:val="BodyText"/>
      </w:pPr>
      <w:r w:rsidRPr="0024781C">
        <w:rPr>
          <w:i/>
        </w:rPr>
        <w:t>*A copy of the QIP is available for viewing at the school.</w:t>
      </w:r>
    </w:p>
    <w:sectPr w:rsidR="00271528"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C4888" w14:textId="77777777" w:rsidR="00A8687A" w:rsidRDefault="00A8687A" w:rsidP="00CA0BAD">
      <w:pPr>
        <w:spacing w:after="0" w:line="240" w:lineRule="auto"/>
      </w:pPr>
      <w:r>
        <w:separator/>
      </w:r>
    </w:p>
  </w:endnote>
  <w:endnote w:type="continuationSeparator" w:id="0">
    <w:p w14:paraId="6AF47F0B" w14:textId="77777777" w:rsidR="00A8687A" w:rsidRDefault="00A8687A"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5AFECEBE" w:rsidR="00A8687A" w:rsidRPr="00BF488D" w:rsidRDefault="00A8687A"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810476">
              <w:rPr>
                <w:rFonts w:ascii="Arial" w:hAnsi="Arial" w:cs="Arial"/>
                <w:noProof/>
                <w:color w:val="808080" w:themeColor="background1" w:themeShade="80"/>
                <w:sz w:val="20"/>
                <w:szCs w:val="20"/>
              </w:rPr>
              <w:t>Friday, 22 January 2021</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A8687A" w:rsidRPr="008679D5" w:rsidRDefault="00A8687A"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0"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0"/>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99CBB" w14:textId="77777777" w:rsidR="00A8687A" w:rsidRDefault="00A8687A" w:rsidP="00CA0BAD">
      <w:pPr>
        <w:spacing w:after="0" w:line="240" w:lineRule="auto"/>
      </w:pPr>
      <w:r>
        <w:separator/>
      </w:r>
    </w:p>
  </w:footnote>
  <w:footnote w:type="continuationSeparator" w:id="0">
    <w:p w14:paraId="732B8FBD" w14:textId="77777777" w:rsidR="00A8687A" w:rsidRDefault="00A8687A" w:rsidP="00CA0BAD">
      <w:pPr>
        <w:spacing w:after="0" w:line="240" w:lineRule="auto"/>
      </w:pPr>
      <w:r>
        <w:continuationSeparator/>
      </w:r>
    </w:p>
  </w:footnote>
  <w:footnote w:id="1">
    <w:p w14:paraId="6346B8DF" w14:textId="47376293" w:rsidR="00A8687A" w:rsidRDefault="00A8687A">
      <w:pPr>
        <w:pStyle w:val="FootnoteText"/>
      </w:pPr>
      <w:r>
        <w:rPr>
          <w:rStyle w:val="FootnoteReference"/>
        </w:rPr>
        <w:footnoteRef/>
      </w:r>
      <w:r>
        <w:t xml:space="preserve"> Published by Academic Council of Educational Research</w:t>
      </w:r>
    </w:p>
  </w:footnote>
  <w:footnote w:id="2">
    <w:p w14:paraId="63D7B871" w14:textId="732CEABE" w:rsidR="00A8687A" w:rsidRDefault="00A8687A">
      <w:pPr>
        <w:pStyle w:val="FootnoteText"/>
      </w:pPr>
      <w:r>
        <w:rPr>
          <w:rStyle w:val="FootnoteReference"/>
        </w:rPr>
        <w:footnoteRef/>
      </w:r>
      <w:r>
        <w:t xml:space="preserve"> E-Write commences at Band 3.</w:t>
      </w:r>
    </w:p>
  </w:footnote>
  <w:footnote w:id="3">
    <w:p w14:paraId="45E82991" w14:textId="74FD050B" w:rsidR="00A8687A" w:rsidRDefault="00A8687A">
      <w:pPr>
        <w:pStyle w:val="FootnoteText"/>
      </w:pPr>
      <w:r>
        <w:rPr>
          <w:rStyle w:val="FootnoteReference"/>
        </w:rPr>
        <w:footnoteRef/>
      </w:r>
      <w:r>
        <w:t xml:space="preserve"> </w:t>
      </w:r>
      <w:r w:rsidRPr="00B300A9">
        <w:rPr>
          <w:szCs w:val="22"/>
        </w:rPr>
        <w:t xml:space="preserve">Every student at Red Hill School has individual learning goals.  </w:t>
      </w:r>
    </w:p>
  </w:footnote>
  <w:footnote w:id="4">
    <w:p w14:paraId="1582B313" w14:textId="4707701E" w:rsidR="00A8687A" w:rsidRDefault="00A8687A">
      <w:pPr>
        <w:pStyle w:val="FootnoteText"/>
      </w:pPr>
      <w:r>
        <w:rPr>
          <w:rStyle w:val="FootnoteReference"/>
        </w:rPr>
        <w:footnoteRef/>
      </w:r>
      <w:r>
        <w:t xml:space="preserve"> </w:t>
      </w:r>
      <w:r w:rsidRPr="00B300A9">
        <w:rPr>
          <w:szCs w:val="22"/>
        </w:rPr>
        <w:t>Individual Learning Plans (ILPs) are specifically for students who have a disability or are gifted and talented.</w:t>
      </w:r>
    </w:p>
  </w:footnote>
  <w:footnote w:id="5">
    <w:p w14:paraId="526260E3" w14:textId="0A57DBE8" w:rsidR="00A8687A" w:rsidRDefault="00A8687A">
      <w:pPr>
        <w:pStyle w:val="FootnoteText"/>
      </w:pPr>
      <w:r>
        <w:rPr>
          <w:rStyle w:val="FootnoteReference"/>
        </w:rPr>
        <w:footnoteRef/>
      </w:r>
      <w:r>
        <w:t xml:space="preserve"> </w:t>
      </w:r>
      <w:r>
        <w:rPr>
          <w:rFonts w:ascii="Calibri" w:hAnsi="Calibri" w:cs="Calibri"/>
          <w:color w:val="000000"/>
          <w:bdr w:val="none" w:sz="0" w:space="0" w:color="auto" w:frame="1"/>
          <w:lang w:val="en-US"/>
        </w:rPr>
        <w:t>Australian Curriculum</w:t>
      </w:r>
      <w:r>
        <w:t xml:space="preserve"> Version 3</w:t>
      </w:r>
    </w:p>
  </w:footnote>
  <w:footnote w:id="6">
    <w:p w14:paraId="71DBB0B8" w14:textId="0E0221E5" w:rsidR="00A8687A" w:rsidRDefault="00A8687A">
      <w:pPr>
        <w:pStyle w:val="FootnoteText"/>
      </w:pPr>
      <w:r>
        <w:rPr>
          <w:rStyle w:val="FootnoteReference"/>
        </w:rPr>
        <w:footnoteRef/>
      </w:r>
      <w:r>
        <w:t xml:space="preserve"> </w:t>
      </w:r>
      <w:r>
        <w:rPr>
          <w:rFonts w:ascii="Calibri" w:hAnsi="Calibri" w:cs="Calibri"/>
          <w:color w:val="000000"/>
          <w:bdr w:val="none" w:sz="0" w:space="0" w:color="auto" w:frame="1"/>
          <w:lang w:val="en-US"/>
        </w:rPr>
        <w:t>Australian Curriculum</w:t>
      </w:r>
      <w:r w:rsidRPr="001F6D5B">
        <w:t xml:space="preserve"> </w:t>
      </w:r>
      <w:r>
        <w:t>Version 3</w:t>
      </w:r>
    </w:p>
  </w:footnote>
  <w:footnote w:id="7">
    <w:p w14:paraId="54A429EF" w14:textId="56BDC95D" w:rsidR="003E43FF" w:rsidRDefault="003E43FF">
      <w:pPr>
        <w:pStyle w:val="FootnoteText"/>
      </w:pPr>
      <w:r>
        <w:rPr>
          <w:rStyle w:val="FootnoteReference"/>
        </w:rPr>
        <w:footnoteRef/>
      </w:r>
      <w:r>
        <w:t xml:space="preserve"> The results for students in this norm reference group were collected from across Australia over several years and prior to </w:t>
      </w:r>
      <w:r>
        <w:t>Covid.</w:t>
      </w:r>
    </w:p>
  </w:footnote>
  <w:footnote w:id="8">
    <w:p w14:paraId="2D63A54B" w14:textId="77777777" w:rsidR="00BC076D" w:rsidRPr="002B3DB5" w:rsidRDefault="00BC076D" w:rsidP="00BC076D">
      <w:pPr>
        <w:pStyle w:val="PlainText"/>
        <w:rPr>
          <w:sz w:val="20"/>
          <w:szCs w:val="20"/>
        </w:rPr>
      </w:pPr>
      <w:r>
        <w:rPr>
          <w:rStyle w:val="FootnoteReference"/>
        </w:rPr>
        <w:footnoteRef/>
      </w:r>
      <w:r>
        <w:t xml:space="preserve"> </w:t>
      </w:r>
      <w:r w:rsidRPr="002B3DB5">
        <w:rPr>
          <w:sz w:val="20"/>
          <w:szCs w:val="20"/>
        </w:rPr>
        <w:t xml:space="preserve">Parent perception average </w:t>
      </w:r>
      <w:r>
        <w:rPr>
          <w:sz w:val="20"/>
          <w:szCs w:val="20"/>
        </w:rPr>
        <w:t xml:space="preserve">93 </w:t>
      </w:r>
      <w:r w:rsidRPr="002B3DB5">
        <w:rPr>
          <w:sz w:val="20"/>
          <w:szCs w:val="20"/>
        </w:rPr>
        <w:t>% 2016-</w:t>
      </w:r>
      <w:r>
        <w:rPr>
          <w:sz w:val="20"/>
          <w:szCs w:val="20"/>
        </w:rPr>
        <w:t>20</w:t>
      </w:r>
      <w:r w:rsidRPr="002B3DB5">
        <w:rPr>
          <w:sz w:val="20"/>
          <w:szCs w:val="20"/>
        </w:rPr>
        <w:t xml:space="preserve">; Staff perception average </w:t>
      </w:r>
      <w:r>
        <w:rPr>
          <w:sz w:val="20"/>
          <w:szCs w:val="20"/>
        </w:rPr>
        <w:t>91</w:t>
      </w:r>
      <w:r w:rsidRPr="002B3DB5">
        <w:rPr>
          <w:sz w:val="20"/>
          <w:szCs w:val="20"/>
        </w:rPr>
        <w:t>% 2016-20</w:t>
      </w:r>
      <w:r>
        <w:rPr>
          <w:sz w:val="20"/>
          <w:szCs w:val="20"/>
        </w:rPr>
        <w:t>20</w:t>
      </w:r>
      <w:r w:rsidRPr="002B3DB5">
        <w:rPr>
          <w:sz w:val="20"/>
          <w:szCs w:val="20"/>
        </w:rPr>
        <w:t>.</w:t>
      </w:r>
    </w:p>
    <w:p w14:paraId="3356413C" w14:textId="62C8EFA8" w:rsidR="00BC076D" w:rsidRDefault="00BC076D">
      <w:pPr>
        <w:pStyle w:val="FootnoteText"/>
      </w:pPr>
    </w:p>
  </w:footnote>
  <w:footnote w:id="9">
    <w:p w14:paraId="545DCAB4" w14:textId="5CBCE3D2" w:rsidR="001E08CD" w:rsidRDefault="001E08CD">
      <w:pPr>
        <w:pStyle w:val="FootnoteText"/>
      </w:pPr>
      <w:r>
        <w:rPr>
          <w:rStyle w:val="FootnoteReference"/>
        </w:rPr>
        <w:footnoteRef/>
      </w:r>
      <w:r>
        <w:t xml:space="preserve"> </w:t>
      </w:r>
      <w:r>
        <w:t xml:space="preserve">With the exception of 2020 for students where the result was similar. </w:t>
      </w:r>
    </w:p>
  </w:footnote>
  <w:footnote w:id="10">
    <w:p w14:paraId="77FF0A26" w14:textId="77777777" w:rsidR="006F12E8" w:rsidRDefault="006F12E8" w:rsidP="006F12E8">
      <w:pPr>
        <w:pStyle w:val="FootnoteText"/>
      </w:pPr>
      <w:r>
        <w:rPr>
          <w:rStyle w:val="FootnoteReference"/>
        </w:rPr>
        <w:footnoteRef/>
      </w:r>
      <w:r>
        <w:t xml:space="preserve"> Red Hill 70%; All ACT primary schools 64%</w:t>
      </w:r>
    </w:p>
  </w:footnote>
  <w:footnote w:id="11">
    <w:p w14:paraId="746373E8" w14:textId="1A76F051" w:rsidR="00E01807" w:rsidRDefault="00E01807">
      <w:pPr>
        <w:pStyle w:val="FootnoteText"/>
      </w:pPr>
      <w:r>
        <w:rPr>
          <w:rStyle w:val="FootnoteReference"/>
        </w:rPr>
        <w:footnoteRef/>
      </w:r>
      <w:r>
        <w:t xml:space="preserve"> Positive Education Implementation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A8687A" w:rsidRDefault="00A8687A"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A8687A" w:rsidRDefault="00A8687A"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7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D449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D54DB1"/>
    <w:multiLevelType w:val="hybridMultilevel"/>
    <w:tmpl w:val="6F1637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1463A"/>
    <w:multiLevelType w:val="hybridMultilevel"/>
    <w:tmpl w:val="AEC8BA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3A5593"/>
    <w:multiLevelType w:val="hybridMultilevel"/>
    <w:tmpl w:val="65DC0D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768A4"/>
    <w:multiLevelType w:val="hybridMultilevel"/>
    <w:tmpl w:val="3DFC50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B6574F"/>
    <w:multiLevelType w:val="hybridMultilevel"/>
    <w:tmpl w:val="7DD4C508"/>
    <w:lvl w:ilvl="0" w:tplc="1F1CE422">
      <w:start w:val="94"/>
      <w:numFmt w:val="bullet"/>
      <w:lvlText w:val=""/>
      <w:lvlJc w:val="left"/>
      <w:pPr>
        <w:ind w:left="413" w:hanging="360"/>
      </w:pPr>
      <w:rPr>
        <w:rFonts w:ascii="Symbol" w:eastAsiaTheme="minorHAnsi" w:hAnsi="Symbol" w:cstheme="minorBidi"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6" w15:restartNumberingAfterBreak="0">
    <w:nsid w:val="22CD49CD"/>
    <w:multiLevelType w:val="hybridMultilevel"/>
    <w:tmpl w:val="E57E9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B76C22"/>
    <w:multiLevelType w:val="hybridMultilevel"/>
    <w:tmpl w:val="263C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882274"/>
    <w:multiLevelType w:val="hybridMultilevel"/>
    <w:tmpl w:val="FAEAB0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0C6A39"/>
    <w:multiLevelType w:val="hybridMultilevel"/>
    <w:tmpl w:val="DC8EB0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34148E"/>
    <w:multiLevelType w:val="hybridMultilevel"/>
    <w:tmpl w:val="891C9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415ABE"/>
    <w:multiLevelType w:val="hybridMultilevel"/>
    <w:tmpl w:val="C29676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0963B8"/>
    <w:multiLevelType w:val="hybridMultilevel"/>
    <w:tmpl w:val="8C82CC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275302"/>
    <w:multiLevelType w:val="hybridMultilevel"/>
    <w:tmpl w:val="7BE8F2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13433"/>
    <w:multiLevelType w:val="hybridMultilevel"/>
    <w:tmpl w:val="9C8053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A94E81"/>
    <w:multiLevelType w:val="hybridMultilevel"/>
    <w:tmpl w:val="E624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657B86"/>
    <w:multiLevelType w:val="hybridMultilevel"/>
    <w:tmpl w:val="2B5CDD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1091D47"/>
    <w:multiLevelType w:val="hybridMultilevel"/>
    <w:tmpl w:val="B4C6B7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641B"/>
    <w:multiLevelType w:val="hybridMultilevel"/>
    <w:tmpl w:val="4EFED930"/>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0154474"/>
    <w:multiLevelType w:val="multilevel"/>
    <w:tmpl w:val="96CEE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116E80"/>
    <w:multiLevelType w:val="hybridMultilevel"/>
    <w:tmpl w:val="D35AC6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FF171A"/>
    <w:multiLevelType w:val="hybridMultilevel"/>
    <w:tmpl w:val="071C333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466CD"/>
    <w:multiLevelType w:val="hybridMultilevel"/>
    <w:tmpl w:val="2D206D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2A26FC"/>
    <w:multiLevelType w:val="hybridMultilevel"/>
    <w:tmpl w:val="63C2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2"/>
  </w:num>
  <w:num w:numId="4">
    <w:abstractNumId w:val="25"/>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6"/>
  </w:num>
  <w:num w:numId="18">
    <w:abstractNumId w:val="18"/>
  </w:num>
  <w:num w:numId="19">
    <w:abstractNumId w:val="28"/>
  </w:num>
  <w:num w:numId="20">
    <w:abstractNumId w:val="15"/>
  </w:num>
  <w:num w:numId="21">
    <w:abstractNumId w:val="27"/>
  </w:num>
  <w:num w:numId="22">
    <w:abstractNumId w:val="37"/>
  </w:num>
  <w:num w:numId="23">
    <w:abstractNumId w:val="33"/>
  </w:num>
  <w:num w:numId="24">
    <w:abstractNumId w:val="13"/>
  </w:num>
  <w:num w:numId="25">
    <w:abstractNumId w:val="38"/>
  </w:num>
  <w:num w:numId="26">
    <w:abstractNumId w:val="31"/>
  </w:num>
  <w:num w:numId="27">
    <w:abstractNumId w:val="12"/>
  </w:num>
  <w:num w:numId="28">
    <w:abstractNumId w:val="39"/>
  </w:num>
  <w:num w:numId="29">
    <w:abstractNumId w:val="35"/>
  </w:num>
  <w:num w:numId="30">
    <w:abstractNumId w:val="21"/>
  </w:num>
  <w:num w:numId="31">
    <w:abstractNumId w:val="26"/>
  </w:num>
  <w:num w:numId="32">
    <w:abstractNumId w:val="24"/>
  </w:num>
  <w:num w:numId="33">
    <w:abstractNumId w:val="14"/>
  </w:num>
  <w:num w:numId="34">
    <w:abstractNumId w:val="22"/>
  </w:num>
  <w:num w:numId="35">
    <w:abstractNumId w:val="20"/>
  </w:num>
  <w:num w:numId="36">
    <w:abstractNumId w:val="36"/>
  </w:num>
  <w:num w:numId="37">
    <w:abstractNumId w:val="34"/>
  </w:num>
  <w:num w:numId="38">
    <w:abstractNumId w:val="19"/>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6C1E"/>
    <w:rsid w:val="0001170A"/>
    <w:rsid w:val="00012323"/>
    <w:rsid w:val="00013778"/>
    <w:rsid w:val="00013941"/>
    <w:rsid w:val="000200B0"/>
    <w:rsid w:val="00022D0C"/>
    <w:rsid w:val="00025911"/>
    <w:rsid w:val="000363FF"/>
    <w:rsid w:val="0004300E"/>
    <w:rsid w:val="000503A2"/>
    <w:rsid w:val="000549A3"/>
    <w:rsid w:val="00055063"/>
    <w:rsid w:val="0005521F"/>
    <w:rsid w:val="00057DAD"/>
    <w:rsid w:val="00064996"/>
    <w:rsid w:val="00066E86"/>
    <w:rsid w:val="0006772B"/>
    <w:rsid w:val="00077239"/>
    <w:rsid w:val="0008490E"/>
    <w:rsid w:val="00086444"/>
    <w:rsid w:val="00091001"/>
    <w:rsid w:val="00092DC1"/>
    <w:rsid w:val="00095687"/>
    <w:rsid w:val="00096EEA"/>
    <w:rsid w:val="000A0947"/>
    <w:rsid w:val="000A0BA9"/>
    <w:rsid w:val="000A1D0D"/>
    <w:rsid w:val="000A5076"/>
    <w:rsid w:val="000A622B"/>
    <w:rsid w:val="000A71D3"/>
    <w:rsid w:val="000A7317"/>
    <w:rsid w:val="000B69EE"/>
    <w:rsid w:val="000B795B"/>
    <w:rsid w:val="000C21F7"/>
    <w:rsid w:val="000C4DA8"/>
    <w:rsid w:val="000D16C8"/>
    <w:rsid w:val="000D3BBA"/>
    <w:rsid w:val="000D4891"/>
    <w:rsid w:val="000D6A3C"/>
    <w:rsid w:val="000E35D7"/>
    <w:rsid w:val="000F1C8F"/>
    <w:rsid w:val="000F47D2"/>
    <w:rsid w:val="000F4CBB"/>
    <w:rsid w:val="000F7E7C"/>
    <w:rsid w:val="00102A84"/>
    <w:rsid w:val="001034C8"/>
    <w:rsid w:val="0010526B"/>
    <w:rsid w:val="001064A4"/>
    <w:rsid w:val="00107AE2"/>
    <w:rsid w:val="00113E86"/>
    <w:rsid w:val="001157F1"/>
    <w:rsid w:val="00115AA9"/>
    <w:rsid w:val="00116AD6"/>
    <w:rsid w:val="001220F0"/>
    <w:rsid w:val="00127893"/>
    <w:rsid w:val="00132917"/>
    <w:rsid w:val="0013610D"/>
    <w:rsid w:val="00146BDE"/>
    <w:rsid w:val="00147E7B"/>
    <w:rsid w:val="0015284D"/>
    <w:rsid w:val="001536E0"/>
    <w:rsid w:val="001539EC"/>
    <w:rsid w:val="00155D7C"/>
    <w:rsid w:val="00160D50"/>
    <w:rsid w:val="00161E50"/>
    <w:rsid w:val="00163579"/>
    <w:rsid w:val="00170300"/>
    <w:rsid w:val="00175521"/>
    <w:rsid w:val="0017587D"/>
    <w:rsid w:val="00183DE5"/>
    <w:rsid w:val="001866A2"/>
    <w:rsid w:val="001868F8"/>
    <w:rsid w:val="0018743C"/>
    <w:rsid w:val="00190D07"/>
    <w:rsid w:val="00193757"/>
    <w:rsid w:val="00195017"/>
    <w:rsid w:val="00195288"/>
    <w:rsid w:val="001954F7"/>
    <w:rsid w:val="0019695B"/>
    <w:rsid w:val="001A17DE"/>
    <w:rsid w:val="001A20A4"/>
    <w:rsid w:val="001A2E01"/>
    <w:rsid w:val="001B26EA"/>
    <w:rsid w:val="001B2E33"/>
    <w:rsid w:val="001D1814"/>
    <w:rsid w:val="001D1C3D"/>
    <w:rsid w:val="001D2B0E"/>
    <w:rsid w:val="001D7F72"/>
    <w:rsid w:val="001E08CD"/>
    <w:rsid w:val="001E263D"/>
    <w:rsid w:val="001E29E7"/>
    <w:rsid w:val="001E3E46"/>
    <w:rsid w:val="001E7C51"/>
    <w:rsid w:val="001E7F33"/>
    <w:rsid w:val="001F1F85"/>
    <w:rsid w:val="001F24FC"/>
    <w:rsid w:val="001F6D5B"/>
    <w:rsid w:val="001F6E12"/>
    <w:rsid w:val="00207104"/>
    <w:rsid w:val="002145F7"/>
    <w:rsid w:val="0021521A"/>
    <w:rsid w:val="00216DB9"/>
    <w:rsid w:val="00217074"/>
    <w:rsid w:val="002178B7"/>
    <w:rsid w:val="00231B62"/>
    <w:rsid w:val="0023241B"/>
    <w:rsid w:val="00232D34"/>
    <w:rsid w:val="0023706A"/>
    <w:rsid w:val="00241C4E"/>
    <w:rsid w:val="00242945"/>
    <w:rsid w:val="002431F5"/>
    <w:rsid w:val="00246963"/>
    <w:rsid w:val="0024781C"/>
    <w:rsid w:val="0025009B"/>
    <w:rsid w:val="00251CD7"/>
    <w:rsid w:val="0025686F"/>
    <w:rsid w:val="00261C3B"/>
    <w:rsid w:val="00262CDC"/>
    <w:rsid w:val="00265930"/>
    <w:rsid w:val="00266E77"/>
    <w:rsid w:val="00267281"/>
    <w:rsid w:val="002674CE"/>
    <w:rsid w:val="002709EC"/>
    <w:rsid w:val="00271528"/>
    <w:rsid w:val="00271E82"/>
    <w:rsid w:val="00276C1D"/>
    <w:rsid w:val="00282BDC"/>
    <w:rsid w:val="00285852"/>
    <w:rsid w:val="002A0A1F"/>
    <w:rsid w:val="002A3A2E"/>
    <w:rsid w:val="002A4700"/>
    <w:rsid w:val="002B6E36"/>
    <w:rsid w:val="002C22A7"/>
    <w:rsid w:val="002C3146"/>
    <w:rsid w:val="002C3645"/>
    <w:rsid w:val="002C38CE"/>
    <w:rsid w:val="002D5F32"/>
    <w:rsid w:val="002E0E77"/>
    <w:rsid w:val="002E447A"/>
    <w:rsid w:val="002E7938"/>
    <w:rsid w:val="002F2C6F"/>
    <w:rsid w:val="002F3729"/>
    <w:rsid w:val="002F3D91"/>
    <w:rsid w:val="002F4184"/>
    <w:rsid w:val="00300F72"/>
    <w:rsid w:val="0031037B"/>
    <w:rsid w:val="003116ED"/>
    <w:rsid w:val="00315BF0"/>
    <w:rsid w:val="00316D62"/>
    <w:rsid w:val="003201FB"/>
    <w:rsid w:val="00325D58"/>
    <w:rsid w:val="00332A9A"/>
    <w:rsid w:val="00334BBF"/>
    <w:rsid w:val="0033636E"/>
    <w:rsid w:val="0034253F"/>
    <w:rsid w:val="00342B3F"/>
    <w:rsid w:val="00345E66"/>
    <w:rsid w:val="00347161"/>
    <w:rsid w:val="0036534E"/>
    <w:rsid w:val="00365890"/>
    <w:rsid w:val="00365A1C"/>
    <w:rsid w:val="003668DB"/>
    <w:rsid w:val="00370EB3"/>
    <w:rsid w:val="0037115A"/>
    <w:rsid w:val="0037127F"/>
    <w:rsid w:val="003724AD"/>
    <w:rsid w:val="00373DC0"/>
    <w:rsid w:val="0037472C"/>
    <w:rsid w:val="00377F0F"/>
    <w:rsid w:val="00385FCD"/>
    <w:rsid w:val="00387C6B"/>
    <w:rsid w:val="003939FE"/>
    <w:rsid w:val="003956D1"/>
    <w:rsid w:val="00395FEF"/>
    <w:rsid w:val="00396556"/>
    <w:rsid w:val="003975B4"/>
    <w:rsid w:val="003A0697"/>
    <w:rsid w:val="003A2ED7"/>
    <w:rsid w:val="003B5E3D"/>
    <w:rsid w:val="003B76E2"/>
    <w:rsid w:val="003B7748"/>
    <w:rsid w:val="003C2864"/>
    <w:rsid w:val="003C436D"/>
    <w:rsid w:val="003C4BC7"/>
    <w:rsid w:val="003C69DC"/>
    <w:rsid w:val="003D3C8C"/>
    <w:rsid w:val="003E1EFB"/>
    <w:rsid w:val="003E28B5"/>
    <w:rsid w:val="003E43FF"/>
    <w:rsid w:val="003E73C3"/>
    <w:rsid w:val="003F4114"/>
    <w:rsid w:val="003F46A3"/>
    <w:rsid w:val="00403035"/>
    <w:rsid w:val="004062CD"/>
    <w:rsid w:val="004064C0"/>
    <w:rsid w:val="00407419"/>
    <w:rsid w:val="0042184D"/>
    <w:rsid w:val="00421900"/>
    <w:rsid w:val="00423041"/>
    <w:rsid w:val="00423107"/>
    <w:rsid w:val="0042510B"/>
    <w:rsid w:val="00425F92"/>
    <w:rsid w:val="00427AA3"/>
    <w:rsid w:val="00435AB7"/>
    <w:rsid w:val="00435C6B"/>
    <w:rsid w:val="00436626"/>
    <w:rsid w:val="00442E58"/>
    <w:rsid w:val="0044466F"/>
    <w:rsid w:val="00447358"/>
    <w:rsid w:val="00452B09"/>
    <w:rsid w:val="00455D55"/>
    <w:rsid w:val="00457A88"/>
    <w:rsid w:val="00461D07"/>
    <w:rsid w:val="00463077"/>
    <w:rsid w:val="00463EF6"/>
    <w:rsid w:val="00464B74"/>
    <w:rsid w:val="0046510D"/>
    <w:rsid w:val="004657B8"/>
    <w:rsid w:val="00466941"/>
    <w:rsid w:val="00467C8A"/>
    <w:rsid w:val="0047684A"/>
    <w:rsid w:val="0047738E"/>
    <w:rsid w:val="00481BD2"/>
    <w:rsid w:val="0048268E"/>
    <w:rsid w:val="0048737E"/>
    <w:rsid w:val="00487A53"/>
    <w:rsid w:val="00492440"/>
    <w:rsid w:val="00494EFC"/>
    <w:rsid w:val="004971F8"/>
    <w:rsid w:val="004A42AE"/>
    <w:rsid w:val="004B35FE"/>
    <w:rsid w:val="004B3947"/>
    <w:rsid w:val="004B5C55"/>
    <w:rsid w:val="004C32E2"/>
    <w:rsid w:val="004C5C8F"/>
    <w:rsid w:val="004D00F4"/>
    <w:rsid w:val="004D447D"/>
    <w:rsid w:val="004D5E45"/>
    <w:rsid w:val="004E2B63"/>
    <w:rsid w:val="004E5CC5"/>
    <w:rsid w:val="004E7522"/>
    <w:rsid w:val="004F242E"/>
    <w:rsid w:val="004F687A"/>
    <w:rsid w:val="004F7FDA"/>
    <w:rsid w:val="005004C9"/>
    <w:rsid w:val="00502010"/>
    <w:rsid w:val="00502344"/>
    <w:rsid w:val="00503412"/>
    <w:rsid w:val="00510220"/>
    <w:rsid w:val="00514FAB"/>
    <w:rsid w:val="00520754"/>
    <w:rsid w:val="00520A86"/>
    <w:rsid w:val="00521E16"/>
    <w:rsid w:val="005249C2"/>
    <w:rsid w:val="00527D7F"/>
    <w:rsid w:val="005354FE"/>
    <w:rsid w:val="00535E04"/>
    <w:rsid w:val="00541294"/>
    <w:rsid w:val="005452BB"/>
    <w:rsid w:val="0055582A"/>
    <w:rsid w:val="00557F65"/>
    <w:rsid w:val="005611F4"/>
    <w:rsid w:val="00564CD9"/>
    <w:rsid w:val="005708E2"/>
    <w:rsid w:val="005748F3"/>
    <w:rsid w:val="0057672E"/>
    <w:rsid w:val="0057673C"/>
    <w:rsid w:val="0058304C"/>
    <w:rsid w:val="0058339C"/>
    <w:rsid w:val="00592AB5"/>
    <w:rsid w:val="0059350F"/>
    <w:rsid w:val="005A4749"/>
    <w:rsid w:val="005B0CB6"/>
    <w:rsid w:val="005B3663"/>
    <w:rsid w:val="005B779F"/>
    <w:rsid w:val="005C6AC6"/>
    <w:rsid w:val="005C7432"/>
    <w:rsid w:val="005D2BEF"/>
    <w:rsid w:val="005D2E3B"/>
    <w:rsid w:val="005D3C75"/>
    <w:rsid w:val="005D45D9"/>
    <w:rsid w:val="005E76E4"/>
    <w:rsid w:val="005F0546"/>
    <w:rsid w:val="005F3B55"/>
    <w:rsid w:val="005F6E11"/>
    <w:rsid w:val="00600C6E"/>
    <w:rsid w:val="00603763"/>
    <w:rsid w:val="00603A92"/>
    <w:rsid w:val="0060449F"/>
    <w:rsid w:val="00604FEB"/>
    <w:rsid w:val="00610A38"/>
    <w:rsid w:val="00614CAD"/>
    <w:rsid w:val="00616865"/>
    <w:rsid w:val="006212AB"/>
    <w:rsid w:val="00621415"/>
    <w:rsid w:val="00621883"/>
    <w:rsid w:val="00621993"/>
    <w:rsid w:val="00630D09"/>
    <w:rsid w:val="00631663"/>
    <w:rsid w:val="00636BF9"/>
    <w:rsid w:val="0064141B"/>
    <w:rsid w:val="00641423"/>
    <w:rsid w:val="00644426"/>
    <w:rsid w:val="0065248C"/>
    <w:rsid w:val="006566D1"/>
    <w:rsid w:val="00656EBF"/>
    <w:rsid w:val="00660448"/>
    <w:rsid w:val="006645DF"/>
    <w:rsid w:val="0066643F"/>
    <w:rsid w:val="00666B03"/>
    <w:rsid w:val="006679AD"/>
    <w:rsid w:val="00671447"/>
    <w:rsid w:val="00674E1D"/>
    <w:rsid w:val="00676FFE"/>
    <w:rsid w:val="006830C3"/>
    <w:rsid w:val="006868F4"/>
    <w:rsid w:val="00687156"/>
    <w:rsid w:val="00692A36"/>
    <w:rsid w:val="00694E11"/>
    <w:rsid w:val="00696697"/>
    <w:rsid w:val="006A31D6"/>
    <w:rsid w:val="006A3C3C"/>
    <w:rsid w:val="006A46F4"/>
    <w:rsid w:val="006A5062"/>
    <w:rsid w:val="006A5136"/>
    <w:rsid w:val="006A59F3"/>
    <w:rsid w:val="006B24F0"/>
    <w:rsid w:val="006C1498"/>
    <w:rsid w:val="006D1E2E"/>
    <w:rsid w:val="006D26CF"/>
    <w:rsid w:val="006D2F6B"/>
    <w:rsid w:val="006D7085"/>
    <w:rsid w:val="006E1895"/>
    <w:rsid w:val="006E3E18"/>
    <w:rsid w:val="006E4D24"/>
    <w:rsid w:val="006E58B8"/>
    <w:rsid w:val="006E59E7"/>
    <w:rsid w:val="006E5FA7"/>
    <w:rsid w:val="006F0E61"/>
    <w:rsid w:val="006F12E8"/>
    <w:rsid w:val="006F1AF9"/>
    <w:rsid w:val="006F1E9B"/>
    <w:rsid w:val="006F2567"/>
    <w:rsid w:val="006F2E29"/>
    <w:rsid w:val="006F5200"/>
    <w:rsid w:val="00701C3B"/>
    <w:rsid w:val="00701DE9"/>
    <w:rsid w:val="00703CA2"/>
    <w:rsid w:val="007053C6"/>
    <w:rsid w:val="007154A4"/>
    <w:rsid w:val="0072045F"/>
    <w:rsid w:val="007347A7"/>
    <w:rsid w:val="00736652"/>
    <w:rsid w:val="007375B4"/>
    <w:rsid w:val="00741634"/>
    <w:rsid w:val="007420C1"/>
    <w:rsid w:val="00751850"/>
    <w:rsid w:val="00752390"/>
    <w:rsid w:val="00752E47"/>
    <w:rsid w:val="00754C0D"/>
    <w:rsid w:val="00765FDA"/>
    <w:rsid w:val="007661F4"/>
    <w:rsid w:val="00766631"/>
    <w:rsid w:val="0076779D"/>
    <w:rsid w:val="00777B13"/>
    <w:rsid w:val="00782C70"/>
    <w:rsid w:val="0079167E"/>
    <w:rsid w:val="007916F1"/>
    <w:rsid w:val="00791D2E"/>
    <w:rsid w:val="007A0965"/>
    <w:rsid w:val="007A23C7"/>
    <w:rsid w:val="007B013B"/>
    <w:rsid w:val="007B0189"/>
    <w:rsid w:val="007B0D37"/>
    <w:rsid w:val="007B4FF3"/>
    <w:rsid w:val="007B64BD"/>
    <w:rsid w:val="007C308B"/>
    <w:rsid w:val="007C7F24"/>
    <w:rsid w:val="007D133B"/>
    <w:rsid w:val="007D181F"/>
    <w:rsid w:val="007D407C"/>
    <w:rsid w:val="007D4A21"/>
    <w:rsid w:val="007E05BA"/>
    <w:rsid w:val="007E08F8"/>
    <w:rsid w:val="007E4A97"/>
    <w:rsid w:val="007F1E50"/>
    <w:rsid w:val="008009DB"/>
    <w:rsid w:val="00805E0E"/>
    <w:rsid w:val="00810476"/>
    <w:rsid w:val="008139C5"/>
    <w:rsid w:val="0081513B"/>
    <w:rsid w:val="0081580A"/>
    <w:rsid w:val="00816F27"/>
    <w:rsid w:val="00821D3C"/>
    <w:rsid w:val="00825C86"/>
    <w:rsid w:val="00827D47"/>
    <w:rsid w:val="008300DD"/>
    <w:rsid w:val="00837137"/>
    <w:rsid w:val="0084141F"/>
    <w:rsid w:val="00846E51"/>
    <w:rsid w:val="008479D1"/>
    <w:rsid w:val="00854791"/>
    <w:rsid w:val="00856447"/>
    <w:rsid w:val="0086318A"/>
    <w:rsid w:val="0086492E"/>
    <w:rsid w:val="008679D5"/>
    <w:rsid w:val="00867BF9"/>
    <w:rsid w:val="00883E94"/>
    <w:rsid w:val="00887A37"/>
    <w:rsid w:val="0089079F"/>
    <w:rsid w:val="00893926"/>
    <w:rsid w:val="00893C36"/>
    <w:rsid w:val="00896B58"/>
    <w:rsid w:val="008973E6"/>
    <w:rsid w:val="008A01DA"/>
    <w:rsid w:val="008A453C"/>
    <w:rsid w:val="008A679E"/>
    <w:rsid w:val="008B0D1F"/>
    <w:rsid w:val="008B3D24"/>
    <w:rsid w:val="008B6B36"/>
    <w:rsid w:val="008B6E06"/>
    <w:rsid w:val="008C0959"/>
    <w:rsid w:val="008C223E"/>
    <w:rsid w:val="008D03EA"/>
    <w:rsid w:val="008D73EB"/>
    <w:rsid w:val="008E197C"/>
    <w:rsid w:val="008E2E70"/>
    <w:rsid w:val="008E5E58"/>
    <w:rsid w:val="008F0AC4"/>
    <w:rsid w:val="008F28A1"/>
    <w:rsid w:val="008F3C43"/>
    <w:rsid w:val="008F5B7A"/>
    <w:rsid w:val="00903B52"/>
    <w:rsid w:val="00904B1B"/>
    <w:rsid w:val="0091012F"/>
    <w:rsid w:val="00912FB9"/>
    <w:rsid w:val="009141F4"/>
    <w:rsid w:val="00915ADE"/>
    <w:rsid w:val="00916C83"/>
    <w:rsid w:val="00921849"/>
    <w:rsid w:val="009259C6"/>
    <w:rsid w:val="00926405"/>
    <w:rsid w:val="0093040B"/>
    <w:rsid w:val="00932E67"/>
    <w:rsid w:val="00933C04"/>
    <w:rsid w:val="00937D6F"/>
    <w:rsid w:val="00937F05"/>
    <w:rsid w:val="00941A1E"/>
    <w:rsid w:val="0095257D"/>
    <w:rsid w:val="00960474"/>
    <w:rsid w:val="00965C76"/>
    <w:rsid w:val="0097482E"/>
    <w:rsid w:val="00980452"/>
    <w:rsid w:val="00982C66"/>
    <w:rsid w:val="00997CD0"/>
    <w:rsid w:val="00997E0C"/>
    <w:rsid w:val="009A07FF"/>
    <w:rsid w:val="009A7038"/>
    <w:rsid w:val="009A7340"/>
    <w:rsid w:val="009B0B0B"/>
    <w:rsid w:val="009B3E72"/>
    <w:rsid w:val="009B454E"/>
    <w:rsid w:val="009B7107"/>
    <w:rsid w:val="009B7F03"/>
    <w:rsid w:val="009B7FCF"/>
    <w:rsid w:val="009C0157"/>
    <w:rsid w:val="009C0B83"/>
    <w:rsid w:val="009C2039"/>
    <w:rsid w:val="009C2BCF"/>
    <w:rsid w:val="009C346B"/>
    <w:rsid w:val="009C38E1"/>
    <w:rsid w:val="009C5516"/>
    <w:rsid w:val="009D1355"/>
    <w:rsid w:val="009D2817"/>
    <w:rsid w:val="009D2994"/>
    <w:rsid w:val="009D3A09"/>
    <w:rsid w:val="009E12EF"/>
    <w:rsid w:val="009E2D26"/>
    <w:rsid w:val="009E4228"/>
    <w:rsid w:val="009F0335"/>
    <w:rsid w:val="009F0589"/>
    <w:rsid w:val="009F2C9A"/>
    <w:rsid w:val="009F6E99"/>
    <w:rsid w:val="009F7774"/>
    <w:rsid w:val="00A00021"/>
    <w:rsid w:val="00A00155"/>
    <w:rsid w:val="00A021EE"/>
    <w:rsid w:val="00A06B57"/>
    <w:rsid w:val="00A0745D"/>
    <w:rsid w:val="00A075DF"/>
    <w:rsid w:val="00A112C4"/>
    <w:rsid w:val="00A117D9"/>
    <w:rsid w:val="00A121B5"/>
    <w:rsid w:val="00A139E6"/>
    <w:rsid w:val="00A1525D"/>
    <w:rsid w:val="00A220FE"/>
    <w:rsid w:val="00A22E5D"/>
    <w:rsid w:val="00A2331C"/>
    <w:rsid w:val="00A23E5C"/>
    <w:rsid w:val="00A26958"/>
    <w:rsid w:val="00A3017D"/>
    <w:rsid w:val="00A313D2"/>
    <w:rsid w:val="00A317FE"/>
    <w:rsid w:val="00A36D3D"/>
    <w:rsid w:val="00A40A2E"/>
    <w:rsid w:val="00A4153A"/>
    <w:rsid w:val="00A4495C"/>
    <w:rsid w:val="00A473F5"/>
    <w:rsid w:val="00A5094B"/>
    <w:rsid w:val="00A50C93"/>
    <w:rsid w:val="00A539E2"/>
    <w:rsid w:val="00A54BC1"/>
    <w:rsid w:val="00A63671"/>
    <w:rsid w:val="00A64C9E"/>
    <w:rsid w:val="00A65BA0"/>
    <w:rsid w:val="00A73707"/>
    <w:rsid w:val="00A749E4"/>
    <w:rsid w:val="00A800D5"/>
    <w:rsid w:val="00A82323"/>
    <w:rsid w:val="00A8353F"/>
    <w:rsid w:val="00A866F8"/>
    <w:rsid w:val="00A8687A"/>
    <w:rsid w:val="00A87A0E"/>
    <w:rsid w:val="00A93025"/>
    <w:rsid w:val="00A95667"/>
    <w:rsid w:val="00A9656E"/>
    <w:rsid w:val="00A967A3"/>
    <w:rsid w:val="00AA27E6"/>
    <w:rsid w:val="00AA3EF3"/>
    <w:rsid w:val="00AA6CDE"/>
    <w:rsid w:val="00AB0A37"/>
    <w:rsid w:val="00AB2642"/>
    <w:rsid w:val="00AB3505"/>
    <w:rsid w:val="00AB3FC3"/>
    <w:rsid w:val="00AB555D"/>
    <w:rsid w:val="00AB6389"/>
    <w:rsid w:val="00AB770C"/>
    <w:rsid w:val="00AC0A19"/>
    <w:rsid w:val="00AC49AD"/>
    <w:rsid w:val="00AD071F"/>
    <w:rsid w:val="00AD1615"/>
    <w:rsid w:val="00AD2AF8"/>
    <w:rsid w:val="00AD2CC2"/>
    <w:rsid w:val="00AD5461"/>
    <w:rsid w:val="00AD658B"/>
    <w:rsid w:val="00AD676E"/>
    <w:rsid w:val="00AD7C41"/>
    <w:rsid w:val="00AD7D38"/>
    <w:rsid w:val="00AE1CAD"/>
    <w:rsid w:val="00AE2FBD"/>
    <w:rsid w:val="00AE3C70"/>
    <w:rsid w:val="00AE4A9A"/>
    <w:rsid w:val="00AE6862"/>
    <w:rsid w:val="00AE6E7D"/>
    <w:rsid w:val="00AF0927"/>
    <w:rsid w:val="00AF7F2F"/>
    <w:rsid w:val="00B0119B"/>
    <w:rsid w:val="00B06296"/>
    <w:rsid w:val="00B10319"/>
    <w:rsid w:val="00B124A6"/>
    <w:rsid w:val="00B13147"/>
    <w:rsid w:val="00B14E77"/>
    <w:rsid w:val="00B1532C"/>
    <w:rsid w:val="00B170DE"/>
    <w:rsid w:val="00B174A2"/>
    <w:rsid w:val="00B17EB0"/>
    <w:rsid w:val="00B25E4C"/>
    <w:rsid w:val="00B300A9"/>
    <w:rsid w:val="00B36AF4"/>
    <w:rsid w:val="00B40111"/>
    <w:rsid w:val="00B41802"/>
    <w:rsid w:val="00B53B59"/>
    <w:rsid w:val="00B609D9"/>
    <w:rsid w:val="00B65F25"/>
    <w:rsid w:val="00B66404"/>
    <w:rsid w:val="00B67335"/>
    <w:rsid w:val="00B67CAA"/>
    <w:rsid w:val="00B734D8"/>
    <w:rsid w:val="00B74B75"/>
    <w:rsid w:val="00B75299"/>
    <w:rsid w:val="00B758D8"/>
    <w:rsid w:val="00B825E1"/>
    <w:rsid w:val="00B84534"/>
    <w:rsid w:val="00B856AF"/>
    <w:rsid w:val="00B92AAF"/>
    <w:rsid w:val="00B944D3"/>
    <w:rsid w:val="00B96F8B"/>
    <w:rsid w:val="00BA1DAD"/>
    <w:rsid w:val="00BA63F3"/>
    <w:rsid w:val="00BB6177"/>
    <w:rsid w:val="00BC076D"/>
    <w:rsid w:val="00BC0BF6"/>
    <w:rsid w:val="00BC49E0"/>
    <w:rsid w:val="00BD31F9"/>
    <w:rsid w:val="00BD3A97"/>
    <w:rsid w:val="00BD45E1"/>
    <w:rsid w:val="00BD73E7"/>
    <w:rsid w:val="00BE2F86"/>
    <w:rsid w:val="00BF1063"/>
    <w:rsid w:val="00C00E38"/>
    <w:rsid w:val="00C01823"/>
    <w:rsid w:val="00C02653"/>
    <w:rsid w:val="00C049DA"/>
    <w:rsid w:val="00C04C1B"/>
    <w:rsid w:val="00C0648C"/>
    <w:rsid w:val="00C06492"/>
    <w:rsid w:val="00C078CD"/>
    <w:rsid w:val="00C105FE"/>
    <w:rsid w:val="00C11416"/>
    <w:rsid w:val="00C14341"/>
    <w:rsid w:val="00C15BE2"/>
    <w:rsid w:val="00C20033"/>
    <w:rsid w:val="00C20A6F"/>
    <w:rsid w:val="00C20C69"/>
    <w:rsid w:val="00C229C1"/>
    <w:rsid w:val="00C24EC2"/>
    <w:rsid w:val="00C33D1F"/>
    <w:rsid w:val="00C36167"/>
    <w:rsid w:val="00C36B48"/>
    <w:rsid w:val="00C40976"/>
    <w:rsid w:val="00C41D31"/>
    <w:rsid w:val="00C45EAC"/>
    <w:rsid w:val="00C54D87"/>
    <w:rsid w:val="00C578FE"/>
    <w:rsid w:val="00C63CC4"/>
    <w:rsid w:val="00C64881"/>
    <w:rsid w:val="00C6508C"/>
    <w:rsid w:val="00C6515F"/>
    <w:rsid w:val="00C67F73"/>
    <w:rsid w:val="00C71202"/>
    <w:rsid w:val="00C73826"/>
    <w:rsid w:val="00C768A7"/>
    <w:rsid w:val="00C76D32"/>
    <w:rsid w:val="00C76D88"/>
    <w:rsid w:val="00C77B0A"/>
    <w:rsid w:val="00C77D0E"/>
    <w:rsid w:val="00C8121C"/>
    <w:rsid w:val="00C8251D"/>
    <w:rsid w:val="00C849C2"/>
    <w:rsid w:val="00C91C8E"/>
    <w:rsid w:val="00C925C5"/>
    <w:rsid w:val="00C9345A"/>
    <w:rsid w:val="00CA0BAD"/>
    <w:rsid w:val="00CA1580"/>
    <w:rsid w:val="00CA26FB"/>
    <w:rsid w:val="00CA493C"/>
    <w:rsid w:val="00CB1359"/>
    <w:rsid w:val="00CB18DA"/>
    <w:rsid w:val="00CC78ED"/>
    <w:rsid w:val="00CD24CB"/>
    <w:rsid w:val="00CD3C60"/>
    <w:rsid w:val="00CD4E4E"/>
    <w:rsid w:val="00CD6763"/>
    <w:rsid w:val="00CD7C6B"/>
    <w:rsid w:val="00CE08DE"/>
    <w:rsid w:val="00CE1697"/>
    <w:rsid w:val="00CE64BC"/>
    <w:rsid w:val="00CF3F40"/>
    <w:rsid w:val="00D00A9F"/>
    <w:rsid w:val="00D03B0C"/>
    <w:rsid w:val="00D04923"/>
    <w:rsid w:val="00D15268"/>
    <w:rsid w:val="00D20669"/>
    <w:rsid w:val="00D21886"/>
    <w:rsid w:val="00D246C8"/>
    <w:rsid w:val="00D252F8"/>
    <w:rsid w:val="00D258A2"/>
    <w:rsid w:val="00D304F1"/>
    <w:rsid w:val="00D30F5E"/>
    <w:rsid w:val="00D317A2"/>
    <w:rsid w:val="00D42C1C"/>
    <w:rsid w:val="00D547D6"/>
    <w:rsid w:val="00D56F59"/>
    <w:rsid w:val="00D57F93"/>
    <w:rsid w:val="00D600CD"/>
    <w:rsid w:val="00D66148"/>
    <w:rsid w:val="00D677F9"/>
    <w:rsid w:val="00D67F96"/>
    <w:rsid w:val="00D731BD"/>
    <w:rsid w:val="00D80DCC"/>
    <w:rsid w:val="00D93457"/>
    <w:rsid w:val="00D95627"/>
    <w:rsid w:val="00D95E7F"/>
    <w:rsid w:val="00DA015E"/>
    <w:rsid w:val="00DA09ED"/>
    <w:rsid w:val="00DA3C39"/>
    <w:rsid w:val="00DA4480"/>
    <w:rsid w:val="00DA7329"/>
    <w:rsid w:val="00DA7BB3"/>
    <w:rsid w:val="00DB037A"/>
    <w:rsid w:val="00DB293B"/>
    <w:rsid w:val="00DB34CC"/>
    <w:rsid w:val="00DB439D"/>
    <w:rsid w:val="00DB596F"/>
    <w:rsid w:val="00DC1229"/>
    <w:rsid w:val="00DC16E8"/>
    <w:rsid w:val="00DC39B7"/>
    <w:rsid w:val="00DC4C53"/>
    <w:rsid w:val="00DC7753"/>
    <w:rsid w:val="00DC7D8C"/>
    <w:rsid w:val="00DC7DAC"/>
    <w:rsid w:val="00DE0F9D"/>
    <w:rsid w:val="00DE3101"/>
    <w:rsid w:val="00DE43E6"/>
    <w:rsid w:val="00DE51BE"/>
    <w:rsid w:val="00DE5BEC"/>
    <w:rsid w:val="00DE75EB"/>
    <w:rsid w:val="00DF0245"/>
    <w:rsid w:val="00DF3414"/>
    <w:rsid w:val="00DF5578"/>
    <w:rsid w:val="00DF6946"/>
    <w:rsid w:val="00DF695B"/>
    <w:rsid w:val="00DF74B1"/>
    <w:rsid w:val="00E01807"/>
    <w:rsid w:val="00E04247"/>
    <w:rsid w:val="00E061B8"/>
    <w:rsid w:val="00E07D25"/>
    <w:rsid w:val="00E12F5B"/>
    <w:rsid w:val="00E14A54"/>
    <w:rsid w:val="00E14BBC"/>
    <w:rsid w:val="00E17CDF"/>
    <w:rsid w:val="00E351B5"/>
    <w:rsid w:val="00E36398"/>
    <w:rsid w:val="00E41EA2"/>
    <w:rsid w:val="00E434FA"/>
    <w:rsid w:val="00E43E41"/>
    <w:rsid w:val="00E51B53"/>
    <w:rsid w:val="00E52606"/>
    <w:rsid w:val="00E54DBA"/>
    <w:rsid w:val="00E6273B"/>
    <w:rsid w:val="00E6550C"/>
    <w:rsid w:val="00E66F5B"/>
    <w:rsid w:val="00E872F5"/>
    <w:rsid w:val="00E9330A"/>
    <w:rsid w:val="00E97720"/>
    <w:rsid w:val="00EA06D6"/>
    <w:rsid w:val="00EA07F7"/>
    <w:rsid w:val="00EA1B8A"/>
    <w:rsid w:val="00EA34EC"/>
    <w:rsid w:val="00EA4AF2"/>
    <w:rsid w:val="00EB289A"/>
    <w:rsid w:val="00EB393E"/>
    <w:rsid w:val="00EB70CE"/>
    <w:rsid w:val="00ED185A"/>
    <w:rsid w:val="00ED20CA"/>
    <w:rsid w:val="00ED6E73"/>
    <w:rsid w:val="00EE1D63"/>
    <w:rsid w:val="00EE5D3D"/>
    <w:rsid w:val="00EF1D9D"/>
    <w:rsid w:val="00EF2574"/>
    <w:rsid w:val="00EF5A5A"/>
    <w:rsid w:val="00F01C59"/>
    <w:rsid w:val="00F020E8"/>
    <w:rsid w:val="00F05C79"/>
    <w:rsid w:val="00F07108"/>
    <w:rsid w:val="00F13EC3"/>
    <w:rsid w:val="00F148AD"/>
    <w:rsid w:val="00F158B6"/>
    <w:rsid w:val="00F20543"/>
    <w:rsid w:val="00F23EAA"/>
    <w:rsid w:val="00F25243"/>
    <w:rsid w:val="00F30F1A"/>
    <w:rsid w:val="00F36B05"/>
    <w:rsid w:val="00F36E1F"/>
    <w:rsid w:val="00F372ED"/>
    <w:rsid w:val="00F423AE"/>
    <w:rsid w:val="00F46497"/>
    <w:rsid w:val="00F46830"/>
    <w:rsid w:val="00F46922"/>
    <w:rsid w:val="00F47312"/>
    <w:rsid w:val="00F536D7"/>
    <w:rsid w:val="00F57310"/>
    <w:rsid w:val="00F57F44"/>
    <w:rsid w:val="00F62E1E"/>
    <w:rsid w:val="00F647DD"/>
    <w:rsid w:val="00F72B1C"/>
    <w:rsid w:val="00F73969"/>
    <w:rsid w:val="00F7706D"/>
    <w:rsid w:val="00F8027D"/>
    <w:rsid w:val="00F8035E"/>
    <w:rsid w:val="00F82F94"/>
    <w:rsid w:val="00F8376A"/>
    <w:rsid w:val="00F87A19"/>
    <w:rsid w:val="00F90C7E"/>
    <w:rsid w:val="00F9345F"/>
    <w:rsid w:val="00F963C4"/>
    <w:rsid w:val="00FA23D8"/>
    <w:rsid w:val="00FA5D17"/>
    <w:rsid w:val="00FA627B"/>
    <w:rsid w:val="00FA6811"/>
    <w:rsid w:val="00FA6A51"/>
    <w:rsid w:val="00FA6A61"/>
    <w:rsid w:val="00FA7BA9"/>
    <w:rsid w:val="00FB217A"/>
    <w:rsid w:val="00FB31F0"/>
    <w:rsid w:val="00FC511A"/>
    <w:rsid w:val="00FC5C63"/>
    <w:rsid w:val="00FC794E"/>
    <w:rsid w:val="00FD091B"/>
    <w:rsid w:val="00FD1CC7"/>
    <w:rsid w:val="00FD1F10"/>
    <w:rsid w:val="00FD63CA"/>
    <w:rsid w:val="00FD7B72"/>
    <w:rsid w:val="00FD7D3F"/>
    <w:rsid w:val="00FE0387"/>
    <w:rsid w:val="00FE087E"/>
    <w:rsid w:val="00FE08DB"/>
    <w:rsid w:val="00FE1945"/>
    <w:rsid w:val="00FE1CA4"/>
    <w:rsid w:val="00FE365C"/>
    <w:rsid w:val="00FE6EE9"/>
    <w:rsid w:val="00FF3B90"/>
    <w:rsid w:val="00FF4BD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styleId="NoSpacing">
    <w:name w:val="No Spacing"/>
    <w:uiPriority w:val="1"/>
    <w:qFormat/>
    <w:rsid w:val="003939FE"/>
    <w:pPr>
      <w:spacing w:after="0" w:line="240" w:lineRule="auto"/>
    </w:pPr>
    <w:rPr>
      <w:lang w:val="en-US"/>
    </w:rPr>
  </w:style>
  <w:style w:type="character" w:customStyle="1" w:styleId="normaltextrun">
    <w:name w:val="normaltextrun"/>
    <w:basedOn w:val="DefaultParagraphFont"/>
    <w:rsid w:val="006B24F0"/>
  </w:style>
  <w:style w:type="paragraph" w:customStyle="1" w:styleId="NumberedList">
    <w:name w:val="Numbered List"/>
    <w:basedOn w:val="Normal"/>
    <w:qFormat/>
    <w:rsid w:val="00D258A2"/>
    <w:pPr>
      <w:numPr>
        <w:numId w:val="31"/>
      </w:numPr>
      <w:ind w:left="357" w:hanging="357"/>
    </w:pPr>
  </w:style>
  <w:style w:type="character" w:customStyle="1" w:styleId="eop">
    <w:name w:val="eop"/>
    <w:basedOn w:val="DefaultParagraphFont"/>
    <w:rsid w:val="00AA3EF3"/>
  </w:style>
  <w:style w:type="paragraph" w:customStyle="1" w:styleId="paragraph">
    <w:name w:val="paragraph"/>
    <w:basedOn w:val="Normal"/>
    <w:rsid w:val="001969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PointLVL1">
    <w:name w:val="Dot Point LVL1"/>
    <w:basedOn w:val="Normal"/>
    <w:qFormat/>
    <w:rsid w:val="00FE6EE9"/>
    <w:pPr>
      <w:ind w:left="720" w:hanging="360"/>
      <w:contextualSpacing/>
    </w:pPr>
  </w:style>
  <w:style w:type="paragraph" w:customStyle="1" w:styleId="DotPointLVL2">
    <w:name w:val="Dot Point LVL2"/>
    <w:basedOn w:val="Normal"/>
    <w:qFormat/>
    <w:rsid w:val="00FE6EE9"/>
    <w:pPr>
      <w:ind w:left="714" w:hanging="357"/>
      <w:contextualSpacing/>
    </w:pPr>
    <w:rPr>
      <w:rFonts w:ascii="Calibri" w:eastAsia="Calibri" w:hAnsi="Calibri" w:cs="Calibri"/>
      <w:i/>
      <w:lang w:eastAsia="en-AU" w:bidi="en-AU"/>
    </w:rPr>
  </w:style>
  <w:style w:type="paragraph" w:styleId="FootnoteText">
    <w:name w:val="footnote text"/>
    <w:basedOn w:val="Normal"/>
    <w:link w:val="FootnoteTextChar"/>
    <w:uiPriority w:val="99"/>
    <w:semiHidden/>
    <w:unhideWhenUsed/>
    <w:rsid w:val="00231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62"/>
    <w:rPr>
      <w:sz w:val="20"/>
      <w:szCs w:val="20"/>
    </w:rPr>
  </w:style>
  <w:style w:type="character" w:styleId="FootnoteReference">
    <w:name w:val="footnote reference"/>
    <w:basedOn w:val="DefaultParagraphFont"/>
    <w:uiPriority w:val="99"/>
    <w:semiHidden/>
    <w:unhideWhenUsed/>
    <w:rsid w:val="00231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1051">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451483588">
      <w:bodyDiv w:val="1"/>
      <w:marLeft w:val="0"/>
      <w:marRight w:val="0"/>
      <w:marTop w:val="0"/>
      <w:marBottom w:val="0"/>
      <w:divBdr>
        <w:top w:val="none" w:sz="0" w:space="0" w:color="auto"/>
        <w:left w:val="none" w:sz="0" w:space="0" w:color="auto"/>
        <w:bottom w:val="none" w:sz="0" w:space="0" w:color="auto"/>
        <w:right w:val="none" w:sz="0" w:space="0" w:color="auto"/>
      </w:divBdr>
    </w:div>
    <w:div w:id="755828024">
      <w:bodyDiv w:val="1"/>
      <w:marLeft w:val="0"/>
      <w:marRight w:val="0"/>
      <w:marTop w:val="0"/>
      <w:marBottom w:val="0"/>
      <w:divBdr>
        <w:top w:val="none" w:sz="0" w:space="0" w:color="auto"/>
        <w:left w:val="none" w:sz="0" w:space="0" w:color="auto"/>
        <w:bottom w:val="none" w:sz="0" w:space="0" w:color="auto"/>
        <w:right w:val="none" w:sz="0" w:space="0" w:color="auto"/>
      </w:divBdr>
    </w:div>
    <w:div w:id="13719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0456BE"/>
    <w:rsid w:val="00115899"/>
    <w:rsid w:val="001C2F3B"/>
    <w:rsid w:val="003D1F1C"/>
    <w:rsid w:val="00424019"/>
    <w:rsid w:val="00841D18"/>
    <w:rsid w:val="008B6DE0"/>
    <w:rsid w:val="008F4B21"/>
    <w:rsid w:val="009B3768"/>
    <w:rsid w:val="00BA58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31B3-0D0B-4614-B74A-B26C2A6F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Owens, Louise</cp:lastModifiedBy>
  <cp:revision>3</cp:revision>
  <cp:lastPrinted>2021-01-21T19:30:00Z</cp:lastPrinted>
  <dcterms:created xsi:type="dcterms:W3CDTF">2021-01-12T01:44:00Z</dcterms:created>
  <dcterms:modified xsi:type="dcterms:W3CDTF">2021-01-21T19:31:00Z</dcterms:modified>
</cp:coreProperties>
</file>