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34900DB1" w:rsidR="00FE1945" w:rsidRPr="00563A3D" w:rsidRDefault="00D97AA7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Gold Creek School</w:t>
          </w:r>
        </w:p>
      </w:sdtContent>
    </w:sdt>
    <w:p w14:paraId="63330FCF" w14:textId="225BEB5D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D97AA7">
            <w:t>North Canberra/ Gungahlin</w:t>
          </w:r>
        </w:sdtContent>
      </w:sdt>
    </w:p>
    <w:p w14:paraId="38F253B0" w14:textId="7A120AB6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B85FAF">
        <w:t>20</w:t>
      </w:r>
    </w:p>
    <w:p w14:paraId="43815876" w14:textId="77777777" w:rsidR="00E434FA" w:rsidRPr="003A5EFD" w:rsidRDefault="00E434FA" w:rsidP="001B2E33">
      <w:pPr>
        <w:pStyle w:val="Heading1"/>
        <w:rPr>
          <w:rFonts w:asciiTheme="minorHAnsi" w:hAnsiTheme="minorHAnsi" w:cstheme="minorHAnsi"/>
        </w:rPr>
      </w:pPr>
      <w:r w:rsidRPr="003A5EFD">
        <w:rPr>
          <w:rFonts w:asciiTheme="minorHAnsi" w:hAnsiTheme="minorHAnsi" w:cstheme="minorHAnsi"/>
        </w:rPr>
        <w:t>The purpose of this document</w:t>
      </w:r>
    </w:p>
    <w:p w14:paraId="4C974366" w14:textId="79B84524" w:rsidR="00132917" w:rsidRDefault="582DC1E0" w:rsidP="0058339C">
      <w:pPr>
        <w:pStyle w:val="BodyText"/>
      </w:pPr>
      <w:r>
        <w:t>This document flows directly from our Action Plan for 20</w:t>
      </w:r>
      <w:r w:rsidR="00B85FAF">
        <w:t>20</w:t>
      </w:r>
      <w:r>
        <w:t xml:space="preserve"> which translated our school priorities into actions for the current year of our </w:t>
      </w:r>
      <w:r w:rsidR="00811A23">
        <w:t>three</w:t>
      </w:r>
      <w:r>
        <w:t>-year improvement cycle. These actions were responsive to identified challenges, changes or risks to delivery of improvement for student learning.</w:t>
      </w:r>
      <w:r w:rsidR="00AE2FBD">
        <w:br/>
      </w:r>
    </w:p>
    <w:p w14:paraId="328ED564" w14:textId="596FA0C5" w:rsidR="002D66D6" w:rsidRPr="0058339C" w:rsidRDefault="002D66D6" w:rsidP="0058339C">
      <w:pPr>
        <w:pStyle w:val="BodyText"/>
      </w:pPr>
      <w:r>
        <w:t xml:space="preserve">Note: Due to the significant disruptive events of 2020 the data collection cycles of some measures </w:t>
      </w:r>
      <w:r w:rsidR="00811A23">
        <w:t>were interrupted</w:t>
      </w:r>
      <w:r>
        <w:t xml:space="preserve">. Where this has </w:t>
      </w:r>
      <w:r w:rsidR="00811A23">
        <w:t>occurred</w:t>
      </w:r>
      <w:r>
        <w:t xml:space="preserve"> an N/A</w:t>
      </w:r>
      <w:r w:rsidR="00811A23">
        <w:t xml:space="preserve"> entry has been used.</w:t>
      </w:r>
    </w:p>
    <w:p w14:paraId="653DD0FA" w14:textId="7A569304" w:rsidR="00B10319" w:rsidRPr="003A5EFD" w:rsidRDefault="00B10319" w:rsidP="001B2E33">
      <w:pPr>
        <w:pStyle w:val="Heading1"/>
        <w:rPr>
          <w:rFonts w:asciiTheme="minorHAnsi" w:hAnsiTheme="minorHAnsi" w:cstheme="minorHAnsi"/>
        </w:rPr>
      </w:pPr>
      <w:r w:rsidRPr="003A5EFD">
        <w:rPr>
          <w:rFonts w:asciiTheme="minorHAnsi" w:hAnsiTheme="minorHAnsi" w:cstheme="minorHAnsi"/>
        </w:rPr>
        <w:t xml:space="preserve">Our </w:t>
      </w:r>
      <w:r w:rsidR="00163579" w:rsidRPr="003A5EFD">
        <w:rPr>
          <w:rFonts w:asciiTheme="minorHAnsi" w:hAnsiTheme="minorHAnsi" w:cstheme="minorHAnsi"/>
        </w:rPr>
        <w:t xml:space="preserve">school’s </w:t>
      </w:r>
      <w:r w:rsidRPr="003A5EFD">
        <w:rPr>
          <w:rFonts w:asciiTheme="minorHAnsi" w:hAnsiTheme="minorHAnsi" w:cstheme="minorHAnsi"/>
        </w:rPr>
        <w:t xml:space="preserve">contribution to whole-of-system </w:t>
      </w:r>
      <w:r w:rsidR="007B0189" w:rsidRPr="003A5EFD">
        <w:rPr>
          <w:rFonts w:asciiTheme="minorHAnsi" w:hAnsiTheme="minorHAnsi" w:cstheme="minorHAnsi"/>
        </w:rPr>
        <w:t>S</w:t>
      </w:r>
      <w:r w:rsidR="0066643F" w:rsidRPr="003A5EFD">
        <w:rPr>
          <w:rFonts w:asciiTheme="minorHAnsi" w:hAnsiTheme="minorHAnsi" w:cstheme="minorHAnsi"/>
        </w:rPr>
        <w:t xml:space="preserve">trategic </w:t>
      </w:r>
      <w:r w:rsidR="007B0189" w:rsidRPr="003A5EFD">
        <w:rPr>
          <w:rFonts w:asciiTheme="minorHAnsi" w:hAnsiTheme="minorHAnsi" w:cstheme="minorHAnsi"/>
        </w:rPr>
        <w:t>I</w:t>
      </w:r>
      <w:r w:rsidRPr="003A5EFD">
        <w:rPr>
          <w:rFonts w:asciiTheme="minorHAnsi" w:hAnsiTheme="minorHAnsi" w:cstheme="minorHAnsi"/>
        </w:rPr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1D7760C0" w14:textId="459C7F14" w:rsidR="00300F72" w:rsidRDefault="582DC1E0" w:rsidP="582DC1E0">
      <w:pPr>
        <w:pStyle w:val="BodyText"/>
        <w:rPr>
          <w:i/>
          <w:iCs/>
        </w:rPr>
      </w:pPr>
      <w:r w:rsidRPr="582DC1E0">
        <w:rPr>
          <w:i/>
          <w:iCs/>
        </w:rPr>
        <w:t>To promote greater equity in learning outcomes in and across ACT public schools</w:t>
      </w:r>
    </w:p>
    <w:p w14:paraId="0E4AE3ED" w14:textId="34662101" w:rsidR="00846E51" w:rsidRPr="00132917" w:rsidRDefault="00300F72" w:rsidP="00132917">
      <w:pPr>
        <w:pStyle w:val="BodyText"/>
      </w:pPr>
      <w:r w:rsidRPr="00132917">
        <w:t>In 20</w:t>
      </w:r>
      <w:r w:rsidR="00B85FAF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681B47">
        <w:t>1 and 2</w:t>
      </w:r>
      <w:r w:rsidRPr="00132917">
        <w:t xml:space="preserve"> (see reporting for detail):</w:t>
      </w:r>
    </w:p>
    <w:p w14:paraId="4237A615" w14:textId="765FA6B7" w:rsidR="00300F72" w:rsidRPr="00300F72" w:rsidRDefault="00B85FAF" w:rsidP="582DC1E0">
      <w:pPr>
        <w:pStyle w:val="ListBullet"/>
      </w:pPr>
      <w:r>
        <w:t>Data analysis to support personalised learning</w:t>
      </w:r>
      <w:r w:rsidR="00300F72">
        <w:br/>
      </w:r>
    </w:p>
    <w:p w14:paraId="6A16A7D4" w14:textId="118BFB62" w:rsidR="00B10319" w:rsidRPr="00B10319" w:rsidRDefault="00B10319" w:rsidP="004D00F4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5A54A98A" w14:textId="5C47A319" w:rsidR="00300F72" w:rsidRPr="00300F72" w:rsidRDefault="582DC1E0" w:rsidP="582DC1E0">
      <w:pPr>
        <w:pStyle w:val="BodyText"/>
        <w:rPr>
          <w:i/>
          <w:iCs/>
        </w:rPr>
      </w:pPr>
      <w:r w:rsidRPr="582DC1E0">
        <w:rPr>
          <w:i/>
          <w:iCs/>
        </w:rPr>
        <w:t>To facilitate high quality teaching in ACT public schools and strengthen educational outcomes.</w:t>
      </w:r>
    </w:p>
    <w:p w14:paraId="14162F1A" w14:textId="7BA13326" w:rsidR="00300F72" w:rsidRPr="00132917" w:rsidRDefault="00300F72" w:rsidP="00132917">
      <w:pPr>
        <w:pStyle w:val="BodyText"/>
      </w:pPr>
      <w:r w:rsidRPr="00132917">
        <w:t>In 20</w:t>
      </w:r>
      <w:r w:rsidR="00D178FB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A243F0">
        <w:t>1</w:t>
      </w:r>
      <w:r w:rsidRPr="00132917">
        <w:t xml:space="preserve"> (see reporting for detail):</w:t>
      </w:r>
    </w:p>
    <w:p w14:paraId="3219AB53" w14:textId="14AF1D17" w:rsidR="00300F72" w:rsidRDefault="00B85FAF" w:rsidP="00300F72">
      <w:pPr>
        <w:pStyle w:val="ListBullet"/>
      </w:pPr>
      <w:r>
        <w:t xml:space="preserve">Continuation </w:t>
      </w:r>
      <w:r w:rsidR="00A243F0">
        <w:t xml:space="preserve">of the Literacy </w:t>
      </w:r>
      <w:r>
        <w:t xml:space="preserve">development including the </w:t>
      </w:r>
      <w:r w:rsidR="00A243F0">
        <w:t>10 essential practices</w:t>
      </w:r>
    </w:p>
    <w:p w14:paraId="7750AC93" w14:textId="66F74182" w:rsidR="00A243F0" w:rsidRDefault="00A243F0" w:rsidP="00300F72">
      <w:pPr>
        <w:pStyle w:val="ListBullet"/>
      </w:pPr>
      <w:r>
        <w:t>Buil</w:t>
      </w:r>
      <w:r w:rsidR="00D178FB">
        <w:t>t</w:t>
      </w:r>
      <w:r>
        <w:t xml:space="preserve"> the capacity of staff in relation to data analysis</w:t>
      </w:r>
    </w:p>
    <w:p w14:paraId="283823B0" w14:textId="2881FA33" w:rsidR="00461D07" w:rsidRPr="0066643F" w:rsidRDefault="582DC1E0" w:rsidP="582DC1E0">
      <w:pPr>
        <w:pStyle w:val="ListBullet"/>
      </w:pPr>
      <w:r>
        <w:t>Buil</w:t>
      </w:r>
      <w:r w:rsidR="00D178FB">
        <w:t>t the</w:t>
      </w:r>
      <w:r>
        <w:t xml:space="preserve"> capacity </w:t>
      </w:r>
      <w:r w:rsidR="00B85FAF">
        <w:t xml:space="preserve">of staff in </w:t>
      </w:r>
      <w:r w:rsidR="002D66D6">
        <w:t>using technology to support blended learning models of learning</w:t>
      </w:r>
      <w:r w:rsidR="00461D07">
        <w:br/>
      </w:r>
    </w:p>
    <w:p w14:paraId="0CBDE7C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0CB48B2" w14:textId="4C2C7720" w:rsidR="00300F72" w:rsidRDefault="582DC1E0" w:rsidP="582DC1E0">
      <w:pPr>
        <w:pStyle w:val="BodyText"/>
        <w:rPr>
          <w:i/>
          <w:iCs/>
        </w:rPr>
      </w:pPr>
      <w:r w:rsidRPr="582DC1E0">
        <w:rPr>
          <w:i/>
          <w:iCs/>
        </w:rPr>
        <w:t>To centre teaching and learning around students as individuals</w:t>
      </w:r>
    </w:p>
    <w:p w14:paraId="6B398A53" w14:textId="5A1291FE" w:rsidR="00300F72" w:rsidRPr="00132917" w:rsidRDefault="00300F72" w:rsidP="00132917">
      <w:pPr>
        <w:pStyle w:val="BodyText"/>
      </w:pPr>
      <w:r w:rsidRPr="00132917">
        <w:t>In 20</w:t>
      </w:r>
      <w:r w:rsidR="00D178FB">
        <w:t>20</w:t>
      </w:r>
      <w:r w:rsidRPr="00132917">
        <w:t xml:space="preserve"> our school supported this </w:t>
      </w:r>
      <w:r w:rsidR="00E14A54">
        <w:t>S</w:t>
      </w:r>
      <w:r w:rsidRPr="00132917">
        <w:t xml:space="preserve">trategic </w:t>
      </w:r>
      <w:r w:rsidR="00E14A54">
        <w:t>I</w:t>
      </w:r>
      <w:r w:rsidRPr="00132917">
        <w:t xml:space="preserve">ndicator through – Priority </w:t>
      </w:r>
      <w:r w:rsidR="00A243F0">
        <w:t>2</w:t>
      </w:r>
      <w:r w:rsidRPr="00132917">
        <w:t xml:space="preserve"> (see reporting for detail):</w:t>
      </w:r>
    </w:p>
    <w:p w14:paraId="200F6B8B" w14:textId="0110AAEC" w:rsidR="0093040B" w:rsidRDefault="002D66D6" w:rsidP="001B26EA">
      <w:pPr>
        <w:pStyle w:val="ListBullet"/>
      </w:pPr>
      <w:r>
        <w:t>I</w:t>
      </w:r>
      <w:r w:rsidR="003624A7">
        <w:t>mplement Positive behaviours for Learning Framework</w:t>
      </w:r>
    </w:p>
    <w:p w14:paraId="78B08675" w14:textId="70C1EF0E" w:rsidR="003624A7" w:rsidRDefault="003624A7" w:rsidP="001B26EA">
      <w:pPr>
        <w:pStyle w:val="ListBullet"/>
      </w:pPr>
      <w:r>
        <w:t xml:space="preserve">Implement Approaches to Learning </w:t>
      </w:r>
      <w:r w:rsidR="002D66D6">
        <w:t xml:space="preserve">(ATL) </w:t>
      </w:r>
      <w:r>
        <w:t>supported by fluencies</w:t>
      </w:r>
      <w:r w:rsidR="002D66D6">
        <w:t xml:space="preserve"> with a focus on communication ATL</w:t>
      </w:r>
    </w:p>
    <w:p w14:paraId="59777CE8" w14:textId="2A9AF33F" w:rsidR="00300F72" w:rsidRPr="001B26EA" w:rsidRDefault="002D66D6" w:rsidP="001B26EA">
      <w:pPr>
        <w:pStyle w:val="ListBullet"/>
      </w:pPr>
      <w:r>
        <w:t>Implement</w:t>
      </w:r>
      <w:r w:rsidR="6E45D013">
        <w:t xml:space="preserve"> improved attendance monitoring procedures</w:t>
      </w:r>
    </w:p>
    <w:p w14:paraId="037EA5B3" w14:textId="6D0D39D5" w:rsidR="6E45D013" w:rsidRDefault="6E45D013" w:rsidP="6E45D013">
      <w:pPr>
        <w:pStyle w:val="Heading1"/>
      </w:pPr>
    </w:p>
    <w:p w14:paraId="75CFD9BB" w14:textId="341D4A26" w:rsidR="582DC1E0" w:rsidRDefault="582DC1E0" w:rsidP="582DC1E0"/>
    <w:p w14:paraId="4A4F0D17" w14:textId="67C1B3DF" w:rsidR="582DC1E0" w:rsidRDefault="582DC1E0" w:rsidP="582DC1E0"/>
    <w:p w14:paraId="73A775AB" w14:textId="7F94C58F" w:rsidR="582DC1E0" w:rsidRDefault="582DC1E0" w:rsidP="582DC1E0"/>
    <w:p w14:paraId="16864425" w14:textId="2795FA4A" w:rsidR="582DC1E0" w:rsidRDefault="582DC1E0" w:rsidP="582DC1E0"/>
    <w:p w14:paraId="2B93A716" w14:textId="0A6ED895" w:rsidR="00B10319" w:rsidRPr="003A5EFD" w:rsidRDefault="004D5E45" w:rsidP="001B2E33">
      <w:pPr>
        <w:pStyle w:val="Heading1"/>
        <w:rPr>
          <w:rFonts w:asciiTheme="minorHAnsi" w:hAnsiTheme="minorHAnsi" w:cstheme="minorHAnsi"/>
        </w:rPr>
      </w:pPr>
      <w:r w:rsidRPr="003A5EFD">
        <w:rPr>
          <w:rFonts w:asciiTheme="minorHAnsi" w:hAnsiTheme="minorHAnsi" w:cstheme="minorHAnsi"/>
        </w:rPr>
        <w:t>Reporting against our priorities</w:t>
      </w:r>
    </w:p>
    <w:p w14:paraId="705168C9" w14:textId="101416B3" w:rsidR="00563F7F" w:rsidRPr="003A5EFD" w:rsidRDefault="00563F7F" w:rsidP="00CA7969">
      <w:pPr>
        <w:spacing w:after="12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AU"/>
        </w:rPr>
      </w:pPr>
      <w:r w:rsidRPr="003A5EFD">
        <w:rPr>
          <w:rFonts w:eastAsia="Times New Roman" w:cstheme="minorHAnsi"/>
          <w:color w:val="1F4E79"/>
          <w:sz w:val="28"/>
          <w:szCs w:val="28"/>
          <w:lang w:eastAsia="en-AU"/>
        </w:rPr>
        <w:t xml:space="preserve">Priority 1: </w:t>
      </w:r>
      <w:r w:rsidRPr="003A5EFD">
        <w:rPr>
          <w:rFonts w:eastAsia="Times New Roman" w:cstheme="minorHAnsi"/>
          <w:sz w:val="28"/>
          <w:szCs w:val="28"/>
          <w:lang w:eastAsia="en-AU"/>
        </w:rPr>
        <w:t>Literate</w:t>
      </w:r>
      <w:r w:rsidRPr="003A5EFD">
        <w:rPr>
          <w:rFonts w:eastAsia="Times New Roman" w:cstheme="minorHAnsi"/>
          <w:color w:val="000000"/>
          <w:sz w:val="28"/>
          <w:szCs w:val="28"/>
          <w:lang w:eastAsia="en-AU"/>
        </w:rPr>
        <w:tab/>
        <w:t xml:space="preserve"> Global citizens</w:t>
      </w:r>
    </w:p>
    <w:p w14:paraId="7E2DEC17" w14:textId="77777777" w:rsidR="00563F7F" w:rsidRPr="00563F7F" w:rsidRDefault="00563F7F" w:rsidP="00563F7F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563F7F">
        <w:rPr>
          <w:rFonts w:ascii="Arial" w:eastAsia="Times New Roman" w:hAnsi="Arial" w:cs="Arial"/>
          <w:color w:val="1E4D78"/>
          <w:lang w:eastAsia="en-AU"/>
        </w:rPr>
        <w:t>Targets or measures</w:t>
      </w:r>
    </w:p>
    <w:p w14:paraId="42C71EF9" w14:textId="77777777" w:rsidR="00563F7F" w:rsidRPr="00563F7F" w:rsidRDefault="00563F7F" w:rsidP="00563F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By the end of 2020 we will achieve:</w:t>
      </w:r>
    </w:p>
    <w:p w14:paraId="6BFC1098" w14:textId="77777777" w:rsidR="00563F7F" w:rsidRPr="00563F7F" w:rsidRDefault="00563F7F" w:rsidP="00563F7F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Improved academic growth of high performing students in reading and writing.</w:t>
      </w:r>
    </w:p>
    <w:p w14:paraId="401584C4" w14:textId="77777777" w:rsidR="00563F7F" w:rsidRPr="00563F7F" w:rsidRDefault="00563F7F" w:rsidP="00563F7F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Improved students critical and creative use of language. </w:t>
      </w:r>
    </w:p>
    <w:p w14:paraId="14931C43" w14:textId="77777777" w:rsidR="00563F7F" w:rsidRPr="00563F7F" w:rsidRDefault="00563F7F" w:rsidP="005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AAFEDA2" w14:textId="439CAF0E" w:rsidR="00563F7F" w:rsidRPr="00563F7F" w:rsidRDefault="00563F7F" w:rsidP="00563F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In 20</w:t>
      </w:r>
      <w:r w:rsidR="00811A23">
        <w:rPr>
          <w:rFonts w:ascii="Calibri" w:eastAsia="Times New Roman" w:hAnsi="Calibri" w:cs="Calibri"/>
          <w:color w:val="000000"/>
          <w:lang w:eastAsia="en-AU"/>
        </w:rPr>
        <w:t>20</w:t>
      </w:r>
      <w:r w:rsidRPr="00563F7F">
        <w:rPr>
          <w:rFonts w:ascii="Calibri" w:eastAsia="Times New Roman" w:hAnsi="Calibri" w:cs="Calibri"/>
          <w:color w:val="000000"/>
          <w:lang w:eastAsia="en-AU"/>
        </w:rPr>
        <w:t xml:space="preserve"> we implemented this priority through the following strategies.</w:t>
      </w:r>
    </w:p>
    <w:p w14:paraId="129C36FD" w14:textId="4084D582" w:rsidR="00B608B8" w:rsidRPr="00613F54" w:rsidRDefault="00D178FB" w:rsidP="00613F54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theme="minorHAnsi"/>
          <w:lang w:eastAsia="en-AU"/>
        </w:rPr>
      </w:pPr>
      <w:r w:rsidRPr="00613F54">
        <w:rPr>
          <w:rFonts w:eastAsia="Times New Roman" w:cstheme="minorHAnsi"/>
          <w:lang w:eastAsia="en-AU"/>
        </w:rPr>
        <w:t>D</w:t>
      </w:r>
      <w:r w:rsidR="00B608B8" w:rsidRPr="00613F54">
        <w:rPr>
          <w:rFonts w:eastAsia="Times New Roman" w:cstheme="minorHAnsi"/>
          <w:lang w:eastAsia="en-AU"/>
        </w:rPr>
        <w:t>evelop an agreed approach to the teaching of literacy aligned with IB philosophy.</w:t>
      </w:r>
    </w:p>
    <w:p w14:paraId="3CA9DB9C" w14:textId="76BA1CAF" w:rsidR="00B608B8" w:rsidRPr="00613F54" w:rsidRDefault="582DC1E0" w:rsidP="00613F54">
      <w:pPr>
        <w:pStyle w:val="ListParagraph"/>
        <w:numPr>
          <w:ilvl w:val="0"/>
          <w:numId w:val="28"/>
        </w:numPr>
        <w:tabs>
          <w:tab w:val="left" w:pos="0"/>
        </w:tabs>
        <w:spacing w:after="0" w:line="240" w:lineRule="auto"/>
        <w:ind w:left="284" w:hanging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Develop a multidisciplinary approach to literacy teaching with a focus on the developmental</w:t>
      </w:r>
      <w:r w:rsidR="00B608B8">
        <w:br/>
      </w:r>
      <w:r w:rsidRPr="00613F54">
        <w:rPr>
          <w:rFonts w:eastAsia="Times New Roman"/>
          <w:lang w:eastAsia="en-AU"/>
        </w:rPr>
        <w:t>progression of literacy learning.</w:t>
      </w:r>
    </w:p>
    <w:p w14:paraId="424836E9" w14:textId="75F75922" w:rsidR="00B608B8" w:rsidRPr="00613F54" w:rsidRDefault="582DC1E0" w:rsidP="00613F54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Build a shared understanding of differentiation which supports teachers to use data to make</w:t>
      </w:r>
      <w:r w:rsidR="00B608B8">
        <w:br/>
      </w:r>
      <w:r w:rsidRPr="00613F54">
        <w:rPr>
          <w:rFonts w:eastAsia="Times New Roman"/>
          <w:lang w:eastAsia="en-AU"/>
        </w:rPr>
        <w:t>judgements about individual student needs in literacy.</w:t>
      </w:r>
    </w:p>
    <w:p w14:paraId="028625EE" w14:textId="720D6B72" w:rsidR="00B608B8" w:rsidRPr="00613F54" w:rsidRDefault="582DC1E0" w:rsidP="00613F54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Identify and use data to inform the teaching of communication, as an approach to</w:t>
      </w:r>
    </w:p>
    <w:p w14:paraId="676F73A4" w14:textId="3771B08A" w:rsidR="00B608B8" w:rsidRPr="00613F54" w:rsidRDefault="582DC1E0" w:rsidP="00613F54">
      <w:pPr>
        <w:pStyle w:val="ListParagraph"/>
        <w:tabs>
          <w:tab w:val="left" w:pos="284"/>
        </w:tabs>
        <w:spacing w:after="0" w:line="240" w:lineRule="auto"/>
        <w:ind w:left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learning, to improve student outcomes.</w:t>
      </w:r>
    </w:p>
    <w:p w14:paraId="2CADE1A2" w14:textId="6EC37434" w:rsidR="00B608B8" w:rsidRPr="00613F54" w:rsidRDefault="582DC1E0" w:rsidP="00613F54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Develop a strategic Professional Learning Plan to build the capacity of staff in relation to</w:t>
      </w:r>
    </w:p>
    <w:p w14:paraId="537F2532" w14:textId="1D99E98F" w:rsidR="00B608B8" w:rsidRPr="00613F54" w:rsidRDefault="582DC1E0" w:rsidP="00613F54">
      <w:pPr>
        <w:pStyle w:val="ListParagraph"/>
        <w:tabs>
          <w:tab w:val="left" w:pos="284"/>
        </w:tabs>
        <w:spacing w:after="0" w:line="240" w:lineRule="auto"/>
        <w:ind w:left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literacy learning, including working collaboratively across sites.</w:t>
      </w:r>
    </w:p>
    <w:p w14:paraId="1F21FE44" w14:textId="4EDE383A" w:rsidR="00563F7F" w:rsidRPr="00613F54" w:rsidRDefault="582DC1E0" w:rsidP="00613F54">
      <w:pPr>
        <w:pStyle w:val="ListParagraph"/>
        <w:numPr>
          <w:ilvl w:val="0"/>
          <w:numId w:val="28"/>
        </w:numPr>
        <w:tabs>
          <w:tab w:val="left" w:pos="284"/>
        </w:tabs>
        <w:spacing w:after="0" w:line="240" w:lineRule="auto"/>
        <w:ind w:left="284" w:hanging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Utilise curriculum planning dynamically to teach the IB Approaches to Learning as a key part of</w:t>
      </w:r>
    </w:p>
    <w:p w14:paraId="3B5D1B98" w14:textId="45FE3838" w:rsidR="00563F7F" w:rsidRPr="00613F54" w:rsidRDefault="582DC1E0" w:rsidP="00613F54">
      <w:pPr>
        <w:pStyle w:val="ListParagraph"/>
        <w:tabs>
          <w:tab w:val="left" w:pos="284"/>
        </w:tabs>
        <w:spacing w:after="0" w:line="240" w:lineRule="auto"/>
        <w:ind w:left="284"/>
        <w:rPr>
          <w:rFonts w:eastAsia="Times New Roman"/>
          <w:lang w:eastAsia="en-AU"/>
        </w:rPr>
      </w:pPr>
      <w:r w:rsidRPr="00613F54">
        <w:rPr>
          <w:rFonts w:eastAsia="Times New Roman"/>
          <w:lang w:eastAsia="en-AU"/>
        </w:rPr>
        <w:t>the learning cycle.</w:t>
      </w:r>
    </w:p>
    <w:p w14:paraId="35C6E19A" w14:textId="77777777" w:rsidR="00CA7969" w:rsidRPr="00B608B8" w:rsidRDefault="00CA7969" w:rsidP="00CA7969">
      <w:pPr>
        <w:pStyle w:val="ListParagraph"/>
        <w:spacing w:after="0" w:line="240" w:lineRule="auto"/>
        <w:ind w:left="0"/>
        <w:rPr>
          <w:rFonts w:eastAsia="Times New Roman" w:cstheme="minorHAnsi"/>
          <w:lang w:eastAsia="en-AU"/>
        </w:rPr>
      </w:pPr>
    </w:p>
    <w:p w14:paraId="7DF85F6C" w14:textId="736A7587" w:rsidR="00563F7F" w:rsidRPr="00563F7F" w:rsidRDefault="00563F7F" w:rsidP="005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i/>
          <w:iCs/>
          <w:color w:val="000000"/>
          <w:lang w:eastAsia="en-AU"/>
        </w:rPr>
        <w:t xml:space="preserve">Below is our progress towards our </w:t>
      </w:r>
      <w:r w:rsidR="00811A23">
        <w:rPr>
          <w:rFonts w:ascii="Calibri" w:eastAsia="Times New Roman" w:hAnsi="Calibri" w:cs="Calibri"/>
          <w:i/>
          <w:iCs/>
          <w:color w:val="000000"/>
          <w:lang w:eastAsia="en-AU"/>
        </w:rPr>
        <w:t>three</w:t>
      </w:r>
      <w:r w:rsidRPr="00563F7F">
        <w:rPr>
          <w:rFonts w:ascii="Calibri" w:eastAsia="Times New Roman" w:hAnsi="Calibri" w:cs="Calibri"/>
          <w:i/>
          <w:iCs/>
          <w:color w:val="000000"/>
          <w:lang w:eastAsia="en-AU"/>
        </w:rPr>
        <w:t>-year targets with an emphasis on the accumulation and analysis of evidence over the term of our plan.</w:t>
      </w:r>
    </w:p>
    <w:p w14:paraId="3C719DD5" w14:textId="77777777" w:rsidR="00563F7F" w:rsidRPr="00563F7F" w:rsidRDefault="00563F7F" w:rsidP="00563F7F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i/>
          <w:iCs/>
          <w:color w:val="1F4E79"/>
          <w:lang w:eastAsia="en-AU"/>
        </w:rPr>
        <w:t>Student learning data</w:t>
      </w:r>
    </w:p>
    <w:tbl>
      <w:tblPr>
        <w:tblW w:w="9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773"/>
        <w:gridCol w:w="773"/>
        <w:gridCol w:w="773"/>
        <w:gridCol w:w="1060"/>
      </w:tblGrid>
      <w:tr w:rsidR="00563F7F" w:rsidRPr="00563F7F" w14:paraId="3766AB1D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C0C7EC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Targets or Measures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C296E2" w14:textId="77777777" w:rsidR="00563F7F" w:rsidRPr="00563F7F" w:rsidRDefault="00563F7F" w:rsidP="005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Base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23102E" w14:textId="77777777" w:rsidR="00563F7F" w:rsidRPr="00563F7F" w:rsidRDefault="00563F7F" w:rsidP="005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1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307168" w14:textId="77777777" w:rsidR="00563F7F" w:rsidRPr="00563F7F" w:rsidRDefault="00563F7F" w:rsidP="005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2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7B5B34" w14:textId="77777777" w:rsidR="00563F7F" w:rsidRPr="00563F7F" w:rsidRDefault="00563F7F" w:rsidP="0056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3</w:t>
            </w:r>
          </w:p>
        </w:tc>
      </w:tr>
      <w:tr w:rsidR="00563F7F" w:rsidRPr="00563F7F" w14:paraId="274FD427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BF4D7A" w14:textId="390DF261" w:rsidR="00563F7F" w:rsidRPr="00563F7F" w:rsidRDefault="6E45D013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6E45D013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increase in the percentage of mainstream Year 1-3 students achieving at or above year level range the ACT ED Benchmark Reading range from end 2017 data by 5 percentage points 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0C2845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73.7%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71CF16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76.4%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2247AD" w14:textId="0034FC44" w:rsidR="00563F7F" w:rsidRPr="00575859" w:rsidRDefault="6E45D013" w:rsidP="6E45D013">
            <w:pPr>
              <w:spacing w:after="0" w:line="240" w:lineRule="auto"/>
              <w:rPr>
                <w:rFonts w:cstheme="minorHAnsi"/>
              </w:rPr>
            </w:pPr>
            <w:r w:rsidRPr="00575859">
              <w:rPr>
                <w:rFonts w:eastAsia="Times New Roman" w:cstheme="minorHAnsi"/>
                <w:lang w:eastAsia="en-AU"/>
              </w:rPr>
              <w:t>69.7%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E2472AB" w14:textId="3EBBD462" w:rsidR="00563F7F" w:rsidRPr="00613F54" w:rsidRDefault="00575859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13F54">
              <w:rPr>
                <w:rFonts w:eastAsia="Times New Roman" w:cstheme="minorHAnsi"/>
                <w:lang w:eastAsia="en-AU"/>
              </w:rPr>
              <w:t>55%</w:t>
            </w:r>
          </w:p>
        </w:tc>
      </w:tr>
      <w:tr w:rsidR="00563F7F" w:rsidRPr="00563F7F" w14:paraId="708BCAC0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8AA154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percentage of mainstream Year 4-6 students achieving above age level range in PROBE Reading Assessment from end 2017 data by 5 percentage points 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5BE018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63.7%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B0C49F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82.1%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3E1AC" w14:textId="6CEFEB0C" w:rsidR="00563F7F" w:rsidRPr="00575859" w:rsidRDefault="6E45D013" w:rsidP="6E45D013">
            <w:pPr>
              <w:spacing w:after="0" w:line="240" w:lineRule="auto"/>
              <w:rPr>
                <w:rFonts w:cstheme="minorHAnsi"/>
              </w:rPr>
            </w:pPr>
            <w:r w:rsidRPr="00575859">
              <w:rPr>
                <w:rFonts w:eastAsia="Times New Roman" w:cstheme="minorHAnsi"/>
                <w:lang w:eastAsia="en-AU"/>
              </w:rPr>
              <w:t>58.7%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A5827D" w14:textId="5F28B18E" w:rsidR="00563F7F" w:rsidRPr="00613F54" w:rsidRDefault="00575859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13F54">
              <w:rPr>
                <w:rFonts w:eastAsia="Times New Roman" w:cstheme="minorHAnsi"/>
                <w:lang w:eastAsia="en-AU"/>
              </w:rPr>
              <w:t>67%</w:t>
            </w:r>
          </w:p>
        </w:tc>
      </w:tr>
      <w:tr w:rsidR="00563F7F" w:rsidRPr="00563F7F" w14:paraId="71D29EE7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EE23AF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percentage of K-6 students achieving proficient or outstanding for reading and writing for semester reporting</w:t>
            </w:r>
          </w:p>
          <w:p w14:paraId="73DBB4D5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reading</w:t>
            </w:r>
          </w:p>
          <w:p w14:paraId="4EB53B6D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writing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59BBE" w14:textId="71E45FC1" w:rsidR="00563F7F" w:rsidRPr="00563F7F" w:rsidRDefault="00563F7F" w:rsidP="00563F7F">
            <w:pPr>
              <w:spacing w:after="240" w:line="240" w:lineRule="auto"/>
            </w:pPr>
            <w:r>
              <w:br/>
            </w:r>
          </w:p>
          <w:p w14:paraId="67248503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63.9%</w:t>
            </w:r>
          </w:p>
          <w:p w14:paraId="7F0FBEBE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A158C7E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37.4%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BB6EDA" w14:textId="54DDA80C" w:rsidR="00563F7F" w:rsidRPr="00563F7F" w:rsidRDefault="00563F7F" w:rsidP="00563F7F">
            <w:pPr>
              <w:spacing w:after="240" w:line="240" w:lineRule="auto"/>
            </w:pPr>
            <w:r>
              <w:br/>
            </w:r>
          </w:p>
          <w:p w14:paraId="7C987A0F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53.4%</w:t>
            </w:r>
          </w:p>
          <w:p w14:paraId="008F7BA0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1B866B70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37.8%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CA7BDB" w14:textId="77777777" w:rsidR="00563F7F" w:rsidRPr="000779F8" w:rsidRDefault="00563F7F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BB077C7" w14:textId="77777777" w:rsidR="002F6350" w:rsidRPr="000779F8" w:rsidRDefault="002F6350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C42E446" w14:textId="3EBDD2EB" w:rsidR="002F6350" w:rsidRPr="000779F8" w:rsidRDefault="002F6350" w:rsidP="6E45D013">
            <w:pPr>
              <w:spacing w:after="0" w:line="240" w:lineRule="auto"/>
              <w:rPr>
                <w:rFonts w:eastAsia="Times New Roman"/>
                <w:lang w:eastAsia="en-AU"/>
              </w:rPr>
            </w:pPr>
          </w:p>
          <w:p w14:paraId="4364E816" w14:textId="55F531FD" w:rsidR="000779F8" w:rsidRPr="000779F8" w:rsidRDefault="6E45D013" w:rsidP="6E45D013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6E45D013">
              <w:rPr>
                <w:rFonts w:eastAsia="Times New Roman"/>
                <w:lang w:eastAsia="en-AU"/>
              </w:rPr>
              <w:t>41.79%</w:t>
            </w:r>
          </w:p>
          <w:p w14:paraId="0ED47804" w14:textId="7AD39DFC" w:rsidR="000779F8" w:rsidRPr="000779F8" w:rsidRDefault="582DC1E0" w:rsidP="582DC1E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582DC1E0">
              <w:rPr>
                <w:rFonts w:eastAsia="Times New Roman"/>
                <w:lang w:eastAsia="en-AU"/>
              </w:rPr>
              <w:t>29.87%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B264DA1" w14:textId="77777777" w:rsidR="00563F7F" w:rsidRPr="00613F54" w:rsidRDefault="00563F7F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30BAA1BD" w14:textId="77777777" w:rsidR="00D97AA7" w:rsidRPr="00613F54" w:rsidRDefault="00D97AA7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80CE5A5" w14:textId="177CFB1F" w:rsidR="00D97AA7" w:rsidRPr="00613F54" w:rsidRDefault="00D97AA7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563F7F" w:rsidRPr="00563F7F" w14:paraId="25AA94C1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826EFB4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percentage of years 7-10 students achieving MYP 5 - 7 for semester reporting for Language and Literature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C69E49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29.18%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B344D1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33.33%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63C7CA" w14:textId="5E48D240" w:rsidR="00563F7F" w:rsidRPr="00676EFA" w:rsidRDefault="004846DC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76EFA">
              <w:rPr>
                <w:rFonts w:eastAsia="Times New Roman" w:cstheme="minorHAnsi"/>
                <w:lang w:eastAsia="en-AU"/>
              </w:rPr>
              <w:t>42</w:t>
            </w:r>
            <w:r w:rsidR="00676EFA" w:rsidRPr="00676EFA">
              <w:rPr>
                <w:rFonts w:eastAsia="Times New Roman" w:cstheme="minorHAnsi"/>
                <w:lang w:eastAsia="en-AU"/>
              </w:rPr>
              <w:t>.58%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F45D42" w14:textId="283F03D4" w:rsidR="00563F7F" w:rsidRPr="00613F54" w:rsidRDefault="00D411C9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13F54">
              <w:rPr>
                <w:rFonts w:eastAsia="Times New Roman" w:cstheme="minorHAnsi"/>
                <w:lang w:eastAsia="en-AU"/>
              </w:rPr>
              <w:t>30.45%</w:t>
            </w:r>
          </w:p>
        </w:tc>
      </w:tr>
      <w:tr w:rsidR="00563F7F" w:rsidRPr="00563F7F" w14:paraId="6AAC9F62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19798C" w14:textId="51F20470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increase in the percentage of students achieving at or above the expected growth in PIPS language use by 15 percentage points from the 2014 </w:t>
            </w:r>
            <w:r w:rsidR="007F5C40"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figures (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under review)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58A3A3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8A6B66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46F0F6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96DD17" w14:textId="77777777" w:rsidR="00563F7F" w:rsidRPr="00613F54" w:rsidRDefault="00563F7F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563F7F" w:rsidRPr="00563F7F" w14:paraId="11329F57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6B5F3F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percentage of students achieving at or above expected growth in PIPS reading by 15 percentage points from the 2017 figures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31DC43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58%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0DBD13A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72%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F68493" w14:textId="71298D99" w:rsidR="00563F7F" w:rsidRPr="00616092" w:rsidRDefault="582DC1E0" w:rsidP="582DC1E0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582DC1E0">
              <w:rPr>
                <w:rFonts w:eastAsia="Times New Roman"/>
                <w:lang w:eastAsia="en-AU"/>
              </w:rPr>
              <w:t>84%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48C175" w14:textId="24D0BC87" w:rsidR="00563F7F" w:rsidRPr="00613F54" w:rsidRDefault="00D97AA7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13F54">
              <w:rPr>
                <w:rFonts w:eastAsia="Times New Roman" w:cstheme="minorHAnsi"/>
                <w:lang w:eastAsia="en-AU"/>
              </w:rPr>
              <w:t>n/a – move to Base</w:t>
            </w:r>
          </w:p>
        </w:tc>
      </w:tr>
      <w:tr w:rsidR="00563F7F" w:rsidRPr="00563F7F" w14:paraId="6ACA6683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178D6B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average percentage point growth of students in the 75% + percentile band in NAPLAN reading by 3 percentage points from the 2017 growth data</w:t>
            </w:r>
          </w:p>
          <w:p w14:paraId="48992048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average growth in top two bands</w:t>
            </w:r>
          </w:p>
          <w:p w14:paraId="35783EE7" w14:textId="54113B0A" w:rsidR="00563F7F" w:rsidRPr="00563F7F" w:rsidRDefault="6E45D013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6E45D013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(</w:t>
            </w:r>
            <w:r w:rsidRPr="6E45D013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en-AU"/>
              </w:rPr>
              <w:t>unable to continue with this target due to changes in Scout reporting)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11E81A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28%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021287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31.6%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8D79CA" w14:textId="31CEEDE3" w:rsidR="00563F7F" w:rsidRPr="00563F7F" w:rsidRDefault="582DC1E0" w:rsidP="582DC1E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AU"/>
              </w:rPr>
            </w:pPr>
            <w:r w:rsidRPr="582DC1E0">
              <w:rPr>
                <w:rFonts w:eastAsiaTheme="minorEastAsia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F8635CA" w14:textId="6BDA7121" w:rsidR="00563F7F" w:rsidRPr="00613F54" w:rsidRDefault="005F1B86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13F54">
              <w:rPr>
                <w:rFonts w:eastAsia="Times New Roman" w:cstheme="minorHAnsi"/>
                <w:lang w:eastAsia="en-AU"/>
              </w:rPr>
              <w:t>n/a</w:t>
            </w:r>
          </w:p>
        </w:tc>
      </w:tr>
      <w:tr w:rsidR="00563F7F" w:rsidRPr="00563F7F" w14:paraId="6B2ABD9D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CBB183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percentage of mainstream students achieving in the top two bands for </w:t>
            </w:r>
          </w:p>
          <w:p w14:paraId="2E65ED98" w14:textId="5AD02BE1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Reading: year 3, 5, 7 and 9 </w:t>
            </w:r>
            <w:r w:rsidR="007F5C40"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NAPLAN by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5 percentage points from 2017 NAPLAN data</w:t>
            </w:r>
          </w:p>
          <w:p w14:paraId="1758B591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Writing: </w:t>
            </w:r>
          </w:p>
          <w:p w14:paraId="413A2AE2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year 7 by 5 percentage points from 2017 NAPLAN Data</w:t>
            </w:r>
          </w:p>
          <w:p w14:paraId="6F8BE435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year 9 by 10 percentage points from 2017 NAPLAN Data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BEC9BA" w14:textId="77777777" w:rsidR="00563F7F" w:rsidRPr="00563F7F" w:rsidRDefault="00563F7F" w:rsidP="00563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064DC3CF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28%</w:t>
            </w:r>
          </w:p>
          <w:p w14:paraId="705D8A81" w14:textId="77777777" w:rsidR="00563F7F" w:rsidRPr="00563F7F" w:rsidRDefault="00563F7F" w:rsidP="00563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4F975A71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21.3%</w:t>
            </w:r>
          </w:p>
          <w:p w14:paraId="7C758A52" w14:textId="77777777" w:rsidR="00563F7F" w:rsidRPr="00563F7F" w:rsidRDefault="00563F7F" w:rsidP="00563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444873DC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9.8%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91935E" w14:textId="77777777" w:rsidR="00563F7F" w:rsidRPr="00563F7F" w:rsidRDefault="00563F7F" w:rsidP="00563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2DCF4BD3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31.6%</w:t>
            </w:r>
          </w:p>
          <w:p w14:paraId="049CACDB" w14:textId="77777777" w:rsidR="00563F7F" w:rsidRPr="00563F7F" w:rsidRDefault="00563F7F" w:rsidP="00563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09A000D0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16.1%</w:t>
            </w:r>
          </w:p>
          <w:p w14:paraId="5A4BE854" w14:textId="77777777" w:rsidR="00563F7F" w:rsidRPr="00563F7F" w:rsidRDefault="00563F7F" w:rsidP="00563F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2D1CC445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7.4%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D3A42" w14:textId="77777777" w:rsidR="00563F7F" w:rsidRPr="004F7903" w:rsidRDefault="00563F7F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ED7CEC8" w14:textId="77777777" w:rsidR="00676EFA" w:rsidRPr="004F7903" w:rsidRDefault="00676EFA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1D0FCC4" w14:textId="77777777" w:rsidR="00676EFA" w:rsidRPr="004F7903" w:rsidRDefault="00676EFA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7D4F5FD" w14:textId="03C5CCE5" w:rsidR="00676EFA" w:rsidRPr="004F7903" w:rsidRDefault="6E45D013" w:rsidP="6E45D013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6E45D013">
              <w:rPr>
                <w:rFonts w:eastAsia="Times New Roman"/>
                <w:lang w:eastAsia="en-AU"/>
              </w:rPr>
              <w:t>29.5%</w:t>
            </w:r>
          </w:p>
          <w:p w14:paraId="6FEF67ED" w14:textId="77777777" w:rsidR="00676EFA" w:rsidRPr="004F7903" w:rsidRDefault="00676EFA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2AD488D4" w14:textId="77777777" w:rsidR="00676EFA" w:rsidRPr="004F7903" w:rsidRDefault="00676EFA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641293B" w14:textId="77777777" w:rsidR="00676EFA" w:rsidRPr="004F7903" w:rsidRDefault="00676EFA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1E8C255" w14:textId="77777777" w:rsidR="004F7903" w:rsidRPr="004F7903" w:rsidRDefault="004F7903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6B4BD84" w14:textId="77777777" w:rsidR="00676EFA" w:rsidRPr="004F7903" w:rsidRDefault="004F7903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F7903">
              <w:rPr>
                <w:rFonts w:eastAsia="Times New Roman" w:cstheme="minorHAnsi"/>
                <w:lang w:eastAsia="en-AU"/>
              </w:rPr>
              <w:t>9%</w:t>
            </w:r>
          </w:p>
          <w:p w14:paraId="45123745" w14:textId="77777777" w:rsidR="004F7903" w:rsidRPr="004F7903" w:rsidRDefault="004F7903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BE90657" w14:textId="77777777" w:rsidR="004F7903" w:rsidRPr="004F7903" w:rsidRDefault="004F7903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3A2582B" w14:textId="33098337" w:rsidR="004F7903" w:rsidRPr="00676EFA" w:rsidRDefault="004F7903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4F7903">
              <w:rPr>
                <w:rFonts w:eastAsia="Times New Roman" w:cstheme="minorHAnsi"/>
                <w:lang w:eastAsia="en-AU"/>
              </w:rPr>
              <w:t>7.5%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61D3FF0" w14:textId="4BFC6569" w:rsidR="00563F7F" w:rsidRPr="00613F54" w:rsidRDefault="005F1B86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13F54">
              <w:rPr>
                <w:rFonts w:eastAsia="Times New Roman" w:cstheme="minorHAnsi"/>
                <w:lang w:eastAsia="en-AU"/>
              </w:rPr>
              <w:t>n/a</w:t>
            </w:r>
          </w:p>
        </w:tc>
      </w:tr>
      <w:tr w:rsidR="00563F7F" w:rsidRPr="00563F7F" w14:paraId="08890F71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B931A9" w14:textId="02C8035E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the identification of a set of reliable measures to track student growth in vocabulary use from Preschool to year 10 (to be implemented from 2019)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B30387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n/a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9B116F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n/a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F89C6D" w14:textId="344C8D6B" w:rsidR="00563F7F" w:rsidRPr="000101ED" w:rsidRDefault="000101ED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0101ED">
              <w:rPr>
                <w:rFonts w:eastAsia="Times New Roman" w:cstheme="minorHAnsi"/>
                <w:lang w:eastAsia="en-AU"/>
              </w:rPr>
              <w:t>TBC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95D7EA" w14:textId="326CFAAC" w:rsidR="00563F7F" w:rsidRPr="00613F54" w:rsidRDefault="005F1B86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613F54">
              <w:rPr>
                <w:rFonts w:eastAsia="Times New Roman" w:cstheme="minorHAnsi"/>
                <w:lang w:eastAsia="en-AU"/>
              </w:rPr>
              <w:t>Refer to comments</w:t>
            </w:r>
          </w:p>
        </w:tc>
      </w:tr>
      <w:tr w:rsidR="00563F7F" w:rsidRPr="00563F7F" w14:paraId="0B52155E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2216F4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percentage of year 7-10 students answering correctly the items ‘language use’ in NAPLAN by 5 percentage points from 2017 figures</w:t>
            </w:r>
          </w:p>
          <w:p w14:paraId="6FD74B41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(not available - need to review)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6EFACB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981318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A212EED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611FE35" w14:textId="6D48E264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563F7F" w:rsidRPr="00563F7F" w14:paraId="5DD0FC64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0A7004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increase in the percentage of years 7-10 students achieving 6-8 for MYP criteria D in English and Language Acquisition by 5 percentage points from 2017 figures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678447D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19.28%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E82CA1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25.67%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04DF53" w14:textId="14DE28D4" w:rsidR="00563F7F" w:rsidRPr="004F7903" w:rsidRDefault="00374438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30.13%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F84DE3" w14:textId="3F376F7B" w:rsidR="00563F7F" w:rsidRPr="009D4FBB" w:rsidRDefault="009D4FBB" w:rsidP="00563F7F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9D4FBB">
              <w:rPr>
                <w:rFonts w:eastAsia="Times New Roman" w:cstheme="minorHAnsi"/>
                <w:lang w:eastAsia="en-AU"/>
              </w:rPr>
              <w:t>21.12%</w:t>
            </w:r>
          </w:p>
        </w:tc>
      </w:tr>
      <w:tr w:rsidR="00563F7F" w:rsidRPr="00563F7F" w14:paraId="15998136" w14:textId="77777777" w:rsidTr="582DC1E0">
        <w:trPr>
          <w:jc w:val="center"/>
        </w:trPr>
        <w:tc>
          <w:tcPr>
            <w:tcW w:w="6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6F7D24" w14:textId="77777777" w:rsidR="00563F7F" w:rsidRPr="00563F7F" w:rsidRDefault="00563F7F" w:rsidP="00563F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establish baseline data using the AtL Communication (ACARA General Capabilities) continuum (use this in following years to improve achievement from 2019 onwards)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20AEBD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n/a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DC4847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n/a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CD876F" w14:textId="77777777" w:rsidR="00563F7F" w:rsidRPr="00563F7F" w:rsidRDefault="00563F7F" w:rsidP="0056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D19DA4" w14:textId="25345DE5" w:rsidR="00563F7F" w:rsidRPr="00613F54" w:rsidRDefault="00D97AA7" w:rsidP="00563F7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613F54">
              <w:rPr>
                <w:rFonts w:eastAsia="Times New Roman" w:cstheme="minorHAnsi"/>
                <w:sz w:val="24"/>
                <w:szCs w:val="24"/>
                <w:lang w:eastAsia="en-AU"/>
              </w:rPr>
              <w:t>n/a</w:t>
            </w:r>
          </w:p>
        </w:tc>
      </w:tr>
    </w:tbl>
    <w:p w14:paraId="3CFEA5EC" w14:textId="77777777" w:rsidR="00563F7F" w:rsidRPr="00563F7F" w:rsidRDefault="00563F7F" w:rsidP="005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8BD33E6" w14:textId="77777777" w:rsidR="005C5C8E" w:rsidRDefault="005C5C8E" w:rsidP="582DC1E0">
      <w:pPr>
        <w:spacing w:before="240" w:after="120" w:line="240" w:lineRule="auto"/>
        <w:outlineLvl w:val="2"/>
        <w:rPr>
          <w:rFonts w:ascii="Arial" w:eastAsia="Times New Roman" w:hAnsi="Arial" w:cs="Arial"/>
          <w:color w:val="1E4D78"/>
          <w:lang w:eastAsia="en-AU"/>
        </w:rPr>
      </w:pPr>
    </w:p>
    <w:p w14:paraId="10301625" w14:textId="7D0EB831" w:rsidR="00563F7F" w:rsidRPr="00563F7F" w:rsidRDefault="582DC1E0" w:rsidP="582DC1E0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582DC1E0">
        <w:rPr>
          <w:rFonts w:ascii="Arial" w:eastAsia="Times New Roman" w:hAnsi="Arial" w:cs="Arial"/>
          <w:color w:val="1E4D78"/>
          <w:lang w:eastAsia="en-AU"/>
        </w:rPr>
        <w:lastRenderedPageBreak/>
        <w:t>What this evidence tells us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63F7F" w:rsidRPr="00563F7F" w14:paraId="7D499EEF" w14:textId="77777777" w:rsidTr="582DC1E0">
        <w:trPr>
          <w:trHeight w:val="40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4D2B0B1" w14:textId="6314E28E" w:rsidR="00CB2324" w:rsidRDefault="00CB2324" w:rsidP="00E34DB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Gold Creek was unable to use the evidence as set out in the targets to support School Improvement due to no NAPLAN and no Semester 1 data.</w:t>
            </w:r>
          </w:p>
          <w:p w14:paraId="70A4CC97" w14:textId="0A0D9886" w:rsidR="00B26BAC" w:rsidRPr="00563F7F" w:rsidRDefault="00B26BAC" w:rsidP="582DC1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Using the data set available, it appears that literacy is on the decline. This is consistent with similar school-types within the Gungahlin area.</w:t>
            </w:r>
          </w:p>
        </w:tc>
      </w:tr>
    </w:tbl>
    <w:p w14:paraId="0C632E30" w14:textId="77777777" w:rsidR="00563F7F" w:rsidRPr="00563F7F" w:rsidRDefault="00563F7F" w:rsidP="00563F7F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563F7F">
        <w:rPr>
          <w:rFonts w:ascii="Arial" w:eastAsia="Times New Roman" w:hAnsi="Arial" w:cs="Arial"/>
          <w:color w:val="1E4D78"/>
          <w:lang w:eastAsia="en-AU"/>
        </w:rPr>
        <w:t>Our achievements for this priority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63F7F" w:rsidRPr="00563F7F" w14:paraId="2C21FD25" w14:textId="77777777" w:rsidTr="582DC1E0">
        <w:trPr>
          <w:trHeight w:val="220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1C4DED97" w14:textId="69846963" w:rsidR="005F31BC" w:rsidRPr="00D97AA7" w:rsidRDefault="005F31BC" w:rsidP="002653FC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97AA7">
              <w:rPr>
                <w:rFonts w:eastAsia="Times New Roman" w:cstheme="minorHAnsi"/>
                <w:lang w:eastAsia="en-AU"/>
              </w:rPr>
              <w:t xml:space="preserve">Due to the delayed School review, the school dedicated the extra time to </w:t>
            </w:r>
            <w:r w:rsidR="005C5C8E">
              <w:rPr>
                <w:rFonts w:eastAsia="Times New Roman" w:cstheme="minorHAnsi"/>
                <w:lang w:eastAsia="en-AU"/>
              </w:rPr>
              <w:t xml:space="preserve">the </w:t>
            </w:r>
            <w:r w:rsidRPr="00D97AA7">
              <w:rPr>
                <w:rFonts w:eastAsia="Times New Roman" w:cstheme="minorHAnsi"/>
                <w:lang w:eastAsia="en-AU"/>
              </w:rPr>
              <w:t>further implementation of this priority.</w:t>
            </w:r>
          </w:p>
          <w:p w14:paraId="51E79739" w14:textId="566E5A14" w:rsidR="005F31BC" w:rsidRPr="00D97AA7" w:rsidRDefault="005F31BC" w:rsidP="002653FC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97AA7">
              <w:rPr>
                <w:rFonts w:eastAsia="Times New Roman" w:cstheme="minorHAnsi"/>
                <w:sz w:val="24"/>
                <w:szCs w:val="24"/>
                <w:lang w:eastAsia="en-AU"/>
              </w:rPr>
              <w:t>All Faculties and learning teams</w:t>
            </w:r>
            <w:r w:rsidR="00F90F32" w:rsidRPr="00D97AA7">
              <w:rPr>
                <w:rFonts w:eastAsia="Times New Roman" w:cstheme="minorHAnsi"/>
                <w:sz w:val="24"/>
                <w:szCs w:val="24"/>
                <w:lang w:eastAsia="en-AU"/>
              </w:rPr>
              <w:t xml:space="preserve"> set Literacy SMART goals for Semester 2 and implemented a strategy relevant to their goal.</w:t>
            </w:r>
          </w:p>
          <w:p w14:paraId="5367C904" w14:textId="6F73505D" w:rsidR="00F90F32" w:rsidRPr="00D97AA7" w:rsidRDefault="00F90F32" w:rsidP="002653FC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97AA7">
              <w:rPr>
                <w:rFonts w:eastAsia="Times New Roman" w:cstheme="minorHAnsi"/>
                <w:sz w:val="24"/>
                <w:szCs w:val="24"/>
                <w:lang w:eastAsia="en-AU"/>
              </w:rPr>
              <w:t>Each team focussed on a pedagogical approach aligned with a Shift of Practice to support student growth.</w:t>
            </w:r>
          </w:p>
          <w:p w14:paraId="1477598F" w14:textId="17CBF9F9" w:rsidR="00F90F32" w:rsidRPr="00D97AA7" w:rsidRDefault="00F90F32" w:rsidP="00F90F32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97AA7">
              <w:rPr>
                <w:rFonts w:eastAsia="Times New Roman" w:cstheme="minorHAnsi"/>
                <w:lang w:eastAsia="en-AU"/>
              </w:rPr>
              <w:t>Action</w:t>
            </w:r>
            <w:r w:rsidR="00FA3C37" w:rsidRPr="00D97AA7">
              <w:rPr>
                <w:rFonts w:eastAsia="Times New Roman" w:cstheme="minorHAnsi"/>
                <w:lang w:eastAsia="en-AU"/>
              </w:rPr>
              <w:t xml:space="preserve"> </w:t>
            </w:r>
            <w:r w:rsidR="00B133A9">
              <w:rPr>
                <w:rFonts w:eastAsia="Times New Roman" w:cstheme="minorHAnsi"/>
                <w:lang w:eastAsia="en-AU"/>
              </w:rPr>
              <w:t>L</w:t>
            </w:r>
            <w:r w:rsidR="00FA3C37" w:rsidRPr="00D97AA7">
              <w:rPr>
                <w:rFonts w:eastAsia="Times New Roman" w:cstheme="minorHAnsi"/>
                <w:lang w:eastAsia="en-AU"/>
              </w:rPr>
              <w:t>earning team</w:t>
            </w:r>
            <w:r w:rsidRPr="00D97AA7">
              <w:rPr>
                <w:rFonts w:eastAsia="Times New Roman" w:cstheme="minorHAnsi"/>
                <w:lang w:eastAsia="en-AU"/>
              </w:rPr>
              <w:t xml:space="preserve">s continued driving </w:t>
            </w:r>
            <w:r w:rsidR="00FA3C37" w:rsidRPr="00D97AA7">
              <w:rPr>
                <w:rFonts w:eastAsia="Times New Roman" w:cstheme="minorHAnsi"/>
                <w:lang w:eastAsia="en-AU"/>
              </w:rPr>
              <w:t xml:space="preserve">the implementation of strategies in literacy across the Junior and Secondary campuses. </w:t>
            </w:r>
            <w:r w:rsidRPr="00D97AA7">
              <w:rPr>
                <w:rFonts w:eastAsia="Times New Roman" w:cstheme="minorHAnsi"/>
                <w:lang w:eastAsia="en-AU"/>
              </w:rPr>
              <w:t xml:space="preserve">During 2020 cross collaboration of Action Learning teams occurred to support a multipronged approach to school </w:t>
            </w:r>
            <w:r w:rsidR="007E28B2" w:rsidRPr="00D97AA7">
              <w:rPr>
                <w:rFonts w:eastAsia="Times New Roman" w:cstheme="minorHAnsi"/>
                <w:lang w:eastAsia="en-AU"/>
              </w:rPr>
              <w:t xml:space="preserve">improvement </w:t>
            </w:r>
            <w:r w:rsidR="005C5C8E">
              <w:rPr>
                <w:rFonts w:eastAsia="Times New Roman" w:cstheme="minorHAnsi"/>
                <w:lang w:eastAsia="en-AU"/>
              </w:rPr>
              <w:br/>
            </w:r>
            <w:r w:rsidR="007E28B2" w:rsidRPr="00D97AA7">
              <w:rPr>
                <w:rFonts w:eastAsia="Times New Roman" w:cstheme="minorHAnsi"/>
                <w:lang w:eastAsia="en-AU"/>
              </w:rPr>
              <w:t>This</w:t>
            </w:r>
            <w:r w:rsidRPr="00D97AA7">
              <w:rPr>
                <w:rFonts w:eastAsia="Times New Roman" w:cstheme="minorHAnsi"/>
                <w:lang w:eastAsia="en-AU"/>
              </w:rPr>
              <w:t xml:space="preserve"> was particularly evident with the Literacy and A</w:t>
            </w:r>
            <w:r w:rsidR="00EF4169">
              <w:rPr>
                <w:rFonts w:eastAsia="Times New Roman" w:cstheme="minorHAnsi"/>
                <w:lang w:eastAsia="en-AU"/>
              </w:rPr>
              <w:t xml:space="preserve">pproaches to Learning (AtL) </w:t>
            </w:r>
            <w:r w:rsidRPr="00D97AA7">
              <w:rPr>
                <w:rFonts w:eastAsia="Times New Roman" w:cstheme="minorHAnsi"/>
                <w:lang w:eastAsia="en-AU"/>
              </w:rPr>
              <w:t>group.</w:t>
            </w:r>
          </w:p>
          <w:p w14:paraId="38754883" w14:textId="660F7B21" w:rsidR="00F77F55" w:rsidRPr="00D97AA7" w:rsidRDefault="00F90F32" w:rsidP="002C2470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D97AA7">
              <w:rPr>
                <w:rFonts w:eastAsia="Times New Roman" w:cstheme="minorHAnsi"/>
                <w:lang w:eastAsia="en-AU"/>
              </w:rPr>
              <w:t>Select</w:t>
            </w:r>
            <w:r w:rsidR="00EF4169">
              <w:rPr>
                <w:rFonts w:eastAsia="Times New Roman" w:cstheme="minorHAnsi"/>
                <w:lang w:eastAsia="en-AU"/>
              </w:rPr>
              <w:t>ed</w:t>
            </w:r>
            <w:r w:rsidRPr="00D97AA7">
              <w:rPr>
                <w:rFonts w:eastAsia="Times New Roman" w:cstheme="minorHAnsi"/>
                <w:lang w:eastAsia="en-AU"/>
              </w:rPr>
              <w:t xml:space="preserve"> </w:t>
            </w:r>
            <w:r w:rsidR="002C2470" w:rsidRPr="00D97AA7">
              <w:rPr>
                <w:rFonts w:eastAsia="Times New Roman" w:cstheme="minorHAnsi"/>
                <w:lang w:eastAsia="en-AU"/>
              </w:rPr>
              <w:t>S</w:t>
            </w:r>
            <w:r w:rsidR="00FA3C37" w:rsidRPr="00D97AA7">
              <w:rPr>
                <w:rFonts w:eastAsia="Times New Roman" w:cstheme="minorHAnsi"/>
                <w:lang w:eastAsia="en-AU"/>
              </w:rPr>
              <w:t xml:space="preserve">taff participated in </w:t>
            </w:r>
            <w:r w:rsidRPr="00D97AA7">
              <w:rPr>
                <w:rFonts w:eastAsia="Times New Roman" w:cstheme="minorHAnsi"/>
                <w:lang w:eastAsia="en-AU"/>
              </w:rPr>
              <w:t xml:space="preserve">external </w:t>
            </w:r>
            <w:r w:rsidR="00FA3C37" w:rsidRPr="00D97AA7">
              <w:rPr>
                <w:rFonts w:eastAsia="Times New Roman" w:cstheme="minorHAnsi"/>
                <w:lang w:eastAsia="en-AU"/>
              </w:rPr>
              <w:t xml:space="preserve">professional learning on using the literacy continuums to track the communication </w:t>
            </w:r>
            <w:r w:rsidR="00EF4169">
              <w:rPr>
                <w:rFonts w:eastAsia="Times New Roman" w:cstheme="minorHAnsi"/>
                <w:lang w:eastAsia="en-AU"/>
              </w:rPr>
              <w:t xml:space="preserve">of </w:t>
            </w:r>
            <w:r w:rsidR="006D7435" w:rsidRPr="00D97AA7">
              <w:rPr>
                <w:rFonts w:eastAsia="Times New Roman" w:cstheme="minorHAnsi"/>
                <w:lang w:eastAsia="en-AU"/>
              </w:rPr>
              <w:t>AtL</w:t>
            </w:r>
            <w:r w:rsidR="00F77F55" w:rsidRPr="00D97AA7">
              <w:rPr>
                <w:rFonts w:eastAsia="Times New Roman" w:cstheme="minorHAnsi"/>
                <w:lang w:eastAsia="en-AU"/>
              </w:rPr>
              <w:t>.</w:t>
            </w:r>
            <w:r w:rsidR="00FA3C37" w:rsidRPr="00D97AA7">
              <w:rPr>
                <w:rFonts w:eastAsia="Times New Roman" w:cstheme="minorHAnsi"/>
                <w:lang w:eastAsia="en-AU"/>
              </w:rPr>
              <w:t xml:space="preserve"> </w:t>
            </w:r>
          </w:p>
          <w:p w14:paraId="6EC19B80" w14:textId="7519E262" w:rsidR="007E28B2" w:rsidRPr="00D97AA7" w:rsidRDefault="007E28B2" w:rsidP="002C2470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lang w:eastAsia="en-AU"/>
              </w:rPr>
            </w:pPr>
            <w:r w:rsidRPr="00D97AA7">
              <w:rPr>
                <w:rFonts w:eastAsia="Times New Roman" w:cstheme="minorHAnsi"/>
                <w:lang w:eastAsia="en-AU"/>
              </w:rPr>
              <w:t>The consistent walkthroughs approach allowed for professional discussions among</w:t>
            </w:r>
            <w:r w:rsidR="005C5C8E">
              <w:rPr>
                <w:rFonts w:eastAsia="Times New Roman" w:cstheme="minorHAnsi"/>
                <w:lang w:eastAsia="en-AU"/>
              </w:rPr>
              <w:t>st</w:t>
            </w:r>
            <w:r w:rsidR="003A5EFD">
              <w:rPr>
                <w:rFonts w:eastAsia="Times New Roman" w:cstheme="minorHAnsi"/>
                <w:lang w:eastAsia="en-AU"/>
              </w:rPr>
              <w:t xml:space="preserve"> </w:t>
            </w:r>
            <w:r w:rsidRPr="00D97AA7">
              <w:rPr>
                <w:rFonts w:eastAsia="Times New Roman" w:cstheme="minorHAnsi"/>
                <w:lang w:eastAsia="en-AU"/>
              </w:rPr>
              <w:t xml:space="preserve">leadership to support the school improvement agenda. The focus of walkthroughs was  Literacy, both in terms of </w:t>
            </w:r>
            <w:r w:rsidR="00EF4169">
              <w:rPr>
                <w:rFonts w:eastAsia="Times New Roman" w:cstheme="minorHAnsi"/>
                <w:lang w:eastAsia="en-AU"/>
              </w:rPr>
              <w:t>l</w:t>
            </w:r>
            <w:r w:rsidRPr="00D97AA7">
              <w:rPr>
                <w:rFonts w:eastAsia="Times New Roman" w:cstheme="minorHAnsi"/>
                <w:lang w:eastAsia="en-AU"/>
              </w:rPr>
              <w:t xml:space="preserve">iteracy </w:t>
            </w:r>
            <w:r w:rsidR="00EF4169">
              <w:rPr>
                <w:rFonts w:eastAsia="Times New Roman" w:cstheme="minorHAnsi"/>
                <w:lang w:eastAsia="en-AU"/>
              </w:rPr>
              <w:t>r</w:t>
            </w:r>
            <w:r w:rsidRPr="00D97AA7">
              <w:rPr>
                <w:rFonts w:eastAsia="Times New Roman" w:cstheme="minorHAnsi"/>
                <w:lang w:eastAsia="en-AU"/>
              </w:rPr>
              <w:t>ich classrooms, and team specific goals. Evidence from walkthroughs demonstrated variation in quality, however, opportunities for the sharing of practice across campuses and teams provided staff with quality literacy examples.</w:t>
            </w:r>
          </w:p>
          <w:p w14:paraId="3D373654" w14:textId="537A37B1" w:rsidR="00FA3C37" w:rsidRPr="00D97AA7" w:rsidRDefault="007E28B2" w:rsidP="002C2470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lang w:eastAsia="en-AU"/>
              </w:rPr>
            </w:pPr>
            <w:r w:rsidRPr="00D97AA7">
              <w:rPr>
                <w:rFonts w:eastAsia="Times New Roman" w:cstheme="minorHAnsi"/>
                <w:lang w:eastAsia="en-AU"/>
              </w:rPr>
              <w:t xml:space="preserve">The Junior Site </w:t>
            </w:r>
            <w:r w:rsidR="007B2E40" w:rsidRPr="00D97AA7">
              <w:rPr>
                <w:rFonts w:eastAsia="Times New Roman" w:cstheme="minorHAnsi"/>
                <w:lang w:eastAsia="en-AU"/>
              </w:rPr>
              <w:t xml:space="preserve">had strong literacy rich classrooms. The Senior Site Action </w:t>
            </w:r>
            <w:r w:rsidR="00EF4169">
              <w:rPr>
                <w:rFonts w:eastAsia="Times New Roman" w:cstheme="minorHAnsi"/>
                <w:lang w:eastAsia="en-AU"/>
              </w:rPr>
              <w:t>L</w:t>
            </w:r>
            <w:r w:rsidR="007B2E40" w:rsidRPr="00D97AA7">
              <w:rPr>
                <w:rFonts w:eastAsia="Times New Roman" w:cstheme="minorHAnsi"/>
                <w:lang w:eastAsia="en-AU"/>
              </w:rPr>
              <w:t>earning team is developing an exemplar for literacy rich classrooms for Secondary classrooms.</w:t>
            </w:r>
          </w:p>
          <w:p w14:paraId="53EFA88D" w14:textId="226380E5" w:rsidR="006A023F" w:rsidRPr="007B2E40" w:rsidRDefault="00CB6AEB" w:rsidP="007B2E40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eastAsia="Times New Roman" w:cstheme="minorHAnsi"/>
                <w:lang w:eastAsia="en-AU"/>
              </w:rPr>
            </w:pPr>
            <w:r w:rsidRPr="00D97AA7">
              <w:rPr>
                <w:rFonts w:eastAsia="Times New Roman" w:cstheme="minorHAnsi"/>
                <w:lang w:eastAsia="en-AU"/>
              </w:rPr>
              <w:t>Most classrooms refer to the AtL as part of their visible learning environment.</w:t>
            </w:r>
          </w:p>
        </w:tc>
      </w:tr>
    </w:tbl>
    <w:p w14:paraId="2A011713" w14:textId="35809D59" w:rsidR="00563F7F" w:rsidRPr="00563F7F" w:rsidRDefault="00563F7F" w:rsidP="582DC1E0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br/>
      </w:r>
      <w:r w:rsidR="582DC1E0" w:rsidRPr="582DC1E0">
        <w:rPr>
          <w:rFonts w:ascii="Arial" w:eastAsia="Times New Roman" w:hAnsi="Arial" w:cs="Arial"/>
          <w:color w:val="1E4D78"/>
          <w:lang w:eastAsia="en-AU"/>
        </w:rPr>
        <w:t>Challenges we will address in our next Action Plan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563F7F" w:rsidRPr="00563F7F" w14:paraId="798B089A" w14:textId="77777777" w:rsidTr="00563F7F">
        <w:trPr>
          <w:trHeight w:val="1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7BD397B8" w14:textId="085A41AC" w:rsidR="007B2E40" w:rsidRDefault="007B2E40" w:rsidP="002C2470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Following </w:t>
            </w:r>
            <w:r w:rsidR="00EF416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School Review and IB evaluation, the School will need to continue to support literacy development over the next </w:t>
            </w:r>
            <w:r w:rsidR="00A21E9F">
              <w:rPr>
                <w:rFonts w:ascii="Calibri" w:eastAsia="Times New Roman" w:hAnsi="Calibri" w:cs="Calibri"/>
                <w:color w:val="000000"/>
                <w:lang w:eastAsia="en-AU"/>
              </w:rPr>
              <w:t>5-year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cycle.</w:t>
            </w:r>
          </w:p>
          <w:p w14:paraId="183A6886" w14:textId="75590862" w:rsidR="007B2E40" w:rsidRDefault="007B2E40" w:rsidP="002C2470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Induction procedures will need to include specific training in Essential Literacy Practices at Gold Creek School.</w:t>
            </w:r>
          </w:p>
          <w:p w14:paraId="22A6F016" w14:textId="2E21234F" w:rsidR="002C2470" w:rsidRDefault="007B2E40" w:rsidP="002C2470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The School needs to continue its journey to support the tracking of A</w:t>
            </w:r>
            <w:r w:rsidR="00613F54">
              <w:rPr>
                <w:rFonts w:ascii="Calibri" w:eastAsia="Times New Roman" w:hAnsi="Calibri" w:cs="Calibri"/>
                <w:color w:val="000000"/>
                <w:lang w:eastAsia="en-AU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L, </w:t>
            </w:r>
            <w:r w:rsidR="00EF416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skill</w:t>
            </w:r>
            <w:r w:rsidR="00613F54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development of students</w:t>
            </w:r>
            <w:r w:rsidR="00680F35" w:rsidRPr="002C247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. </w:t>
            </w:r>
          </w:p>
          <w:p w14:paraId="2EBFA7F7" w14:textId="293761FF" w:rsidR="00A90E1F" w:rsidRPr="004D2B83" w:rsidRDefault="007B2E40" w:rsidP="004D2B83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The school will need to continue to embed data analysis to inform personalised approaches to learning.</w:t>
            </w:r>
          </w:p>
          <w:p w14:paraId="0069E536" w14:textId="7B19E2A2" w:rsidR="00A90E1F" w:rsidRPr="002C2470" w:rsidRDefault="00A90E1F" w:rsidP="00A21E9F">
            <w:pPr>
              <w:pStyle w:val="ListParagraph"/>
              <w:spacing w:after="120" w:line="240" w:lineRule="auto"/>
              <w:rPr>
                <w:rFonts w:eastAsia="Times New Roman" w:cstheme="minorHAnsi"/>
                <w:lang w:eastAsia="en-AU"/>
              </w:rPr>
            </w:pPr>
          </w:p>
        </w:tc>
      </w:tr>
    </w:tbl>
    <w:p w14:paraId="28AAF61A" w14:textId="47094CCB" w:rsidR="00D825C2" w:rsidRDefault="00D825C2" w:rsidP="00D825C2"/>
    <w:p w14:paraId="083F2E84" w14:textId="77777777" w:rsidR="005C5C8E" w:rsidRPr="00D825C2" w:rsidRDefault="005C5C8E" w:rsidP="00D825C2"/>
    <w:p w14:paraId="0AEF75D8" w14:textId="4D7CE162" w:rsidR="00563F7F" w:rsidRDefault="00563F7F" w:rsidP="00837137">
      <w:pPr>
        <w:pStyle w:val="Heading2"/>
        <w:tabs>
          <w:tab w:val="clear" w:pos="2410"/>
          <w:tab w:val="left" w:pos="1276"/>
        </w:tabs>
        <w:ind w:left="1276" w:hanging="1276"/>
      </w:pPr>
    </w:p>
    <w:p w14:paraId="4ADF5CD8" w14:textId="7AE823CA" w:rsidR="005C5C8E" w:rsidRDefault="005C5C8E">
      <w:r>
        <w:br w:type="page"/>
      </w:r>
    </w:p>
    <w:p w14:paraId="733D3D76" w14:textId="4CB7490E" w:rsidR="00563F7F" w:rsidRPr="00EF4169" w:rsidRDefault="00563F7F" w:rsidP="00CA7969">
      <w:pPr>
        <w:spacing w:after="12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AU"/>
        </w:rPr>
      </w:pPr>
      <w:r w:rsidRPr="00EF4169">
        <w:rPr>
          <w:rFonts w:eastAsia="Times New Roman" w:cstheme="minorHAnsi"/>
          <w:color w:val="1F4E79"/>
          <w:sz w:val="28"/>
          <w:szCs w:val="28"/>
          <w:lang w:eastAsia="en-AU"/>
        </w:rPr>
        <w:lastRenderedPageBreak/>
        <w:t xml:space="preserve">Priority 2: </w:t>
      </w:r>
      <w:r w:rsidRPr="00EF4169">
        <w:rPr>
          <w:rFonts w:eastAsia="Times New Roman" w:cstheme="minorHAnsi"/>
          <w:sz w:val="28"/>
          <w:szCs w:val="28"/>
          <w:lang w:eastAsia="en-AU"/>
        </w:rPr>
        <w:t>Strong</w:t>
      </w:r>
      <w:r w:rsidRPr="00EF4169">
        <w:rPr>
          <w:rFonts w:eastAsia="Times New Roman" w:cstheme="minorHAnsi"/>
          <w:color w:val="000000"/>
          <w:sz w:val="28"/>
          <w:szCs w:val="28"/>
          <w:lang w:eastAsia="en-AU"/>
        </w:rPr>
        <w:t xml:space="preserve"> learning Culture</w:t>
      </w:r>
    </w:p>
    <w:p w14:paraId="0F6BCBB6" w14:textId="77777777" w:rsidR="00563F7F" w:rsidRPr="00563F7F" w:rsidRDefault="00563F7F" w:rsidP="00563F7F">
      <w:pPr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 w:rsidRPr="00563F7F">
        <w:rPr>
          <w:rFonts w:ascii="Arial" w:eastAsia="Times New Roman" w:hAnsi="Arial" w:cs="Arial"/>
          <w:color w:val="1E4D78"/>
          <w:lang w:eastAsia="en-AU"/>
        </w:rPr>
        <w:t>Targets or measures</w:t>
      </w:r>
    </w:p>
    <w:p w14:paraId="3572B1B3" w14:textId="77777777" w:rsidR="00563F7F" w:rsidRPr="00563F7F" w:rsidRDefault="00563F7F" w:rsidP="00563F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By the end of 2020 we will achieve:</w:t>
      </w:r>
    </w:p>
    <w:p w14:paraId="0C17FCCB" w14:textId="77777777" w:rsidR="00563F7F" w:rsidRPr="00563F7F" w:rsidRDefault="00563F7F" w:rsidP="00563F7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Improved perception of students and staff in relation to school safety</w:t>
      </w:r>
    </w:p>
    <w:p w14:paraId="0F49A648" w14:textId="77777777" w:rsidR="00563F7F" w:rsidRPr="00563F7F" w:rsidRDefault="00563F7F" w:rsidP="00563F7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Improved use of digital technologies</w:t>
      </w:r>
    </w:p>
    <w:p w14:paraId="177CC3EB" w14:textId="77777777" w:rsidR="00563F7F" w:rsidRPr="00563F7F" w:rsidRDefault="00563F7F" w:rsidP="00563F7F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Increased attendance rates in students from years 7 -10</w:t>
      </w:r>
    </w:p>
    <w:p w14:paraId="22B06E55" w14:textId="2AEB4604" w:rsidR="00563F7F" w:rsidRDefault="00563F7F" w:rsidP="006E6C0C">
      <w:pPr>
        <w:numPr>
          <w:ilvl w:val="0"/>
          <w:numId w:val="19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Improved student engagement and challenge in learning</w:t>
      </w:r>
    </w:p>
    <w:p w14:paraId="1EE9D1B6" w14:textId="77777777" w:rsidR="006E6C0C" w:rsidRPr="006E6C0C" w:rsidRDefault="006E6C0C" w:rsidP="006E6C0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658580E1" w14:textId="467EA24C" w:rsidR="00563F7F" w:rsidRPr="00563F7F" w:rsidRDefault="00563F7F" w:rsidP="00563F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In 20</w:t>
      </w:r>
      <w:r w:rsidR="00D440E4">
        <w:rPr>
          <w:rFonts w:ascii="Calibri" w:eastAsia="Times New Roman" w:hAnsi="Calibri" w:cs="Calibri"/>
          <w:color w:val="000000"/>
          <w:lang w:eastAsia="en-AU"/>
        </w:rPr>
        <w:t>20</w:t>
      </w:r>
      <w:r w:rsidRPr="00563F7F">
        <w:rPr>
          <w:rFonts w:ascii="Calibri" w:eastAsia="Times New Roman" w:hAnsi="Calibri" w:cs="Calibri"/>
          <w:color w:val="000000"/>
          <w:lang w:eastAsia="en-AU"/>
        </w:rPr>
        <w:t xml:space="preserve"> we implemented this priority through the following strategies.</w:t>
      </w:r>
    </w:p>
    <w:p w14:paraId="4DAE14F3" w14:textId="77777777" w:rsidR="00563F7F" w:rsidRPr="00563F7F" w:rsidRDefault="00563F7F" w:rsidP="00563F7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Develop and implement a schoolwide educative approach to managing student behaviour</w:t>
      </w:r>
    </w:p>
    <w:p w14:paraId="2A66869F" w14:textId="77777777" w:rsidR="00563F7F" w:rsidRPr="00563F7F" w:rsidRDefault="00563F7F" w:rsidP="00563F7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Utilise digital technologies to enhance teaching and learning programs.</w:t>
      </w:r>
    </w:p>
    <w:p w14:paraId="3A473B28" w14:textId="77777777" w:rsidR="00563F7F" w:rsidRPr="00563F7F" w:rsidRDefault="00563F7F" w:rsidP="00563F7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Develop and Implement whole of school attendance monitoring and intervention processes</w:t>
      </w:r>
    </w:p>
    <w:p w14:paraId="59B54C9D" w14:textId="77777777" w:rsidR="00563F7F" w:rsidRPr="00563F7F" w:rsidRDefault="00563F7F" w:rsidP="00563F7F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en-AU"/>
        </w:rPr>
      </w:pPr>
      <w:r w:rsidRPr="00563F7F">
        <w:rPr>
          <w:rFonts w:ascii="Calibri" w:eastAsia="Times New Roman" w:hAnsi="Calibri" w:cs="Calibri"/>
          <w:color w:val="000000"/>
          <w:lang w:eastAsia="en-AU"/>
        </w:rPr>
        <w:t>Build a shared understanding of personalised learning to engage and challenge students</w:t>
      </w:r>
    </w:p>
    <w:p w14:paraId="1B491022" w14:textId="77777777" w:rsidR="00563F7F" w:rsidRPr="00563F7F" w:rsidRDefault="00563F7F" w:rsidP="005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CFCADCF" w14:textId="77777777" w:rsidR="00563F7F" w:rsidRPr="00563F7F" w:rsidRDefault="00563F7F" w:rsidP="0056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i/>
          <w:iCs/>
          <w:color w:val="000000"/>
          <w:lang w:eastAsia="en-AU"/>
        </w:rPr>
        <w:t>Below is our progress towards our five-year targets with an emphasis on the accumulation and analysis of evidence over the term of our plan.</w:t>
      </w:r>
    </w:p>
    <w:p w14:paraId="64A4C6A6" w14:textId="77777777" w:rsidR="00563F7F" w:rsidRPr="00563F7F" w:rsidRDefault="00563F7F" w:rsidP="00563F7F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i/>
          <w:iCs/>
          <w:color w:val="1F4E79"/>
          <w:lang w:eastAsia="en-AU"/>
        </w:rPr>
        <w:t>Perception Data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129"/>
        <w:gridCol w:w="673"/>
        <w:gridCol w:w="109"/>
        <w:gridCol w:w="591"/>
        <w:gridCol w:w="102"/>
        <w:gridCol w:w="460"/>
        <w:gridCol w:w="342"/>
        <w:gridCol w:w="803"/>
      </w:tblGrid>
      <w:tr w:rsidR="00CA7969" w:rsidRPr="00563F7F" w14:paraId="19B7E93C" w14:textId="77777777" w:rsidTr="004246B7">
        <w:trPr>
          <w:jc w:val="center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65B017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Targets or Measures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211767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Base</w:t>
            </w:r>
          </w:p>
        </w:tc>
        <w:tc>
          <w:tcPr>
            <w:tcW w:w="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8BBB56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1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39EA1E5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563F7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Year 2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B584E4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563F7F">
              <w:rPr>
                <w:rFonts w:eastAsia="Times New Roman" w:cstheme="minorHAnsi"/>
                <w:b/>
                <w:bCs/>
                <w:color w:val="000000"/>
                <w:lang w:eastAsia="en-AU"/>
              </w:rPr>
              <w:t>Year 3</w:t>
            </w:r>
          </w:p>
        </w:tc>
      </w:tr>
      <w:tr w:rsidR="00CA7969" w:rsidRPr="00563F7F" w14:paraId="730FBD26" w14:textId="77777777" w:rsidTr="004246B7">
        <w:trPr>
          <w:jc w:val="center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7B646F" w14:textId="6B166643" w:rsidR="00563F7F" w:rsidRPr="00563F7F" w:rsidRDefault="00563F7F" w:rsidP="00C24B02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reduce the gap in agreement between the school and ACT like school in the System Survey question “Student behaviour is well managed” from 2017 figures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ab/>
              <w:t>students (2017-5%) by 5 percentage point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ab/>
              <w:t>staff (2017-24%) by 10 percentage points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ab/>
              <w:t>parents (2017- 8%) by 3 percentage points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4BDB85" w14:textId="77777777" w:rsidR="004246B7" w:rsidRDefault="00563F7F" w:rsidP="004246B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5%</w:t>
            </w:r>
          </w:p>
          <w:p w14:paraId="143FD2C2" w14:textId="5E2749EC" w:rsidR="00563F7F" w:rsidRPr="00563F7F" w:rsidRDefault="00563F7F" w:rsidP="004246B7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24% 8% </w:t>
            </w:r>
          </w:p>
        </w:tc>
        <w:tc>
          <w:tcPr>
            <w:tcW w:w="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7F3E7A6" w14:textId="7A2F49F0" w:rsidR="00CA7969" w:rsidRDefault="00563F7F" w:rsidP="00CA7969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="00B4242C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% </w:t>
            </w:r>
          </w:p>
          <w:p w14:paraId="06461279" w14:textId="230A8B25" w:rsidR="00563F7F" w:rsidRPr="00563F7F" w:rsidRDefault="00563F7F" w:rsidP="00CA79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19% 2% 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EA49CE" w14:textId="77777777" w:rsidR="00563F7F" w:rsidRPr="00B4242C" w:rsidRDefault="00563F7F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045B4A9" w14:textId="77777777" w:rsidR="00B4242C" w:rsidRP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2814138" w14:textId="77777777" w:rsidR="00B4242C" w:rsidRP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6FA6F04" w14:textId="60C8CE75" w:rsidR="00B4242C" w:rsidRP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242C">
              <w:rPr>
                <w:rFonts w:eastAsia="Times New Roman" w:cstheme="minorHAnsi"/>
                <w:lang w:eastAsia="en-AU"/>
              </w:rPr>
              <w:t>6%</w:t>
            </w:r>
          </w:p>
          <w:p w14:paraId="18304B94" w14:textId="77777777" w:rsidR="00B4242C" w:rsidRP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0F94A0B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4242C">
              <w:rPr>
                <w:rFonts w:eastAsia="Times New Roman" w:cstheme="minorHAnsi"/>
                <w:lang w:eastAsia="en-AU"/>
              </w:rPr>
              <w:t>10%</w:t>
            </w:r>
          </w:p>
          <w:p w14:paraId="493F6008" w14:textId="250B2398" w:rsidR="00B4242C" w:rsidRPr="00563F7F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8%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EA94FE" w14:textId="77777777" w:rsidR="00563F7F" w:rsidRDefault="00563F7F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8173C2E" w14:textId="77777777" w:rsidR="00D440E4" w:rsidRDefault="00D440E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6C6C0FA" w14:textId="77777777" w:rsidR="00D440E4" w:rsidRDefault="00D440E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34A957A8" w14:textId="3B4CB90B" w:rsidR="00D440E4" w:rsidRDefault="009738DB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8%</w:t>
            </w:r>
          </w:p>
          <w:p w14:paraId="62386F05" w14:textId="77777777" w:rsidR="00D440E4" w:rsidRDefault="00D440E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888C270" w14:textId="77777777" w:rsidR="00D440E4" w:rsidRDefault="00D440E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7%</w:t>
            </w:r>
          </w:p>
          <w:p w14:paraId="1F53F5F7" w14:textId="3DBA3BB5" w:rsidR="00D60F64" w:rsidRPr="00563F7F" w:rsidRDefault="00D60F6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3%</w:t>
            </w:r>
          </w:p>
        </w:tc>
      </w:tr>
      <w:tr w:rsidR="00CA7969" w:rsidRPr="00563F7F" w14:paraId="54ACB927" w14:textId="77777777" w:rsidTr="004246B7">
        <w:trPr>
          <w:jc w:val="center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D85264" w14:textId="6598421A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 decrease in students reporting low levels of perceived support and safety in ASCSIMT in </w:t>
            </w:r>
          </w:p>
          <w:p w14:paraId="2EDD9C46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 decrease in students reporting disagreement of perceived safety and support</w:t>
            </w:r>
          </w:p>
          <w:p w14:paraId="06C0EA06" w14:textId="77777777" w:rsidR="00563F7F" w:rsidRPr="00563F7F" w:rsidRDefault="00563F7F" w:rsidP="00C24B02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years 7-10</w:t>
            </w:r>
          </w:p>
          <w:p w14:paraId="31DE8B52" w14:textId="77777777" w:rsidR="00563F7F" w:rsidRPr="00563F7F" w:rsidRDefault="00563F7F" w:rsidP="00C24B02">
            <w:pPr>
              <w:numPr>
                <w:ilvl w:val="0"/>
                <w:numId w:val="21"/>
              </w:numPr>
              <w:spacing w:after="20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years 4-6</w:t>
            </w:r>
          </w:p>
          <w:p w14:paraId="4193A9E5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 w:rsidRPr="00563F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new target to be implemented from 2018 due to changes to survey reporting)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E99F9D" w14:textId="6B4DEB6E" w:rsidR="00563F7F" w:rsidRPr="00563F7F" w:rsidRDefault="004246B7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9D39AE" w14:textId="77777777" w:rsidR="00563F7F" w:rsidRPr="00563F7F" w:rsidRDefault="00563F7F" w:rsidP="00C24B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4BBA946A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23%</w:t>
            </w:r>
          </w:p>
          <w:p w14:paraId="4FDC75EE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20%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32AA9C" w14:textId="77777777" w:rsidR="00563F7F" w:rsidRDefault="00563F7F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A354188" w14:textId="77777777" w:rsidR="00393836" w:rsidRDefault="00393836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2B585C5F" w14:textId="77777777" w:rsidR="00393836" w:rsidRDefault="00393836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1B2662B" w14:textId="77777777" w:rsidR="00393836" w:rsidRDefault="00393836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3944AAD" w14:textId="06518883" w:rsidR="00393836" w:rsidRDefault="00393836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0EEB3B4" w14:textId="6070B703" w:rsidR="00293630" w:rsidRDefault="00293630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C05808B" w14:textId="2F4BCFE9" w:rsidR="6E45D013" w:rsidRDefault="6E45D013" w:rsidP="6E45D013">
            <w:pPr>
              <w:spacing w:after="0" w:line="240" w:lineRule="auto"/>
            </w:pPr>
            <w:r w:rsidRPr="6E45D013">
              <w:rPr>
                <w:rFonts w:eastAsia="Times New Roman"/>
                <w:lang w:eastAsia="en-AU"/>
              </w:rPr>
              <w:t>27%</w:t>
            </w:r>
          </w:p>
          <w:p w14:paraId="2ADCF6B0" w14:textId="61A6A5C8" w:rsidR="00293630" w:rsidRDefault="6E45D013" w:rsidP="6E45D013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6E45D013">
              <w:rPr>
                <w:rFonts w:eastAsia="Times New Roman"/>
                <w:lang w:eastAsia="en-AU"/>
              </w:rPr>
              <w:t>17%</w:t>
            </w:r>
          </w:p>
          <w:p w14:paraId="097D7BF1" w14:textId="77777777" w:rsidR="00393836" w:rsidRDefault="00393836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7A519FB" w14:textId="2E087D08" w:rsidR="00393836" w:rsidRPr="00563F7F" w:rsidRDefault="00393836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B701BF8" w14:textId="77777777" w:rsidR="00563F7F" w:rsidRDefault="00563F7F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3FF81E83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24CA8B2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2102C5CB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36FDB70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6F75647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E0E2EF3" w14:textId="2F7B2E68" w:rsidR="004F6ECC" w:rsidRDefault="009738DB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32%</w:t>
            </w:r>
          </w:p>
          <w:p w14:paraId="73E288F3" w14:textId="6CD363EF" w:rsidR="004F6ECC" w:rsidRPr="00563F7F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27%</w:t>
            </w:r>
          </w:p>
        </w:tc>
      </w:tr>
      <w:tr w:rsidR="00CA7969" w:rsidRPr="00563F7F" w14:paraId="68B45E3A" w14:textId="77777777" w:rsidTr="004246B7">
        <w:trPr>
          <w:jc w:val="center"/>
        </w:trPr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6B5F6F" w14:textId="20117B16" w:rsidR="00563F7F" w:rsidRPr="00563F7F" w:rsidRDefault="6E45D013" w:rsidP="6E45D01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6E45D013">
              <w:rPr>
                <w:rFonts w:ascii="Calibri" w:eastAsia="Times New Roman" w:hAnsi="Calibri" w:cs="Calibri"/>
                <w:color w:val="000000" w:themeColor="text1"/>
                <w:lang w:eastAsia="en-AU"/>
              </w:rPr>
              <w:t>an increase in agreement in the System Survey question “At this school I have access to equipment such as computers, internet and digital cameras” from 2017 figures for years 5 and 6 students (2017-84.71%) by 5 percentage points</w:t>
            </w:r>
          </w:p>
          <w:p w14:paraId="0147F626" w14:textId="49670EA0" w:rsidR="00563F7F" w:rsidRPr="00563F7F" w:rsidRDefault="6E45D013" w:rsidP="6E45D013">
            <w:pPr>
              <w:spacing w:after="20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</w:pPr>
            <w:r w:rsidRPr="6E45D01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(this data is no longer available from 2019)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BAAF46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84.71%</w:t>
            </w:r>
          </w:p>
        </w:tc>
        <w:tc>
          <w:tcPr>
            <w:tcW w:w="8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E2F55C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86%</w:t>
            </w:r>
          </w:p>
        </w:tc>
        <w:tc>
          <w:tcPr>
            <w:tcW w:w="8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EBA310" w14:textId="264B8F44" w:rsidR="00563F7F" w:rsidRPr="00563F7F" w:rsidRDefault="6E45D013" w:rsidP="6E45D013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6E45D013">
              <w:rPr>
                <w:rFonts w:eastAsia="Times New Roman"/>
                <w:lang w:eastAsia="en-AU"/>
              </w:rPr>
              <w:t>n/a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DB7214" w14:textId="274DD159" w:rsidR="00563F7F" w:rsidRPr="00563F7F" w:rsidRDefault="004246B7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 </w:t>
            </w:r>
          </w:p>
        </w:tc>
      </w:tr>
      <w:tr w:rsidR="00CA7969" w:rsidRPr="00563F7F" w14:paraId="3C46DEDB" w14:textId="77777777" w:rsidTr="004246B7">
        <w:trPr>
          <w:trHeight w:val="2769"/>
          <w:jc w:val="center"/>
        </w:trPr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8FC5AA" w14:textId="047D529E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an increase in agreement in the System Survey question “The use of learning technologies is an integral part of learning and teaching” from 2017 figures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br/>
              <w:t>staff (2017-</w:t>
            </w:r>
            <w:r w:rsidR="004F6ECC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%) by </w:t>
            </w:r>
            <w:r w:rsidR="00D60F6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percentage points - Whole school</w:t>
            </w:r>
          </w:p>
          <w:p w14:paraId="289EE87F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(needs to be reviewed as Junior Site only data is not available)</w:t>
            </w:r>
          </w:p>
          <w:p w14:paraId="734A0C87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parents (2017- 71.15%) by 5 percentage points </w:t>
            </w:r>
          </w:p>
          <w:p w14:paraId="7ACF8050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7A8536" w14:textId="77777777" w:rsidR="00563F7F" w:rsidRPr="00563F7F" w:rsidRDefault="00563F7F" w:rsidP="00C24B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48551DBE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57%</w:t>
            </w:r>
          </w:p>
          <w:p w14:paraId="0462D38D" w14:textId="77777777" w:rsidR="00563F7F" w:rsidRPr="00563F7F" w:rsidRDefault="00563F7F" w:rsidP="00C24B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5E5A6D50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71.5%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E206C87" w14:textId="77777777" w:rsidR="00563F7F" w:rsidRPr="00563F7F" w:rsidRDefault="00563F7F" w:rsidP="00C24B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4CF06869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72%</w:t>
            </w:r>
          </w:p>
          <w:p w14:paraId="3DE2572A" w14:textId="77777777" w:rsidR="00563F7F" w:rsidRPr="00563F7F" w:rsidRDefault="00563F7F" w:rsidP="00C24B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2F36C9FD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85%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DEC9C9" w14:textId="77777777" w:rsidR="00563F7F" w:rsidRDefault="00563F7F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F300682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09CD1AB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2A727D5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92%</w:t>
            </w:r>
          </w:p>
          <w:p w14:paraId="0585872F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2C4BABE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76A6EE5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34CBD0E5" w14:textId="77777777" w:rsidR="00B4242C" w:rsidRDefault="00B4242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3EFBFAE" w14:textId="20EC5259" w:rsidR="00B4242C" w:rsidRPr="00563F7F" w:rsidRDefault="009A69D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83%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846EAD" w14:textId="77777777" w:rsidR="00563F7F" w:rsidRDefault="00563F7F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259C81B" w14:textId="77777777" w:rsidR="00D60F64" w:rsidRDefault="00D60F6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4E3F63F" w14:textId="77777777" w:rsidR="00D60F64" w:rsidRDefault="00D60F6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445EE9A" w14:textId="77777777" w:rsidR="00D60F64" w:rsidRDefault="00D60F64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84%</w:t>
            </w:r>
          </w:p>
          <w:p w14:paraId="6549BE23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BAA5129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9E4EA79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DC70344" w14:textId="77777777" w:rsidR="004F6ECC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F996F11" w14:textId="1919A6D4" w:rsidR="004F6ECC" w:rsidRPr="00563F7F" w:rsidRDefault="004F6EC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85%</w:t>
            </w:r>
          </w:p>
        </w:tc>
      </w:tr>
      <w:tr w:rsidR="00CA7969" w:rsidRPr="00563F7F" w14:paraId="41EE8D94" w14:textId="77777777" w:rsidTr="004246B7">
        <w:trPr>
          <w:jc w:val="center"/>
        </w:trPr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E03ED2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 decrease in students reporting low levels of behavioural engagement in ASCSIMT in years 7-10 (2017 - 6%) to 4%</w:t>
            </w:r>
          </w:p>
          <w:p w14:paraId="06D6A7CE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 decrease in students reporting disagreement of behavioural engagement</w:t>
            </w:r>
          </w:p>
          <w:p w14:paraId="73F02F13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 w:rsidRPr="00563F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new target to be implemented from 2018 due to changes to survey reporting)</w:t>
            </w: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4AD04E" w14:textId="77777777" w:rsidR="00563F7F" w:rsidRPr="00563F7F" w:rsidRDefault="00563F7F" w:rsidP="00C24B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31262976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6%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1167A4" w14:textId="77777777" w:rsidR="00563F7F" w:rsidRPr="00563F7F" w:rsidRDefault="00563F7F" w:rsidP="00C24B0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  <w:p w14:paraId="56C1B4E6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6%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43DD924" w14:textId="77777777" w:rsidR="00563F7F" w:rsidRDefault="00563F7F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5D8C103A" w14:textId="77777777" w:rsidR="009A69DC" w:rsidRDefault="009A69D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2834911" w14:textId="77777777" w:rsidR="009A69DC" w:rsidRDefault="009A69D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045CFD7" w14:textId="0BCD44A0" w:rsidR="009A69DC" w:rsidRPr="00563F7F" w:rsidRDefault="009A69D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8%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09C54E" w14:textId="77777777" w:rsidR="00D97AA7" w:rsidRDefault="00D97AA7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AEBC1BC" w14:textId="77777777" w:rsidR="00D97AA7" w:rsidRDefault="00D97AA7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27176F86" w14:textId="77777777" w:rsidR="00D97AA7" w:rsidRDefault="00D97AA7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714367B5" w14:textId="41745616" w:rsidR="00B33DA5" w:rsidRPr="00563F7F" w:rsidRDefault="00D97AA7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22%</w:t>
            </w:r>
          </w:p>
        </w:tc>
      </w:tr>
      <w:tr w:rsidR="00CA7969" w:rsidRPr="00563F7F" w14:paraId="201B2B17" w14:textId="77777777" w:rsidTr="00D97AA7">
        <w:trPr>
          <w:jc w:val="center"/>
        </w:trPr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7BA464C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an increase in students reporting excellent levels of emotional engagement in ASCSIMT in year 7-10 (2017 - 18.2%) to 22%</w:t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br/>
            </w:r>
          </w:p>
          <w:p w14:paraId="4027C227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an increase in students reporting agreement in levels of emotional engagement</w:t>
            </w:r>
          </w:p>
          <w:p w14:paraId="5050256A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(</w:t>
            </w:r>
            <w:r w:rsidRPr="00563F7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new target to be implemented from 2018 due to changes to survey reporting)</w:t>
            </w:r>
          </w:p>
        </w:tc>
        <w:tc>
          <w:tcPr>
            <w:tcW w:w="7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DB825C8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18.2%</w:t>
            </w:r>
          </w:p>
        </w:tc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C8E2E12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39%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8A15CC" w14:textId="08E9B5B1" w:rsidR="00563F7F" w:rsidRPr="00563F7F" w:rsidRDefault="009A69DC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3377C3">
              <w:rPr>
                <w:rFonts w:eastAsia="Times New Roman" w:cstheme="minorHAnsi"/>
                <w:lang w:eastAsia="en-AU"/>
              </w:rPr>
              <w:t>42%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7301DC" w14:textId="18A825D9" w:rsidR="00563F7F" w:rsidRPr="00563F7F" w:rsidRDefault="00D97AA7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50.19%</w:t>
            </w:r>
          </w:p>
        </w:tc>
      </w:tr>
    </w:tbl>
    <w:p w14:paraId="4D50E6D9" w14:textId="77777777" w:rsidR="00563F7F" w:rsidRPr="00563F7F" w:rsidRDefault="00563F7F" w:rsidP="00563F7F">
      <w:pPr>
        <w:spacing w:before="2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563F7F">
        <w:rPr>
          <w:rFonts w:ascii="Calibri" w:eastAsia="Times New Roman" w:hAnsi="Calibri" w:cs="Calibri"/>
          <w:i/>
          <w:iCs/>
          <w:color w:val="1F4E79"/>
          <w:lang w:eastAsia="en-AU"/>
        </w:rPr>
        <w:t>School program and process data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837"/>
        <w:gridCol w:w="838"/>
        <w:gridCol w:w="838"/>
        <w:gridCol w:w="838"/>
      </w:tblGrid>
      <w:tr w:rsidR="00563F7F" w:rsidRPr="00563F7F" w14:paraId="1E19172C" w14:textId="77777777" w:rsidTr="00C12759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B4F656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Targets or Measures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05B2379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Base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36CB7D2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D4A51D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CF41B9" w14:textId="77777777" w:rsidR="00563F7F" w:rsidRPr="00563F7F" w:rsidRDefault="00563F7F" w:rsidP="00C2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Year 3</w:t>
            </w:r>
          </w:p>
        </w:tc>
      </w:tr>
      <w:tr w:rsidR="00563F7F" w:rsidRPr="00563F7F" w14:paraId="200C73F1" w14:textId="77777777" w:rsidTr="00C12759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39AB8F8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an increase in attendance rates in years 7-10 to be above 90% each term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B6CE99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D208883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T1: 89</w:t>
            </w:r>
          </w:p>
          <w:p w14:paraId="64220DFC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T2: 87</w:t>
            </w:r>
          </w:p>
          <w:p w14:paraId="097F7B41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T3: 87</w:t>
            </w:r>
          </w:p>
          <w:p w14:paraId="7AA82601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T4: 88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60DAE3" w14:textId="77777777" w:rsidR="00563F7F" w:rsidRDefault="00DB7893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DB7893">
              <w:rPr>
                <w:rFonts w:eastAsia="Times New Roman" w:cstheme="minorHAnsi"/>
                <w:lang w:eastAsia="en-AU"/>
              </w:rPr>
              <w:t>T1</w:t>
            </w:r>
            <w:r>
              <w:rPr>
                <w:rFonts w:eastAsia="Times New Roman" w:cstheme="minorHAnsi"/>
                <w:lang w:eastAsia="en-AU"/>
              </w:rPr>
              <w:t>: 89</w:t>
            </w:r>
          </w:p>
          <w:p w14:paraId="7834155D" w14:textId="77777777" w:rsidR="00987BFA" w:rsidRDefault="00987BFA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T2: 87</w:t>
            </w:r>
          </w:p>
          <w:p w14:paraId="227AF080" w14:textId="77777777" w:rsidR="00987BFA" w:rsidRDefault="00987BFA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T3: 87</w:t>
            </w:r>
          </w:p>
          <w:p w14:paraId="1FC6F9D0" w14:textId="011F60F9" w:rsidR="00987BFA" w:rsidRPr="00DB7893" w:rsidRDefault="6E45D013" w:rsidP="6E45D013">
            <w:pPr>
              <w:spacing w:after="0" w:line="240" w:lineRule="auto"/>
              <w:rPr>
                <w:rFonts w:eastAsia="Times New Roman"/>
                <w:lang w:eastAsia="en-AU"/>
              </w:rPr>
            </w:pPr>
            <w:r w:rsidRPr="6E45D013">
              <w:rPr>
                <w:rFonts w:eastAsia="Times New Roman"/>
                <w:lang w:eastAsia="en-AU"/>
              </w:rPr>
              <w:t>T4: 85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8A41343" w14:textId="77777777" w:rsidR="00563F7F" w:rsidRDefault="007E756E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7E756E">
              <w:rPr>
                <w:rFonts w:eastAsia="Times New Roman" w:cstheme="minorHAnsi"/>
                <w:lang w:eastAsia="en-AU"/>
              </w:rPr>
              <w:t>T1</w:t>
            </w:r>
            <w:r>
              <w:rPr>
                <w:rFonts w:eastAsia="Times New Roman" w:cstheme="minorHAnsi"/>
                <w:lang w:eastAsia="en-AU"/>
              </w:rPr>
              <w:t>: 84</w:t>
            </w:r>
          </w:p>
          <w:p w14:paraId="4CB25AB9" w14:textId="023F56BB" w:rsidR="007E756E" w:rsidRDefault="007E756E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T2: </w:t>
            </w:r>
            <w:r w:rsidR="003C3869">
              <w:rPr>
                <w:rFonts w:eastAsia="Times New Roman" w:cstheme="minorHAnsi"/>
                <w:lang w:eastAsia="en-AU"/>
              </w:rPr>
              <w:t>88</w:t>
            </w:r>
          </w:p>
          <w:p w14:paraId="0207DA3F" w14:textId="13E9C50C" w:rsidR="007E756E" w:rsidRDefault="007E756E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T3:</w:t>
            </w:r>
            <w:r w:rsidR="003C3869">
              <w:rPr>
                <w:rFonts w:eastAsia="Times New Roman" w:cstheme="minorHAnsi"/>
                <w:lang w:eastAsia="en-AU"/>
              </w:rPr>
              <w:t xml:space="preserve"> 87</w:t>
            </w:r>
          </w:p>
          <w:p w14:paraId="2F6A675F" w14:textId="4A4D7328" w:rsidR="007E756E" w:rsidRPr="007E756E" w:rsidRDefault="007E756E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T4: </w:t>
            </w:r>
            <w:r w:rsidR="003C3869">
              <w:rPr>
                <w:rFonts w:eastAsia="Times New Roman" w:cstheme="minorHAnsi"/>
                <w:lang w:eastAsia="en-AU"/>
              </w:rPr>
              <w:t>85</w:t>
            </w:r>
          </w:p>
        </w:tc>
      </w:tr>
      <w:tr w:rsidR="00563F7F" w:rsidRPr="00563F7F" w14:paraId="71EE866C" w14:textId="77777777" w:rsidTr="00C12759">
        <w:trPr>
          <w:jc w:val="center"/>
        </w:trPr>
        <w:tc>
          <w:tcPr>
            <w:tcW w:w="5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C8A285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an increase in attendance rates of Aboriginal and Torres Strait Islanders students in years 7-9 by 5% points each term compared to 2017 term percentages</w:t>
            </w:r>
          </w:p>
          <w:p w14:paraId="640F841B" w14:textId="77777777" w:rsidR="00563F7F" w:rsidRPr="00563F7F" w:rsidRDefault="00563F7F" w:rsidP="00C24B0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63F7F">
              <w:rPr>
                <w:rFonts w:ascii="Calibri" w:eastAsia="Times New Roman" w:hAnsi="Calibri" w:cs="Calibri"/>
                <w:color w:val="000000"/>
                <w:lang w:eastAsia="en-AU"/>
              </w:rPr>
              <w:t>(under review due to access to data)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4BFE10" w14:textId="77777777" w:rsidR="00563F7F" w:rsidRPr="00563F7F" w:rsidRDefault="00563F7F" w:rsidP="00C24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5E881F" w14:textId="7566D11B" w:rsidR="00563F7F" w:rsidRPr="00921BF0" w:rsidRDefault="00C12759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61.69%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990512" w14:textId="775EFDDE" w:rsidR="00563F7F" w:rsidRPr="00921BF0" w:rsidRDefault="00C12759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63.92%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646E76" w14:textId="653EFEEE" w:rsidR="00563F7F" w:rsidRPr="00921BF0" w:rsidRDefault="00921BF0" w:rsidP="00C24B0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57.55</w:t>
            </w:r>
            <w:r w:rsidRPr="00921BF0">
              <w:rPr>
                <w:rFonts w:eastAsia="Times New Roman" w:cstheme="minorHAnsi"/>
                <w:lang w:eastAsia="en-AU"/>
              </w:rPr>
              <w:t>%</w:t>
            </w:r>
          </w:p>
        </w:tc>
      </w:tr>
    </w:tbl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18C6F7FD" w14:textId="77777777" w:rsidR="0002222F" w:rsidRDefault="0002222F" w:rsidP="001219D9">
            <w:pPr>
              <w:pStyle w:val="PlainText"/>
            </w:pPr>
          </w:p>
          <w:p w14:paraId="6AB6FA57" w14:textId="1043BD3F" w:rsidR="0002222F" w:rsidRDefault="00E80C00" w:rsidP="001219D9">
            <w:pPr>
              <w:pStyle w:val="PlainText"/>
              <w:numPr>
                <w:ilvl w:val="0"/>
                <w:numId w:val="25"/>
              </w:numPr>
            </w:pPr>
            <w:r>
              <w:t>Attendance</w:t>
            </w:r>
            <w:r w:rsidR="0002222F">
              <w:t xml:space="preserve"> data </w:t>
            </w:r>
            <w:r w:rsidR="00B33DA5">
              <w:t>has had significant interruptions due to COVID</w:t>
            </w:r>
          </w:p>
          <w:p w14:paraId="2D17844E" w14:textId="5B8B714D" w:rsidR="001219D9" w:rsidRDefault="001219D9" w:rsidP="001219D9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lang w:eastAsia="en-AU"/>
              </w:rPr>
            </w:pPr>
            <w:r w:rsidRPr="001219D9">
              <w:rPr>
                <w:rFonts w:eastAsia="Times New Roman" w:cstheme="minorHAnsi"/>
                <w:lang w:eastAsia="en-AU"/>
              </w:rPr>
              <w:t xml:space="preserve">The school has met its target for increased access to technology, and this is now seen as an integral part of teaching and learning. </w:t>
            </w:r>
            <w:r w:rsidR="00B33DA5">
              <w:rPr>
                <w:rFonts w:eastAsia="Times New Roman" w:cstheme="minorHAnsi"/>
                <w:lang w:eastAsia="en-AU"/>
              </w:rPr>
              <w:t xml:space="preserve">Whilst 2020 heavily relied on the use of </w:t>
            </w:r>
            <w:r w:rsidR="00B33DA5">
              <w:rPr>
                <w:rFonts w:eastAsia="Times New Roman" w:cstheme="minorHAnsi"/>
                <w:lang w:eastAsia="en-AU"/>
              </w:rPr>
              <w:lastRenderedPageBreak/>
              <w:t>technology for learning, it became apparent the need to balance technology with other forms of teaching methodologies which may be a contributing factor to the small decline in the data from staff.</w:t>
            </w:r>
          </w:p>
          <w:p w14:paraId="2084694B" w14:textId="552F7E84" w:rsidR="005B7453" w:rsidRPr="005B7453" w:rsidRDefault="00CB6AEB" w:rsidP="005B7453">
            <w:pPr>
              <w:pStyle w:val="ListParagraph"/>
              <w:numPr>
                <w:ilvl w:val="0"/>
                <w:numId w:val="25"/>
              </w:numPr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There is increased satisfaction for</w:t>
            </w:r>
            <w:r w:rsidR="00987742">
              <w:rPr>
                <w:rFonts w:eastAsia="Times New Roman" w:cstheme="minorHAnsi"/>
                <w:lang w:eastAsia="en-AU"/>
              </w:rPr>
              <w:t xml:space="preserve"> </w:t>
            </w:r>
            <w:r>
              <w:rPr>
                <w:rFonts w:eastAsia="Times New Roman" w:cstheme="minorHAnsi"/>
                <w:lang w:eastAsia="en-AU"/>
              </w:rPr>
              <w:t>staff</w:t>
            </w:r>
            <w:r w:rsidR="005B7453">
              <w:rPr>
                <w:rFonts w:eastAsia="Times New Roman" w:cstheme="minorHAnsi"/>
                <w:lang w:eastAsia="en-AU"/>
              </w:rPr>
              <w:t xml:space="preserve"> and parents</w:t>
            </w:r>
            <w:r>
              <w:rPr>
                <w:rFonts w:eastAsia="Times New Roman" w:cstheme="minorHAnsi"/>
                <w:lang w:eastAsia="en-AU"/>
              </w:rPr>
              <w:t xml:space="preserve"> </w:t>
            </w:r>
            <w:r w:rsidR="00987742">
              <w:rPr>
                <w:rFonts w:eastAsia="Times New Roman" w:cstheme="minorHAnsi"/>
                <w:lang w:eastAsia="en-AU"/>
              </w:rPr>
              <w:t xml:space="preserve">in managing student behaviour. </w:t>
            </w:r>
            <w:r w:rsidR="005B7453">
              <w:rPr>
                <w:rFonts w:eastAsia="Times New Roman" w:cstheme="minorHAnsi"/>
                <w:lang w:eastAsia="en-AU"/>
              </w:rPr>
              <w:t xml:space="preserve">Student data is still suggesting a dissatisfaction in relation to our Junior Site in particular. </w:t>
            </w:r>
          </w:p>
          <w:p w14:paraId="4335BD2B" w14:textId="77777777" w:rsidR="00BC52F0" w:rsidRPr="005B7453" w:rsidRDefault="00BC52F0" w:rsidP="005B7453">
            <w:pPr>
              <w:pStyle w:val="ListParagraph"/>
              <w:numPr>
                <w:ilvl w:val="0"/>
                <w:numId w:val="25"/>
              </w:numPr>
            </w:pPr>
            <w:r w:rsidRPr="005B7453">
              <w:rPr>
                <w:rFonts w:eastAsia="Times New Roman" w:cstheme="minorHAnsi"/>
                <w:lang w:eastAsia="en-AU"/>
              </w:rPr>
              <w:t xml:space="preserve">Internal Positive Behaviours for Learning data indicates increased satisfaction of staff and students </w:t>
            </w:r>
          </w:p>
          <w:p w14:paraId="17DDC188" w14:textId="039A5A56" w:rsidR="005B7453" w:rsidRDefault="005B7453" w:rsidP="005B7453">
            <w:pPr>
              <w:pStyle w:val="ListParagraph"/>
              <w:numPr>
                <w:ilvl w:val="0"/>
                <w:numId w:val="25"/>
              </w:numPr>
            </w:pPr>
            <w:r>
              <w:t>Due to technological interruptions during the annual survey period, some data points do not have reliable information and therefore can not be included in analysing trend patterns.</w:t>
            </w:r>
          </w:p>
        </w:tc>
      </w:tr>
    </w:tbl>
    <w:p w14:paraId="7A877F34" w14:textId="54DB2145" w:rsidR="005611F4" w:rsidRPr="005611F4" w:rsidRDefault="582DC1E0" w:rsidP="582DC1E0">
      <w:pPr>
        <w:pStyle w:val="Heading3"/>
      </w:pPr>
      <w:r>
        <w:lastRenderedPageBreak/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2AEE622D" w14:textId="77777777" w:rsidTr="00C24B02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696E21EA" w14:textId="55DAE86C" w:rsidR="00CA26FB" w:rsidRPr="00D96DEF" w:rsidRDefault="005B7453" w:rsidP="001219D9">
            <w:pPr>
              <w:pStyle w:val="ListBullet"/>
              <w:numPr>
                <w:ilvl w:val="0"/>
                <w:numId w:val="26"/>
              </w:numPr>
            </w:pPr>
            <w:r>
              <w:rPr>
                <w:rFonts w:eastAsia="Times New Roman" w:cstheme="minorHAnsi"/>
                <w:lang w:eastAsia="en-AU"/>
              </w:rPr>
              <w:t xml:space="preserve">Technology was heavily relied on in 2020 during the shift to remote learning. </w:t>
            </w:r>
            <w:r w:rsidR="00282638">
              <w:rPr>
                <w:rFonts w:eastAsia="Times New Roman" w:cstheme="minorHAnsi"/>
                <w:lang w:eastAsia="en-AU"/>
              </w:rPr>
              <w:t>Students</w:t>
            </w:r>
            <w:r>
              <w:rPr>
                <w:rFonts w:eastAsia="Times New Roman" w:cstheme="minorHAnsi"/>
                <w:lang w:eastAsia="en-AU"/>
              </w:rPr>
              <w:t xml:space="preserve"> were able to continue </w:t>
            </w:r>
            <w:r w:rsidR="00282638">
              <w:rPr>
                <w:rFonts w:eastAsia="Times New Roman" w:cstheme="minorHAnsi"/>
                <w:lang w:eastAsia="en-AU"/>
              </w:rPr>
              <w:t>learning</w:t>
            </w:r>
            <w:r>
              <w:rPr>
                <w:rFonts w:eastAsia="Times New Roman" w:cstheme="minorHAnsi"/>
                <w:lang w:eastAsia="en-AU"/>
              </w:rPr>
              <w:t xml:space="preserve"> in this </w:t>
            </w:r>
            <w:r w:rsidR="00282638">
              <w:rPr>
                <w:rFonts w:eastAsia="Times New Roman" w:cstheme="minorHAnsi"/>
                <w:lang w:eastAsia="en-AU"/>
              </w:rPr>
              <w:t>environment</w:t>
            </w:r>
            <w:r>
              <w:rPr>
                <w:rFonts w:eastAsia="Times New Roman" w:cstheme="minorHAnsi"/>
                <w:lang w:eastAsia="en-AU"/>
              </w:rPr>
              <w:t xml:space="preserve">. Of note, staff realised a need to ensure students balanced learning aided by technology with more collaborative approaches t ensure student well-being. This was supported by students </w:t>
            </w:r>
            <w:r w:rsidR="00282638">
              <w:rPr>
                <w:rFonts w:eastAsia="Times New Roman" w:cstheme="minorHAnsi"/>
                <w:lang w:eastAsia="en-AU"/>
              </w:rPr>
              <w:t xml:space="preserve">through the Student Advisory Board. </w:t>
            </w:r>
          </w:p>
          <w:p w14:paraId="0BDD5599" w14:textId="77323BA4" w:rsidR="00D96DEF" w:rsidRDefault="00D96DEF" w:rsidP="001219D9">
            <w:pPr>
              <w:pStyle w:val="ListBullet"/>
              <w:numPr>
                <w:ilvl w:val="0"/>
                <w:numId w:val="26"/>
              </w:numPr>
            </w:pPr>
            <w:r>
              <w:t xml:space="preserve">Gold Creek School </w:t>
            </w:r>
            <w:r w:rsidR="00BC52F0">
              <w:t xml:space="preserve">has seen </w:t>
            </w:r>
            <w:r w:rsidR="00161433">
              <w:t>improvements</w:t>
            </w:r>
            <w:r w:rsidR="00BC52F0">
              <w:t xml:space="preserve"> in its internal data sets for </w:t>
            </w:r>
            <w:r w:rsidR="00161433">
              <w:t>implementation of Positive Behaviours for Learning. The framework has good support from our community</w:t>
            </w:r>
            <w:r w:rsidR="00282638">
              <w:t>. However, whilst the framework has supported a shared understanding, the school does continue to look at ways to increase engagement of vulnerable students and understanding of inclusive practices in a mainstream school setting.</w:t>
            </w:r>
          </w:p>
          <w:p w14:paraId="11F36BF9" w14:textId="642025E2" w:rsidR="00161433" w:rsidRDefault="00FF107B" w:rsidP="001219D9">
            <w:pPr>
              <w:pStyle w:val="ListBullet"/>
              <w:numPr>
                <w:ilvl w:val="0"/>
                <w:numId w:val="26"/>
              </w:numPr>
            </w:pPr>
            <w:r>
              <w:t>The school has implemented a</w:t>
            </w:r>
            <w:r w:rsidR="00306101">
              <w:t>n</w:t>
            </w:r>
            <w:r>
              <w:t xml:space="preserve"> attendance </w:t>
            </w:r>
            <w:r w:rsidR="00306101">
              <w:t>monitoring</w:t>
            </w:r>
            <w:r>
              <w:t xml:space="preserve"> procedure and internal data indicates that </w:t>
            </w:r>
            <w:r w:rsidR="00306101">
              <w:t>absences</w:t>
            </w:r>
            <w:r w:rsidR="0014185E">
              <w:t xml:space="preserve"> are mostly now accounted for and follow up </w:t>
            </w:r>
            <w:r w:rsidR="00306101">
              <w:t>procedures</w:t>
            </w:r>
            <w:r w:rsidR="0014185E">
              <w:t xml:space="preserve"> have been adhered to.</w:t>
            </w:r>
            <w:r w:rsidR="00306101">
              <w:t xml:space="preserve"> An administration assistant supports the monitoring of absence including truancy together with the Pastoral care teacher and Year coordinator.</w:t>
            </w:r>
          </w:p>
          <w:p w14:paraId="4F19C6D9" w14:textId="6DC84864" w:rsidR="00937D6F" w:rsidRPr="00CA26FB" w:rsidRDefault="00937D6F" w:rsidP="00306101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</w:tbl>
    <w:p w14:paraId="50DBDD88" w14:textId="42C23B2F" w:rsidR="005611F4" w:rsidRPr="005611F4" w:rsidRDefault="582DC1E0" w:rsidP="582DC1E0">
      <w:pPr>
        <w:pStyle w:val="Heading3"/>
      </w:pPr>
      <w:r>
        <w:t>Challenges we will address in our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582DC1E0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4A98072C" w14:textId="46FF451E" w:rsidR="00937D6F" w:rsidRDefault="00BC57B0" w:rsidP="00BC62B7">
            <w:pPr>
              <w:pStyle w:val="ListBullet2"/>
              <w:numPr>
                <w:ilvl w:val="0"/>
                <w:numId w:val="27"/>
              </w:numPr>
              <w:ind w:left="731" w:hanging="425"/>
            </w:pPr>
            <w:r>
              <w:t xml:space="preserve">The school will need to continue to </w:t>
            </w:r>
            <w:r w:rsidR="00F268DC">
              <w:t>work with students on the management of behaviour.</w:t>
            </w:r>
            <w:r w:rsidR="00571B93">
              <w:t xml:space="preserve"> </w:t>
            </w:r>
          </w:p>
          <w:p w14:paraId="05C78B34" w14:textId="07B7CF55" w:rsidR="00B04888" w:rsidRDefault="00F268DC" w:rsidP="00BC62B7">
            <w:pPr>
              <w:pStyle w:val="ListBullet2"/>
              <w:numPr>
                <w:ilvl w:val="0"/>
                <w:numId w:val="27"/>
              </w:numPr>
              <w:ind w:left="731" w:hanging="425"/>
            </w:pPr>
            <w:r>
              <w:t xml:space="preserve">A continued focus on attendance procedures need to be implemented. </w:t>
            </w:r>
            <w:r w:rsidR="00B04888">
              <w:t xml:space="preserve">The school will need to </w:t>
            </w:r>
            <w:r w:rsidR="003C486E">
              <w:t>continue</w:t>
            </w:r>
            <w:r w:rsidR="00B04888">
              <w:t xml:space="preserve"> to work with the education </w:t>
            </w:r>
            <w:r w:rsidR="003C486E">
              <w:t>Directorate</w:t>
            </w:r>
            <w:r w:rsidR="00B04888">
              <w:t xml:space="preserve"> to </w:t>
            </w:r>
            <w:r w:rsidR="003C486E">
              <w:t>split data between campuses to ensure actions and strategies are targeted and improve student outcomes.</w:t>
            </w:r>
          </w:p>
          <w:p w14:paraId="719D792F" w14:textId="2493A83D" w:rsidR="003C486E" w:rsidRDefault="00F268DC" w:rsidP="00BC62B7">
            <w:pPr>
              <w:pStyle w:val="ListBullet2"/>
              <w:numPr>
                <w:ilvl w:val="0"/>
                <w:numId w:val="27"/>
              </w:numPr>
              <w:ind w:left="731" w:hanging="425"/>
            </w:pPr>
            <w:r>
              <w:t>A renewed focus on balancing the use of technology with other methods of teaching to support a balance for students in their well-being.</w:t>
            </w:r>
          </w:p>
          <w:p w14:paraId="4D0D0527" w14:textId="08F9E6AE" w:rsidR="00F268DC" w:rsidRDefault="00F268DC" w:rsidP="00BC62B7">
            <w:pPr>
              <w:pStyle w:val="ListBullet2"/>
              <w:numPr>
                <w:ilvl w:val="0"/>
                <w:numId w:val="27"/>
              </w:numPr>
              <w:ind w:left="731" w:hanging="425"/>
            </w:pPr>
            <w:r>
              <w:t xml:space="preserve">Further development of students self-management </w:t>
            </w:r>
            <w:r w:rsidR="00C00149">
              <w:t>for learning engagement and behaviour will be an area of interest as we move forward in new ways of learning following the interruptions of 2020</w:t>
            </w:r>
          </w:p>
        </w:tc>
      </w:tr>
    </w:tbl>
    <w:p w14:paraId="7130D220" w14:textId="353272D5" w:rsidR="582DC1E0" w:rsidRDefault="582DC1E0" w:rsidP="582DC1E0">
      <w:pPr>
        <w:pStyle w:val="Heading2"/>
        <w:ind w:left="0" w:firstLine="0"/>
      </w:pPr>
    </w:p>
    <w:p w14:paraId="05A9A145" w14:textId="77777777" w:rsidR="00271528" w:rsidRPr="00557F65" w:rsidRDefault="00271528" w:rsidP="00242D70">
      <w:pPr>
        <w:pStyle w:val="Heading2"/>
        <w:ind w:left="0" w:firstLine="0"/>
      </w:pPr>
      <w:r>
        <w:t>Reporting on preschool improvement</w:t>
      </w:r>
    </w:p>
    <w:p w14:paraId="579C7EB3" w14:textId="77777777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30CC8EA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29B5806E" w14:textId="730CE096" w:rsidR="00271528" w:rsidRDefault="006B7ED8" w:rsidP="006B7ED8">
            <w:pPr>
              <w:pStyle w:val="ListBullet2"/>
              <w:numPr>
                <w:ilvl w:val="0"/>
                <w:numId w:val="0"/>
              </w:numPr>
              <w:ind w:left="714" w:hanging="357"/>
            </w:pPr>
            <w:r>
              <w:t>Please request a copy of the Gold Creek School QIP.</w:t>
            </w:r>
          </w:p>
        </w:tc>
      </w:tr>
    </w:tbl>
    <w:p w14:paraId="0C848164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C77B0A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83A37" w14:textId="77777777" w:rsidR="00C24B02" w:rsidRDefault="00C24B02" w:rsidP="00CA0BAD">
      <w:pPr>
        <w:spacing w:after="0" w:line="240" w:lineRule="auto"/>
      </w:pPr>
      <w:r>
        <w:separator/>
      </w:r>
    </w:p>
  </w:endnote>
  <w:endnote w:type="continuationSeparator" w:id="0">
    <w:p w14:paraId="70A267FA" w14:textId="77777777" w:rsidR="00C24B02" w:rsidRDefault="00C24B02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6E0C5483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saved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3A5EF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15 March 2021</w:t>
            </w:r>
            <w:r w:rsidR="00F536D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0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0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5734" w14:textId="77777777" w:rsidR="00C24B02" w:rsidRDefault="00C24B02" w:rsidP="00CA0BAD">
      <w:pPr>
        <w:spacing w:after="0" w:line="240" w:lineRule="auto"/>
      </w:pPr>
      <w:r>
        <w:separator/>
      </w:r>
    </w:p>
  </w:footnote>
  <w:footnote w:type="continuationSeparator" w:id="0">
    <w:p w14:paraId="40D59FA6" w14:textId="77777777" w:rsidR="00C24B02" w:rsidRDefault="00C24B02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128F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34A" w14:textId="77777777" w:rsidR="00377F0F" w:rsidRDefault="00377F0F" w:rsidP="00377F0F">
    <w:pPr>
      <w:pStyle w:val="Header"/>
      <w:jc w:val="right"/>
    </w:pPr>
    <w:r>
      <w:rPr>
        <w:noProof/>
      </w:rPr>
      <w:drawing>
        <wp:inline distT="0" distB="0" distL="0" distR="0" wp14:anchorId="5D774DB1" wp14:editId="5CC17CD4">
          <wp:extent cx="1375410" cy="694690"/>
          <wp:effectExtent l="0" t="0" r="0" b="0"/>
          <wp:docPr id="1254590274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1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701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0D2543"/>
    <w:multiLevelType w:val="hybridMultilevel"/>
    <w:tmpl w:val="83DAB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6490"/>
    <w:multiLevelType w:val="hybridMultilevel"/>
    <w:tmpl w:val="4BCC3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C41C2"/>
    <w:multiLevelType w:val="hybridMultilevel"/>
    <w:tmpl w:val="9B8856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EC0F1B"/>
    <w:multiLevelType w:val="multilevel"/>
    <w:tmpl w:val="49DC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CE080E"/>
    <w:multiLevelType w:val="multilevel"/>
    <w:tmpl w:val="579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1714E"/>
    <w:multiLevelType w:val="multilevel"/>
    <w:tmpl w:val="2126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87720"/>
    <w:multiLevelType w:val="hybridMultilevel"/>
    <w:tmpl w:val="258E4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47CAE"/>
    <w:multiLevelType w:val="hybridMultilevel"/>
    <w:tmpl w:val="EFDA3A2C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31430A15"/>
    <w:multiLevelType w:val="hybridMultilevel"/>
    <w:tmpl w:val="CDAA7BA0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6A6BB66">
      <w:start w:val="1"/>
      <w:numFmt w:val="bullet"/>
      <w:pStyle w:val="ListBullet2"/>
      <w:lvlText w:val="&gt;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95A63DE"/>
    <w:multiLevelType w:val="multilevel"/>
    <w:tmpl w:val="0232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4F3189"/>
    <w:multiLevelType w:val="hybridMultilevel"/>
    <w:tmpl w:val="521C8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95C1A"/>
    <w:multiLevelType w:val="multilevel"/>
    <w:tmpl w:val="1CD6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129D8"/>
    <w:multiLevelType w:val="hybridMultilevel"/>
    <w:tmpl w:val="F49EF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3"/>
  </w:num>
  <w:num w:numId="4">
    <w:abstractNumId w:val="21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6"/>
  </w:num>
  <w:num w:numId="18">
    <w:abstractNumId w:val="14"/>
  </w:num>
  <w:num w:numId="19">
    <w:abstractNumId w:val="15"/>
  </w:num>
  <w:num w:numId="20">
    <w:abstractNumId w:val="16"/>
  </w:num>
  <w:num w:numId="21">
    <w:abstractNumId w:val="24"/>
  </w:num>
  <w:num w:numId="22">
    <w:abstractNumId w:val="25"/>
  </w:num>
  <w:num w:numId="23">
    <w:abstractNumId w:val="13"/>
  </w:num>
  <w:num w:numId="24">
    <w:abstractNumId w:val="11"/>
  </w:num>
  <w:num w:numId="25">
    <w:abstractNumId w:val="18"/>
  </w:num>
  <w:num w:numId="26">
    <w:abstractNumId w:val="27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01ED"/>
    <w:rsid w:val="00013C8F"/>
    <w:rsid w:val="0002222F"/>
    <w:rsid w:val="00057DAD"/>
    <w:rsid w:val="000779F8"/>
    <w:rsid w:val="00093A5C"/>
    <w:rsid w:val="000B6408"/>
    <w:rsid w:val="000F1A3F"/>
    <w:rsid w:val="000F7E7C"/>
    <w:rsid w:val="001012B9"/>
    <w:rsid w:val="00107AE2"/>
    <w:rsid w:val="00115AA9"/>
    <w:rsid w:val="001219D9"/>
    <w:rsid w:val="00126221"/>
    <w:rsid w:val="00132917"/>
    <w:rsid w:val="0014185E"/>
    <w:rsid w:val="00161433"/>
    <w:rsid w:val="00161E50"/>
    <w:rsid w:val="00163579"/>
    <w:rsid w:val="00173932"/>
    <w:rsid w:val="00183DE5"/>
    <w:rsid w:val="001B26EA"/>
    <w:rsid w:val="001B2E33"/>
    <w:rsid w:val="001D7129"/>
    <w:rsid w:val="002127CB"/>
    <w:rsid w:val="002145F7"/>
    <w:rsid w:val="00217EDC"/>
    <w:rsid w:val="00240570"/>
    <w:rsid w:val="00242D70"/>
    <w:rsid w:val="0024781C"/>
    <w:rsid w:val="00256ED7"/>
    <w:rsid w:val="002653FC"/>
    <w:rsid w:val="00266E77"/>
    <w:rsid w:val="00271528"/>
    <w:rsid w:val="00282638"/>
    <w:rsid w:val="00293630"/>
    <w:rsid w:val="002B1D4F"/>
    <w:rsid w:val="002C2470"/>
    <w:rsid w:val="002D0B37"/>
    <w:rsid w:val="002D66D6"/>
    <w:rsid w:val="002D73E6"/>
    <w:rsid w:val="002F2C6F"/>
    <w:rsid w:val="002F4184"/>
    <w:rsid w:val="002F6350"/>
    <w:rsid w:val="00300F72"/>
    <w:rsid w:val="00300FB8"/>
    <w:rsid w:val="00306101"/>
    <w:rsid w:val="0032246B"/>
    <w:rsid w:val="00334BBF"/>
    <w:rsid w:val="003377C3"/>
    <w:rsid w:val="00342B3F"/>
    <w:rsid w:val="003624A7"/>
    <w:rsid w:val="00365890"/>
    <w:rsid w:val="00365A1C"/>
    <w:rsid w:val="00373DC0"/>
    <w:rsid w:val="00374438"/>
    <w:rsid w:val="00377F0F"/>
    <w:rsid w:val="00393836"/>
    <w:rsid w:val="00396372"/>
    <w:rsid w:val="003A5EFD"/>
    <w:rsid w:val="003B5E3D"/>
    <w:rsid w:val="003C2864"/>
    <w:rsid w:val="003C3869"/>
    <w:rsid w:val="003C486E"/>
    <w:rsid w:val="003C69DC"/>
    <w:rsid w:val="003E1EFB"/>
    <w:rsid w:val="004246B7"/>
    <w:rsid w:val="00435AB7"/>
    <w:rsid w:val="00435C6B"/>
    <w:rsid w:val="00436626"/>
    <w:rsid w:val="00461D07"/>
    <w:rsid w:val="00481BD2"/>
    <w:rsid w:val="004846DC"/>
    <w:rsid w:val="00492440"/>
    <w:rsid w:val="004C32E2"/>
    <w:rsid w:val="004D00F4"/>
    <w:rsid w:val="004D0AD1"/>
    <w:rsid w:val="004D2B83"/>
    <w:rsid w:val="004D5E45"/>
    <w:rsid w:val="004E3735"/>
    <w:rsid w:val="004F65CE"/>
    <w:rsid w:val="004F6ECC"/>
    <w:rsid w:val="004F7903"/>
    <w:rsid w:val="00520A86"/>
    <w:rsid w:val="00557F65"/>
    <w:rsid w:val="005611F4"/>
    <w:rsid w:val="00563F7F"/>
    <w:rsid w:val="00571B93"/>
    <w:rsid w:val="00575859"/>
    <w:rsid w:val="0057672E"/>
    <w:rsid w:val="0058339C"/>
    <w:rsid w:val="0059350F"/>
    <w:rsid w:val="005946DD"/>
    <w:rsid w:val="005A4749"/>
    <w:rsid w:val="005B7453"/>
    <w:rsid w:val="005C5C8E"/>
    <w:rsid w:val="005C7432"/>
    <w:rsid w:val="005E76E4"/>
    <w:rsid w:val="005F1B86"/>
    <w:rsid w:val="005F31BC"/>
    <w:rsid w:val="005F3B55"/>
    <w:rsid w:val="005F61BB"/>
    <w:rsid w:val="00610A38"/>
    <w:rsid w:val="00613F54"/>
    <w:rsid w:val="00616092"/>
    <w:rsid w:val="00631663"/>
    <w:rsid w:val="0066643F"/>
    <w:rsid w:val="00674E1D"/>
    <w:rsid w:val="00676EFA"/>
    <w:rsid w:val="00680F35"/>
    <w:rsid w:val="00681B47"/>
    <w:rsid w:val="006830C3"/>
    <w:rsid w:val="00696C55"/>
    <w:rsid w:val="006A023F"/>
    <w:rsid w:val="006A31D6"/>
    <w:rsid w:val="006A5062"/>
    <w:rsid w:val="006B7ED8"/>
    <w:rsid w:val="006C6240"/>
    <w:rsid w:val="006C6E01"/>
    <w:rsid w:val="006D2F6B"/>
    <w:rsid w:val="006D7435"/>
    <w:rsid w:val="006E1F3E"/>
    <w:rsid w:val="006E6C0C"/>
    <w:rsid w:val="00716C7B"/>
    <w:rsid w:val="007347A7"/>
    <w:rsid w:val="007375B4"/>
    <w:rsid w:val="00752390"/>
    <w:rsid w:val="007B0189"/>
    <w:rsid w:val="007B2E40"/>
    <w:rsid w:val="007D407C"/>
    <w:rsid w:val="007E28B2"/>
    <w:rsid w:val="007E756E"/>
    <w:rsid w:val="007F5C40"/>
    <w:rsid w:val="00811A23"/>
    <w:rsid w:val="008300DD"/>
    <w:rsid w:val="00837137"/>
    <w:rsid w:val="00846E51"/>
    <w:rsid w:val="00862561"/>
    <w:rsid w:val="00864C58"/>
    <w:rsid w:val="008679D5"/>
    <w:rsid w:val="00896B58"/>
    <w:rsid w:val="008A01DA"/>
    <w:rsid w:val="008D0F93"/>
    <w:rsid w:val="008D2A40"/>
    <w:rsid w:val="008E36DB"/>
    <w:rsid w:val="00915ADE"/>
    <w:rsid w:val="00921BF0"/>
    <w:rsid w:val="0093040B"/>
    <w:rsid w:val="00932E67"/>
    <w:rsid w:val="00937D6F"/>
    <w:rsid w:val="009738DB"/>
    <w:rsid w:val="00987742"/>
    <w:rsid w:val="00987BFA"/>
    <w:rsid w:val="00997CD0"/>
    <w:rsid w:val="009A69DC"/>
    <w:rsid w:val="009B454E"/>
    <w:rsid w:val="009B7107"/>
    <w:rsid w:val="009C06EF"/>
    <w:rsid w:val="009D4FBB"/>
    <w:rsid w:val="009E2D26"/>
    <w:rsid w:val="00A05060"/>
    <w:rsid w:val="00A112C4"/>
    <w:rsid w:val="00A123D1"/>
    <w:rsid w:val="00A1525D"/>
    <w:rsid w:val="00A21E9F"/>
    <w:rsid w:val="00A243F0"/>
    <w:rsid w:val="00A41D94"/>
    <w:rsid w:val="00A81B42"/>
    <w:rsid w:val="00A84046"/>
    <w:rsid w:val="00A90E1F"/>
    <w:rsid w:val="00A967A3"/>
    <w:rsid w:val="00AB3505"/>
    <w:rsid w:val="00AD7D38"/>
    <w:rsid w:val="00AE1CAD"/>
    <w:rsid w:val="00AE2FBD"/>
    <w:rsid w:val="00AE3C70"/>
    <w:rsid w:val="00B04888"/>
    <w:rsid w:val="00B06296"/>
    <w:rsid w:val="00B10319"/>
    <w:rsid w:val="00B133A9"/>
    <w:rsid w:val="00B26BAC"/>
    <w:rsid w:val="00B30ECE"/>
    <w:rsid w:val="00B33DA5"/>
    <w:rsid w:val="00B36AF4"/>
    <w:rsid w:val="00B41802"/>
    <w:rsid w:val="00B4242C"/>
    <w:rsid w:val="00B53B59"/>
    <w:rsid w:val="00B608B8"/>
    <w:rsid w:val="00B734D8"/>
    <w:rsid w:val="00B85FAF"/>
    <w:rsid w:val="00BC52F0"/>
    <w:rsid w:val="00BC57B0"/>
    <w:rsid w:val="00BC62B7"/>
    <w:rsid w:val="00C00149"/>
    <w:rsid w:val="00C0648C"/>
    <w:rsid w:val="00C06492"/>
    <w:rsid w:val="00C12759"/>
    <w:rsid w:val="00C24B02"/>
    <w:rsid w:val="00C36B48"/>
    <w:rsid w:val="00C63CC4"/>
    <w:rsid w:val="00C77B0A"/>
    <w:rsid w:val="00C91C8E"/>
    <w:rsid w:val="00CA0BAD"/>
    <w:rsid w:val="00CA161B"/>
    <w:rsid w:val="00CA26FB"/>
    <w:rsid w:val="00CA734C"/>
    <w:rsid w:val="00CA7969"/>
    <w:rsid w:val="00CB2324"/>
    <w:rsid w:val="00CB6AEB"/>
    <w:rsid w:val="00CF3C2C"/>
    <w:rsid w:val="00CF3F40"/>
    <w:rsid w:val="00D03B0C"/>
    <w:rsid w:val="00D178FB"/>
    <w:rsid w:val="00D21886"/>
    <w:rsid w:val="00D32260"/>
    <w:rsid w:val="00D411C9"/>
    <w:rsid w:val="00D41AC9"/>
    <w:rsid w:val="00D42BCB"/>
    <w:rsid w:val="00D440E4"/>
    <w:rsid w:val="00D56F59"/>
    <w:rsid w:val="00D60F64"/>
    <w:rsid w:val="00D66148"/>
    <w:rsid w:val="00D731BD"/>
    <w:rsid w:val="00D77915"/>
    <w:rsid w:val="00D825C2"/>
    <w:rsid w:val="00D85187"/>
    <w:rsid w:val="00D96DEF"/>
    <w:rsid w:val="00D97AA7"/>
    <w:rsid w:val="00DA09ED"/>
    <w:rsid w:val="00DA4480"/>
    <w:rsid w:val="00DB037A"/>
    <w:rsid w:val="00DB7893"/>
    <w:rsid w:val="00DE43E6"/>
    <w:rsid w:val="00DE75EB"/>
    <w:rsid w:val="00DF0245"/>
    <w:rsid w:val="00DF215F"/>
    <w:rsid w:val="00DF695B"/>
    <w:rsid w:val="00E061B8"/>
    <w:rsid w:val="00E14A54"/>
    <w:rsid w:val="00E34DB0"/>
    <w:rsid w:val="00E434FA"/>
    <w:rsid w:val="00E44105"/>
    <w:rsid w:val="00E53EB2"/>
    <w:rsid w:val="00E80C00"/>
    <w:rsid w:val="00EA0388"/>
    <w:rsid w:val="00EA1B8A"/>
    <w:rsid w:val="00EB70CE"/>
    <w:rsid w:val="00ED0E63"/>
    <w:rsid w:val="00EF2574"/>
    <w:rsid w:val="00EF4169"/>
    <w:rsid w:val="00EF589C"/>
    <w:rsid w:val="00EF734F"/>
    <w:rsid w:val="00F05C79"/>
    <w:rsid w:val="00F268DC"/>
    <w:rsid w:val="00F536D7"/>
    <w:rsid w:val="00F77F55"/>
    <w:rsid w:val="00F87A19"/>
    <w:rsid w:val="00F90F32"/>
    <w:rsid w:val="00FA3C37"/>
    <w:rsid w:val="00FA6811"/>
    <w:rsid w:val="00FA6A61"/>
    <w:rsid w:val="00FB31F0"/>
    <w:rsid w:val="00FD417B"/>
    <w:rsid w:val="00FE1945"/>
    <w:rsid w:val="00FE365C"/>
    <w:rsid w:val="00FF107B"/>
    <w:rsid w:val="582DC1E0"/>
    <w:rsid w:val="595468F4"/>
    <w:rsid w:val="6E45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3B2CFFDA"/>
  <w15:docId w15:val="{E0DA5C9C-4E64-463C-9891-0A388C30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ilvl w:val="1"/>
      </w:numPr>
      <w:spacing w:after="0" w:line="240" w:lineRule="auto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1718B4"/>
    <w:rsid w:val="001807B2"/>
    <w:rsid w:val="003D1F1C"/>
    <w:rsid w:val="004C28E9"/>
    <w:rsid w:val="008B6DE0"/>
    <w:rsid w:val="008F4B21"/>
    <w:rsid w:val="00E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75D31BCAA754BB797AEB235A85D04" ma:contentTypeVersion="6" ma:contentTypeDescription="Create a new document." ma:contentTypeScope="" ma:versionID="0b7ec2524c77de395accc16f16e285a2">
  <xsd:schema xmlns:xsd="http://www.w3.org/2001/XMLSchema" xmlns:xs="http://www.w3.org/2001/XMLSchema" xmlns:p="http://schemas.microsoft.com/office/2006/metadata/properties" xmlns:ns2="04ca3051-9ed4-4d26-b2c9-7db981cc1499" xmlns:ns3="918c2e4b-8c70-45f1-ae5b-a8dbc243aad2" targetNamespace="http://schemas.microsoft.com/office/2006/metadata/properties" ma:root="true" ma:fieldsID="4b2f5ef4e76220172c63c1584258685e" ns2:_="" ns3:_="">
    <xsd:import namespace="04ca3051-9ed4-4d26-b2c9-7db981cc1499"/>
    <xsd:import namespace="918c2e4b-8c70-45f1-ae5b-a8dbc243a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a3051-9ed4-4d26-b2c9-7db981cc1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c2e4b-8c70-45f1-ae5b-a8dbc243a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F8B3A9-C507-48E4-8CF4-BBF38A42F0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02640-74C7-4416-9200-8C5525530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a3051-9ed4-4d26-b2c9-7db981cc1499"/>
    <ds:schemaRef ds:uri="918c2e4b-8c70-45f1-ae5b-a8dbc243a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E8627-A3E7-4B54-B33A-B5D80D4BE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O'Brien, Margaret</cp:lastModifiedBy>
  <cp:revision>2</cp:revision>
  <cp:lastPrinted>2018-11-20T01:48:00Z</cp:lastPrinted>
  <dcterms:created xsi:type="dcterms:W3CDTF">2021-01-18T01:17:00Z</dcterms:created>
  <dcterms:modified xsi:type="dcterms:W3CDTF">2021-03-15T01:27:00Z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0x010100A7D75D31BCAA754BB797AEB235A85D04</vt:lpwstr>
  </property>
</Properties>
</file>