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F35" w:rsidRDefault="00EC1EEE">
      <w:pPr>
        <w:pStyle w:val="Subtitle"/>
        <w:jc w:val="left"/>
      </w:pPr>
      <w:r>
        <w:rPr>
          <w:noProof/>
          <w:color w:val="333092"/>
          <w:sz w:val="48"/>
          <w:szCs w:val="48"/>
          <w:bdr w:val="none" w:sz="0" w:space="0" w:color="auto" w:frame="1"/>
        </w:rPr>
        <w:drawing>
          <wp:inline distT="0" distB="0" distL="0" distR="0">
            <wp:extent cx="5731510" cy="1114425"/>
            <wp:effectExtent l="0" t="0" r="2540" b="9525"/>
            <wp:docPr id="2" name="Picture 2" descr="https://lh5.googleusercontent.com/sUedlpfYAiH1tp-JPkka9FyLqvD8lXIhrK7cw_iEhpZ5a1X65OpECaMs8LIwP4db5cMywi0lnaJYmwzY7I1-FyAZ--0JkkNN_4oHNhDr0jTXw6FaCQYtOuvY6Uxv5ZKJHL_Z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sUedlpfYAiH1tp-JPkka9FyLqvD8lXIhrK7cw_iEhpZ5a1X65OpECaMs8LIwP4db5cMywi0lnaJYmwzY7I1-FyAZ--0JkkNN_4oHNhDr0jTXw6FaCQYtOuvY6Uxv5ZKJHL_ZBa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114425"/>
                    </a:xfrm>
                    <a:prstGeom prst="rect">
                      <a:avLst/>
                    </a:prstGeom>
                    <a:noFill/>
                    <a:ln>
                      <a:noFill/>
                    </a:ln>
                  </pic:spPr>
                </pic:pic>
              </a:graphicData>
            </a:graphic>
          </wp:inline>
        </w:drawing>
      </w:r>
      <w:r w:rsidR="00121202">
        <w:t>Network: North Canberra and Gungahlin</w:t>
      </w:r>
    </w:p>
    <w:p w:rsidR="00201F35" w:rsidRDefault="00121202">
      <w:pPr>
        <w:pStyle w:val="Title"/>
        <w:jc w:val="left"/>
      </w:pPr>
      <w:r>
        <w:t>Impact Report 2018</w:t>
      </w:r>
    </w:p>
    <w:p w:rsidR="00201F35" w:rsidRDefault="00121202">
      <w:pPr>
        <w:pStyle w:val="Heading1"/>
      </w:pPr>
      <w:r>
        <w:t>The purpose of this document</w:t>
      </w:r>
    </w:p>
    <w:p w:rsidR="00201F35" w:rsidRDefault="00121202">
      <w:pPr>
        <w:pBdr>
          <w:top w:val="nil"/>
          <w:left w:val="nil"/>
          <w:bottom w:val="nil"/>
          <w:right w:val="nil"/>
          <w:between w:val="nil"/>
        </w:pBdr>
        <w:spacing w:after="120" w:line="240" w:lineRule="auto"/>
        <w:rPr>
          <w:i/>
          <w:color w:val="000000"/>
        </w:rPr>
      </w:pPr>
      <w:r>
        <w:rPr>
          <w:color w:val="000000"/>
        </w:rPr>
        <w:t xml:space="preserve">This document flows directly from our Annual Action Plan for 2018 which translated priorities into actions for the current year of our five-year school improvement cycle. These actions were responsive to identified challenges, changes or risks to delivery </w:t>
      </w:r>
      <w:r>
        <w:rPr>
          <w:color w:val="000000"/>
        </w:rPr>
        <w:t>of improvement for student learning.</w:t>
      </w:r>
    </w:p>
    <w:p w:rsidR="00201F35" w:rsidRDefault="00201F35">
      <w:pPr>
        <w:pBdr>
          <w:top w:val="nil"/>
          <w:left w:val="nil"/>
          <w:bottom w:val="nil"/>
          <w:right w:val="nil"/>
          <w:between w:val="nil"/>
        </w:pBdr>
        <w:spacing w:after="120" w:line="240" w:lineRule="auto"/>
        <w:rPr>
          <w:color w:val="000000"/>
        </w:rPr>
      </w:pPr>
    </w:p>
    <w:p w:rsidR="00201F35" w:rsidRDefault="00121202">
      <w:pPr>
        <w:pStyle w:val="Heading1"/>
      </w:pPr>
      <w:r>
        <w:t>Our school’s contribution to whole-of-system Strategic Indicators</w:t>
      </w:r>
    </w:p>
    <w:p w:rsidR="00201F35" w:rsidRDefault="00121202">
      <w:pPr>
        <w:pStyle w:val="Heading2"/>
      </w:pPr>
      <w:r>
        <w:t>Education Directorate Strategic Indicator 2018-2021</w:t>
      </w:r>
    </w:p>
    <w:p w:rsidR="00201F35" w:rsidRDefault="00121202">
      <w:pPr>
        <w:pBdr>
          <w:top w:val="nil"/>
          <w:left w:val="nil"/>
          <w:bottom w:val="nil"/>
          <w:right w:val="nil"/>
          <w:between w:val="nil"/>
        </w:pBdr>
        <w:spacing w:after="120" w:line="240" w:lineRule="auto"/>
        <w:rPr>
          <w:color w:val="000000"/>
        </w:rPr>
      </w:pPr>
      <w:r>
        <w:rPr>
          <w:i/>
          <w:color w:val="000000"/>
        </w:rPr>
        <w:t>To promote greater equity in learning outcomes in and across ACT public schools</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01F35">
        <w:tc>
          <w:tcPr>
            <w:tcW w:w="9016" w:type="dxa"/>
            <w:shd w:val="clear" w:color="auto" w:fill="auto"/>
            <w:vAlign w:val="center"/>
          </w:tcPr>
          <w:p w:rsidR="00201F35" w:rsidRDefault="00121202">
            <w:pPr>
              <w:pBdr>
                <w:top w:val="nil"/>
                <w:left w:val="nil"/>
                <w:bottom w:val="nil"/>
                <w:right w:val="nil"/>
                <w:between w:val="nil"/>
              </w:pBdr>
              <w:spacing w:after="120"/>
              <w:rPr>
                <w:i/>
                <w:color w:val="000000"/>
              </w:rPr>
            </w:pPr>
            <w:r>
              <w:rPr>
                <w:i/>
              </w:rPr>
              <w:t>Gold Creek School re</w:t>
            </w:r>
            <w:r>
              <w:rPr>
                <w:i/>
              </w:rPr>
              <w:t>modelled its Student Services during 2018. This included creating a new role of Director of Family Partnerships. Together with the CES (Continuum of Education Supports) team in Secondary, the student services team delivered many alternate programs to suppo</w:t>
            </w:r>
            <w:r>
              <w:rPr>
                <w:i/>
              </w:rPr>
              <w:t xml:space="preserve">rt students and families in need. School data indicates a higher than average response to the item ‘students feel they can talk to their teachers’. </w:t>
            </w:r>
          </w:p>
        </w:tc>
      </w:tr>
    </w:tbl>
    <w:p w:rsidR="00201F35" w:rsidRDefault="00201F35">
      <w:pPr>
        <w:rPr>
          <w:b/>
          <w:color w:val="1F4E79"/>
          <w:sz w:val="24"/>
          <w:szCs w:val="24"/>
        </w:rPr>
      </w:pPr>
    </w:p>
    <w:p w:rsidR="00201F35" w:rsidRDefault="00121202">
      <w:pPr>
        <w:pStyle w:val="Heading2"/>
      </w:pPr>
      <w:bookmarkStart w:id="0" w:name="_gjdgxs" w:colFirst="0" w:colLast="0"/>
      <w:bookmarkEnd w:id="0"/>
      <w:r>
        <w:t>Education Directorate Strategic Indicator 2018-2021</w:t>
      </w:r>
    </w:p>
    <w:p w:rsidR="00201F35" w:rsidRDefault="00121202">
      <w:pPr>
        <w:pBdr>
          <w:top w:val="nil"/>
          <w:left w:val="nil"/>
          <w:bottom w:val="nil"/>
          <w:right w:val="nil"/>
          <w:between w:val="nil"/>
        </w:pBdr>
        <w:spacing w:after="120" w:line="240" w:lineRule="auto"/>
        <w:rPr>
          <w:color w:val="000000"/>
        </w:rPr>
      </w:pPr>
      <w:r>
        <w:rPr>
          <w:i/>
          <w:color w:val="000000"/>
        </w:rPr>
        <w:t>To facilitate high quality teaching in ACT public schools and strengthen educational outcomes.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01F35">
        <w:tc>
          <w:tcPr>
            <w:tcW w:w="9016" w:type="dxa"/>
            <w:shd w:val="clear" w:color="auto" w:fill="auto"/>
            <w:vAlign w:val="center"/>
          </w:tcPr>
          <w:p w:rsidR="00201F35" w:rsidRDefault="00121202">
            <w:pPr>
              <w:pBdr>
                <w:top w:val="nil"/>
                <w:left w:val="nil"/>
                <w:bottom w:val="nil"/>
                <w:right w:val="nil"/>
                <w:between w:val="nil"/>
              </w:pBdr>
              <w:spacing w:after="120"/>
              <w:rPr>
                <w:i/>
                <w:color w:val="000000"/>
              </w:rPr>
            </w:pPr>
            <w:r>
              <w:rPr>
                <w:i/>
              </w:rPr>
              <w:t>School data indicates that student growth in PIPS for reading and numeracy increased in 2018. This was also true for growth in reading for students in years 3 to</w:t>
            </w:r>
            <w:r>
              <w:rPr>
                <w:i/>
              </w:rPr>
              <w:t xml:space="preserve"> 5. Whilst </w:t>
            </w:r>
            <w:proofErr w:type="spellStart"/>
            <w:proofErr w:type="gramStart"/>
            <w:r>
              <w:rPr>
                <w:i/>
              </w:rPr>
              <w:t>their</w:t>
            </w:r>
            <w:proofErr w:type="spellEnd"/>
            <w:proofErr w:type="gramEnd"/>
            <w:r>
              <w:rPr>
                <w:i/>
              </w:rPr>
              <w:t xml:space="preserve"> has not been any increase in growth for other year levels, the implementation of both the Primary and Secondary Literacy projects should impact this target in the coming years.</w:t>
            </w:r>
          </w:p>
        </w:tc>
      </w:tr>
    </w:tbl>
    <w:p w:rsidR="00201F35" w:rsidRDefault="00201F35">
      <w:pPr>
        <w:pBdr>
          <w:top w:val="nil"/>
          <w:left w:val="nil"/>
          <w:bottom w:val="nil"/>
          <w:right w:val="nil"/>
          <w:between w:val="nil"/>
        </w:pBdr>
        <w:spacing w:after="120" w:line="240" w:lineRule="auto"/>
        <w:rPr>
          <w:color w:val="000000"/>
        </w:rPr>
      </w:pPr>
    </w:p>
    <w:p w:rsidR="00201F35" w:rsidRDefault="00121202">
      <w:pPr>
        <w:pStyle w:val="Heading2"/>
      </w:pPr>
      <w:r>
        <w:t>Education Directorate Strategic Indicator 2018-2021</w:t>
      </w:r>
    </w:p>
    <w:p w:rsidR="00201F35" w:rsidRDefault="00121202">
      <w:pPr>
        <w:pBdr>
          <w:top w:val="nil"/>
          <w:left w:val="nil"/>
          <w:bottom w:val="nil"/>
          <w:right w:val="nil"/>
          <w:between w:val="nil"/>
        </w:pBdr>
        <w:spacing w:after="120" w:line="240" w:lineRule="auto"/>
        <w:rPr>
          <w:color w:val="000000"/>
        </w:rPr>
      </w:pPr>
      <w:r>
        <w:rPr>
          <w:i/>
          <w:color w:val="000000"/>
        </w:rPr>
        <w:t>To centre teaching and learning around students as individuals</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01F35">
        <w:tc>
          <w:tcPr>
            <w:tcW w:w="9016" w:type="dxa"/>
            <w:shd w:val="clear" w:color="auto" w:fill="auto"/>
            <w:vAlign w:val="center"/>
          </w:tcPr>
          <w:p w:rsidR="00201F35" w:rsidRDefault="00121202">
            <w:pPr>
              <w:pBdr>
                <w:top w:val="nil"/>
                <w:left w:val="nil"/>
                <w:bottom w:val="nil"/>
                <w:right w:val="nil"/>
                <w:between w:val="nil"/>
              </w:pBdr>
              <w:spacing w:after="120"/>
              <w:rPr>
                <w:i/>
                <w:color w:val="000000"/>
              </w:rPr>
            </w:pPr>
            <w:r>
              <w:rPr>
                <w:i/>
              </w:rPr>
              <w:t>Gold Creek School introduced the Positive Behaviours for Learning framework in 2018. This has impacted positively on the levels of behavi</w:t>
            </w:r>
            <w:r>
              <w:rPr>
                <w:i/>
              </w:rPr>
              <w:t>ou</w:t>
            </w:r>
            <w:r>
              <w:rPr>
                <w:i/>
              </w:rPr>
              <w:t>ral</w:t>
            </w:r>
            <w:r>
              <w:rPr>
                <w:i/>
              </w:rPr>
              <w:t xml:space="preserve"> engagement in school, evidenced in the higher than ACT average and gains in the School Climate data. The school also reviewed the Relational Policy in 2018 and will be put to the School Board for ratification in 2019. This redeveloped policy focuses on th</w:t>
            </w:r>
            <w:r>
              <w:rPr>
                <w:i/>
              </w:rPr>
              <w:t>e communities’</w:t>
            </w:r>
            <w:r>
              <w:rPr>
                <w:i/>
              </w:rPr>
              <w:t xml:space="preserve"> relational approach to meeting each and every student’s</w:t>
            </w:r>
            <w:bookmarkStart w:id="1" w:name="_GoBack"/>
            <w:bookmarkEnd w:id="1"/>
            <w:r>
              <w:rPr>
                <w:i/>
              </w:rPr>
              <w:t xml:space="preserve"> needs. The </w:t>
            </w:r>
            <w:r>
              <w:rPr>
                <w:i/>
              </w:rPr>
              <w:lastRenderedPageBreak/>
              <w:t xml:space="preserve">school utilizes the response to intervention framework to support students individualized learning pathways. This is evidenced in the satisfaction data whereby data is in line </w:t>
            </w:r>
            <w:r>
              <w:rPr>
                <w:i/>
              </w:rPr>
              <w:t xml:space="preserve">with ACT averages for parents agreeing that the school meets their child’s needs. </w:t>
            </w:r>
          </w:p>
        </w:tc>
      </w:tr>
    </w:tbl>
    <w:p w:rsidR="00201F35" w:rsidRDefault="00121202">
      <w:pPr>
        <w:pStyle w:val="Heading1"/>
      </w:pPr>
      <w:r>
        <w:lastRenderedPageBreak/>
        <w:t>Reporting against our priorities</w:t>
      </w:r>
    </w:p>
    <w:p w:rsidR="00201F35" w:rsidRDefault="00121202">
      <w:pPr>
        <w:pStyle w:val="Heading2"/>
        <w:tabs>
          <w:tab w:val="left" w:pos="1276"/>
        </w:tabs>
        <w:ind w:left="1276" w:hanging="1276"/>
        <w:rPr>
          <w:color w:val="000000"/>
        </w:rPr>
      </w:pPr>
      <w:r>
        <w:t>Priority 1:</w:t>
      </w:r>
      <w:r>
        <w:rPr>
          <w:color w:val="000000"/>
        </w:rPr>
        <w:tab/>
      </w:r>
      <w:r>
        <w:rPr>
          <w:rFonts w:ascii="Calibri" w:eastAsia="Calibri" w:hAnsi="Calibri" w:cs="Calibri"/>
          <w:b/>
          <w:color w:val="000000"/>
          <w:sz w:val="28"/>
          <w:szCs w:val="28"/>
        </w:rPr>
        <w:t>Literate Global citizens</w:t>
      </w:r>
    </w:p>
    <w:p w:rsidR="00201F35" w:rsidRDefault="00121202">
      <w:pPr>
        <w:pStyle w:val="Heading3"/>
      </w:pPr>
      <w:r>
        <w:t>Targets or measures</w:t>
      </w:r>
    </w:p>
    <w:p w:rsidR="00201F35" w:rsidRDefault="00121202">
      <w:pPr>
        <w:pBdr>
          <w:top w:val="nil"/>
          <w:left w:val="nil"/>
          <w:bottom w:val="nil"/>
          <w:right w:val="nil"/>
          <w:between w:val="nil"/>
        </w:pBdr>
        <w:spacing w:after="120" w:line="240" w:lineRule="auto"/>
        <w:rPr>
          <w:color w:val="000000"/>
        </w:rPr>
      </w:pPr>
      <w:r>
        <w:rPr>
          <w:color w:val="000000"/>
        </w:rPr>
        <w:t>By the end of 20</w:t>
      </w:r>
      <w:r>
        <w:t>20</w:t>
      </w:r>
      <w:r>
        <w:rPr>
          <w:color w:val="000000"/>
        </w:rPr>
        <w:t xml:space="preserve"> we will achieve:</w:t>
      </w:r>
    </w:p>
    <w:p w:rsidR="00201F35" w:rsidRDefault="00121202">
      <w:pPr>
        <w:widowControl w:val="0"/>
        <w:numPr>
          <w:ilvl w:val="0"/>
          <w:numId w:val="2"/>
        </w:numPr>
        <w:spacing w:after="0" w:line="240" w:lineRule="auto"/>
      </w:pPr>
      <w:r>
        <w:t>Improved academic growth of high performing students in reading and writing.</w:t>
      </w:r>
    </w:p>
    <w:p w:rsidR="00201F35" w:rsidRDefault="00121202">
      <w:pPr>
        <w:widowControl w:val="0"/>
        <w:numPr>
          <w:ilvl w:val="0"/>
          <w:numId w:val="2"/>
        </w:numPr>
        <w:spacing w:after="0" w:line="240" w:lineRule="auto"/>
      </w:pPr>
      <w:r>
        <w:t xml:space="preserve">Improved students critical and creative use of language. </w:t>
      </w:r>
    </w:p>
    <w:p w:rsidR="00201F35" w:rsidRDefault="00201F35">
      <w:pPr>
        <w:widowControl w:val="0"/>
        <w:spacing w:after="0" w:line="240" w:lineRule="auto"/>
        <w:ind w:left="360"/>
      </w:pPr>
    </w:p>
    <w:p w:rsidR="00201F35" w:rsidRDefault="00121202">
      <w:pPr>
        <w:pBdr>
          <w:top w:val="nil"/>
          <w:left w:val="nil"/>
          <w:bottom w:val="nil"/>
          <w:right w:val="nil"/>
          <w:between w:val="nil"/>
        </w:pBdr>
        <w:spacing w:after="120" w:line="240" w:lineRule="auto"/>
        <w:rPr>
          <w:color w:val="000000"/>
        </w:rPr>
      </w:pPr>
      <w:r>
        <w:rPr>
          <w:color w:val="000000"/>
        </w:rPr>
        <w:t>In 20</w:t>
      </w:r>
      <w:r>
        <w:t>18</w:t>
      </w:r>
      <w:r>
        <w:rPr>
          <w:color w:val="000000"/>
        </w:rPr>
        <w:t xml:space="preserve"> we implemented this priority through the following strategies.</w:t>
      </w:r>
    </w:p>
    <w:p w:rsidR="00201F35" w:rsidRDefault="00121202">
      <w:pPr>
        <w:widowControl w:val="0"/>
        <w:numPr>
          <w:ilvl w:val="0"/>
          <w:numId w:val="2"/>
        </w:numPr>
        <w:spacing w:after="0" w:line="240" w:lineRule="auto"/>
      </w:pPr>
      <w:r>
        <w:t>Identify and use data to inform the teaching of c</w:t>
      </w:r>
      <w:r>
        <w:t>ommunication, as an approach to learning, to improve student outcomes.</w:t>
      </w:r>
    </w:p>
    <w:p w:rsidR="00201F35" w:rsidRDefault="00121202">
      <w:pPr>
        <w:widowControl w:val="0"/>
        <w:numPr>
          <w:ilvl w:val="0"/>
          <w:numId w:val="2"/>
        </w:numPr>
        <w:spacing w:after="0" w:line="240" w:lineRule="auto"/>
      </w:pPr>
      <w:r>
        <w:t>Develop a strategic Professional Learning Plan  to build the capacity of staff  in relation to literacy learning, including working collaboratively across sites.</w:t>
      </w:r>
    </w:p>
    <w:p w:rsidR="00201F35" w:rsidRDefault="00121202">
      <w:pPr>
        <w:widowControl w:val="0"/>
        <w:numPr>
          <w:ilvl w:val="0"/>
          <w:numId w:val="2"/>
        </w:numPr>
        <w:spacing w:after="0" w:line="240" w:lineRule="auto"/>
      </w:pPr>
      <w:r>
        <w:t>Embed thinking as an approach to learning to challenge and extend students.</w:t>
      </w:r>
    </w:p>
    <w:p w:rsidR="00201F35" w:rsidRDefault="00121202">
      <w:pPr>
        <w:widowControl w:val="0"/>
        <w:numPr>
          <w:ilvl w:val="0"/>
          <w:numId w:val="2"/>
        </w:numPr>
        <w:spacing w:after="0" w:line="240" w:lineRule="auto"/>
      </w:pPr>
      <w:r>
        <w:t>Utilise curriculum planning dynamically to teach the IB Approaches to Learning as a key part of the learning cycle.</w:t>
      </w:r>
    </w:p>
    <w:p w:rsidR="00201F35" w:rsidRDefault="00201F35">
      <w:pPr>
        <w:pBdr>
          <w:top w:val="nil"/>
          <w:left w:val="nil"/>
          <w:bottom w:val="nil"/>
          <w:right w:val="nil"/>
          <w:between w:val="nil"/>
        </w:pBdr>
        <w:spacing w:after="120" w:line="240" w:lineRule="auto"/>
        <w:rPr>
          <w:color w:val="000000"/>
        </w:rPr>
      </w:pPr>
    </w:p>
    <w:p w:rsidR="00201F35" w:rsidRDefault="00121202">
      <w:pPr>
        <w:pBdr>
          <w:top w:val="nil"/>
          <w:left w:val="nil"/>
          <w:bottom w:val="nil"/>
          <w:right w:val="nil"/>
          <w:between w:val="nil"/>
        </w:pBdr>
        <w:spacing w:after="0" w:line="240" w:lineRule="auto"/>
        <w:rPr>
          <w:i/>
          <w:color w:val="000000"/>
        </w:rPr>
      </w:pPr>
      <w:r>
        <w:rPr>
          <w:i/>
          <w:color w:val="000000"/>
        </w:rPr>
        <w:t>Below is our progress towards our five-year targets with an emp</w:t>
      </w:r>
      <w:r>
        <w:rPr>
          <w:i/>
          <w:color w:val="000000"/>
        </w:rPr>
        <w:t>hasis on the accumulation and analysis of evidence over the term of our plan.</w:t>
      </w:r>
    </w:p>
    <w:p w:rsidR="00201F35" w:rsidRDefault="00121202">
      <w:pPr>
        <w:pStyle w:val="Heading4"/>
      </w:pPr>
      <w:r>
        <w:t>Student learning data</w:t>
      </w:r>
    </w:p>
    <w:tbl>
      <w:tblPr>
        <w:tblStyle w:val="a2"/>
        <w:tblW w:w="9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0"/>
        <w:gridCol w:w="795"/>
        <w:gridCol w:w="795"/>
        <w:gridCol w:w="795"/>
        <w:gridCol w:w="795"/>
      </w:tblGrid>
      <w:tr w:rsidR="00201F35">
        <w:trPr>
          <w:jc w:val="center"/>
        </w:trPr>
        <w:tc>
          <w:tcPr>
            <w:tcW w:w="5850" w:type="dxa"/>
            <w:shd w:val="clear" w:color="auto" w:fill="auto"/>
          </w:tcPr>
          <w:p w:rsidR="00201F35" w:rsidRDefault="00121202">
            <w:pPr>
              <w:rPr>
                <w:b/>
              </w:rPr>
            </w:pPr>
            <w:r>
              <w:rPr>
                <w:b/>
              </w:rPr>
              <w:t>Targets or Measures</w:t>
            </w:r>
          </w:p>
        </w:tc>
        <w:tc>
          <w:tcPr>
            <w:tcW w:w="795" w:type="dxa"/>
            <w:shd w:val="clear" w:color="auto" w:fill="auto"/>
          </w:tcPr>
          <w:p w:rsidR="00201F35" w:rsidRDefault="00121202">
            <w:pPr>
              <w:jc w:val="center"/>
              <w:rPr>
                <w:b/>
              </w:rPr>
            </w:pPr>
            <w:r>
              <w:rPr>
                <w:b/>
              </w:rPr>
              <w:t>Base</w:t>
            </w:r>
          </w:p>
        </w:tc>
        <w:tc>
          <w:tcPr>
            <w:tcW w:w="795" w:type="dxa"/>
            <w:shd w:val="clear" w:color="auto" w:fill="auto"/>
          </w:tcPr>
          <w:p w:rsidR="00201F35" w:rsidRDefault="00121202">
            <w:pPr>
              <w:jc w:val="center"/>
              <w:rPr>
                <w:b/>
              </w:rPr>
            </w:pPr>
            <w:r>
              <w:rPr>
                <w:b/>
              </w:rPr>
              <w:t>Year 1</w:t>
            </w:r>
          </w:p>
        </w:tc>
        <w:tc>
          <w:tcPr>
            <w:tcW w:w="795" w:type="dxa"/>
            <w:shd w:val="clear" w:color="auto" w:fill="auto"/>
          </w:tcPr>
          <w:p w:rsidR="00201F35" w:rsidRDefault="00121202">
            <w:pPr>
              <w:jc w:val="center"/>
              <w:rPr>
                <w:b/>
              </w:rPr>
            </w:pPr>
            <w:r>
              <w:rPr>
                <w:b/>
              </w:rPr>
              <w:t>Year 2</w:t>
            </w:r>
          </w:p>
        </w:tc>
        <w:tc>
          <w:tcPr>
            <w:tcW w:w="795" w:type="dxa"/>
            <w:shd w:val="clear" w:color="auto" w:fill="auto"/>
          </w:tcPr>
          <w:p w:rsidR="00201F35" w:rsidRDefault="00121202">
            <w:pPr>
              <w:jc w:val="center"/>
              <w:rPr>
                <w:b/>
              </w:rPr>
            </w:pPr>
            <w:r>
              <w:rPr>
                <w:b/>
              </w:rPr>
              <w:t>Year 3</w:t>
            </w:r>
          </w:p>
        </w:tc>
      </w:tr>
      <w:tr w:rsidR="00201F35">
        <w:trPr>
          <w:jc w:val="center"/>
        </w:trPr>
        <w:tc>
          <w:tcPr>
            <w:tcW w:w="5850" w:type="dxa"/>
            <w:shd w:val="clear" w:color="auto" w:fill="auto"/>
          </w:tcPr>
          <w:p w:rsidR="00201F35" w:rsidRDefault="00121202">
            <w:pPr>
              <w:spacing w:after="200" w:line="276" w:lineRule="auto"/>
              <w:rPr>
                <w:color w:val="000000"/>
              </w:rPr>
            </w:pPr>
            <w:r>
              <w:t xml:space="preserve">increase in the percentage of mainstream Year 1-3 students achieving above year level range the ACT ED Benchmark Reading range from end 2017 data by 5 percentage points </w:t>
            </w:r>
          </w:p>
        </w:tc>
        <w:tc>
          <w:tcPr>
            <w:tcW w:w="795" w:type="dxa"/>
            <w:shd w:val="clear" w:color="auto" w:fill="auto"/>
          </w:tcPr>
          <w:p w:rsidR="00201F35" w:rsidRDefault="00121202">
            <w:r>
              <w:t>73.7%</w:t>
            </w:r>
          </w:p>
        </w:tc>
        <w:tc>
          <w:tcPr>
            <w:tcW w:w="795" w:type="dxa"/>
            <w:shd w:val="clear" w:color="auto" w:fill="auto"/>
          </w:tcPr>
          <w:p w:rsidR="00201F35" w:rsidRDefault="00121202">
            <w:r>
              <w:t>76.4%</w:t>
            </w:r>
          </w:p>
        </w:tc>
        <w:tc>
          <w:tcPr>
            <w:tcW w:w="795" w:type="dxa"/>
            <w:shd w:val="clear" w:color="auto" w:fill="auto"/>
          </w:tcPr>
          <w:p w:rsidR="00201F35" w:rsidRDefault="00201F35"/>
        </w:tc>
        <w:tc>
          <w:tcPr>
            <w:tcW w:w="795" w:type="dxa"/>
            <w:shd w:val="clear" w:color="auto" w:fill="auto"/>
          </w:tcPr>
          <w:p w:rsidR="00201F35" w:rsidRDefault="00201F35"/>
        </w:tc>
      </w:tr>
      <w:tr w:rsidR="00201F35">
        <w:trPr>
          <w:jc w:val="center"/>
        </w:trPr>
        <w:tc>
          <w:tcPr>
            <w:tcW w:w="5850" w:type="dxa"/>
            <w:shd w:val="clear" w:color="auto" w:fill="auto"/>
          </w:tcPr>
          <w:p w:rsidR="00201F35" w:rsidRDefault="00121202">
            <w:pPr>
              <w:spacing w:after="200" w:line="276" w:lineRule="auto"/>
            </w:pPr>
            <w:r>
              <w:t>increase in the percentage of mainstream Year 4-6 students achieving ab</w:t>
            </w:r>
            <w:r>
              <w:t xml:space="preserve">ove age level range in PROBE Reading Assessment from end 2017 data by 5 percentage points </w:t>
            </w:r>
          </w:p>
        </w:tc>
        <w:tc>
          <w:tcPr>
            <w:tcW w:w="795" w:type="dxa"/>
            <w:shd w:val="clear" w:color="auto" w:fill="auto"/>
          </w:tcPr>
          <w:p w:rsidR="00201F35" w:rsidRDefault="00121202">
            <w:r>
              <w:t>63.7%</w:t>
            </w:r>
          </w:p>
        </w:tc>
        <w:tc>
          <w:tcPr>
            <w:tcW w:w="795" w:type="dxa"/>
            <w:shd w:val="clear" w:color="auto" w:fill="auto"/>
          </w:tcPr>
          <w:p w:rsidR="00201F35" w:rsidRDefault="00121202">
            <w:r>
              <w:t>82.1%</w:t>
            </w:r>
          </w:p>
        </w:tc>
        <w:tc>
          <w:tcPr>
            <w:tcW w:w="795" w:type="dxa"/>
            <w:shd w:val="clear" w:color="auto" w:fill="auto"/>
          </w:tcPr>
          <w:p w:rsidR="00201F35" w:rsidRDefault="00201F35"/>
        </w:tc>
        <w:tc>
          <w:tcPr>
            <w:tcW w:w="795" w:type="dxa"/>
            <w:shd w:val="clear" w:color="auto" w:fill="auto"/>
          </w:tcPr>
          <w:p w:rsidR="00201F35" w:rsidRDefault="00201F35"/>
        </w:tc>
      </w:tr>
      <w:tr w:rsidR="00201F35">
        <w:trPr>
          <w:jc w:val="center"/>
        </w:trPr>
        <w:tc>
          <w:tcPr>
            <w:tcW w:w="5850" w:type="dxa"/>
            <w:shd w:val="clear" w:color="auto" w:fill="auto"/>
          </w:tcPr>
          <w:p w:rsidR="00201F35" w:rsidRDefault="00121202">
            <w:pPr>
              <w:spacing w:after="200" w:line="276" w:lineRule="auto"/>
            </w:pPr>
            <w:r>
              <w:t>increase in the percentage of K-6 students achieving proficient or outstanding for reading and writing for semester reporting</w:t>
            </w:r>
          </w:p>
          <w:p w:rsidR="00201F35" w:rsidRDefault="00121202">
            <w:pPr>
              <w:spacing w:after="200" w:line="276" w:lineRule="auto"/>
            </w:pPr>
            <w:r>
              <w:t>reading</w:t>
            </w:r>
          </w:p>
          <w:p w:rsidR="00201F35" w:rsidRDefault="00121202">
            <w:pPr>
              <w:spacing w:after="200" w:line="276" w:lineRule="auto"/>
            </w:pPr>
            <w:r>
              <w:t>writing</w:t>
            </w:r>
          </w:p>
        </w:tc>
        <w:tc>
          <w:tcPr>
            <w:tcW w:w="795" w:type="dxa"/>
            <w:shd w:val="clear" w:color="auto" w:fill="auto"/>
          </w:tcPr>
          <w:p w:rsidR="00201F35" w:rsidRDefault="00201F35"/>
          <w:p w:rsidR="00201F35" w:rsidRDefault="00201F35"/>
          <w:p w:rsidR="00201F35" w:rsidRDefault="00201F35"/>
          <w:p w:rsidR="00201F35" w:rsidRDefault="00201F35"/>
          <w:p w:rsidR="00201F35" w:rsidRDefault="00121202">
            <w:r>
              <w:t>63.9%</w:t>
            </w:r>
          </w:p>
          <w:p w:rsidR="00201F35" w:rsidRDefault="00201F35"/>
          <w:p w:rsidR="00201F35" w:rsidRDefault="00121202">
            <w:r>
              <w:t>37.4%</w:t>
            </w:r>
          </w:p>
        </w:tc>
        <w:tc>
          <w:tcPr>
            <w:tcW w:w="795" w:type="dxa"/>
            <w:shd w:val="clear" w:color="auto" w:fill="auto"/>
          </w:tcPr>
          <w:p w:rsidR="00201F35" w:rsidRDefault="00201F35"/>
          <w:p w:rsidR="00201F35" w:rsidRDefault="00201F35"/>
          <w:p w:rsidR="00201F35" w:rsidRDefault="00201F35"/>
          <w:p w:rsidR="00201F35" w:rsidRDefault="00201F35"/>
          <w:p w:rsidR="00201F35" w:rsidRDefault="00121202">
            <w:r>
              <w:t>53.4%</w:t>
            </w:r>
          </w:p>
          <w:p w:rsidR="00201F35" w:rsidRDefault="00201F35"/>
          <w:p w:rsidR="00201F35" w:rsidRDefault="00121202">
            <w:r>
              <w:t>37.8%</w:t>
            </w:r>
          </w:p>
        </w:tc>
        <w:tc>
          <w:tcPr>
            <w:tcW w:w="795" w:type="dxa"/>
            <w:shd w:val="clear" w:color="auto" w:fill="auto"/>
          </w:tcPr>
          <w:p w:rsidR="00201F35" w:rsidRDefault="00201F35"/>
        </w:tc>
        <w:tc>
          <w:tcPr>
            <w:tcW w:w="795" w:type="dxa"/>
            <w:shd w:val="clear" w:color="auto" w:fill="auto"/>
          </w:tcPr>
          <w:p w:rsidR="00201F35" w:rsidRDefault="00201F35"/>
        </w:tc>
      </w:tr>
      <w:tr w:rsidR="00201F35">
        <w:trPr>
          <w:jc w:val="center"/>
        </w:trPr>
        <w:tc>
          <w:tcPr>
            <w:tcW w:w="5850" w:type="dxa"/>
            <w:shd w:val="clear" w:color="auto" w:fill="auto"/>
          </w:tcPr>
          <w:p w:rsidR="00201F35" w:rsidRDefault="00121202">
            <w:pPr>
              <w:spacing w:after="200" w:line="276" w:lineRule="auto"/>
            </w:pPr>
            <w:r>
              <w:t>increase in the percentage of years 7-10 students achieving MYP 5 - 7 for semester reporting for Language and Literature</w:t>
            </w:r>
          </w:p>
        </w:tc>
        <w:tc>
          <w:tcPr>
            <w:tcW w:w="795" w:type="dxa"/>
            <w:shd w:val="clear" w:color="auto" w:fill="auto"/>
          </w:tcPr>
          <w:p w:rsidR="00201F35" w:rsidRDefault="00121202">
            <w:r>
              <w:t>29.18%</w:t>
            </w:r>
          </w:p>
        </w:tc>
        <w:tc>
          <w:tcPr>
            <w:tcW w:w="795" w:type="dxa"/>
            <w:shd w:val="clear" w:color="auto" w:fill="auto"/>
          </w:tcPr>
          <w:p w:rsidR="00201F35" w:rsidRDefault="00121202">
            <w:r>
              <w:t>33.33%</w:t>
            </w:r>
          </w:p>
        </w:tc>
        <w:tc>
          <w:tcPr>
            <w:tcW w:w="795" w:type="dxa"/>
            <w:shd w:val="clear" w:color="auto" w:fill="auto"/>
          </w:tcPr>
          <w:p w:rsidR="00201F35" w:rsidRDefault="00201F35"/>
        </w:tc>
        <w:tc>
          <w:tcPr>
            <w:tcW w:w="795" w:type="dxa"/>
            <w:shd w:val="clear" w:color="auto" w:fill="auto"/>
          </w:tcPr>
          <w:p w:rsidR="00201F35" w:rsidRDefault="00201F35"/>
        </w:tc>
      </w:tr>
      <w:tr w:rsidR="00201F35">
        <w:trPr>
          <w:jc w:val="center"/>
        </w:trPr>
        <w:tc>
          <w:tcPr>
            <w:tcW w:w="5850" w:type="dxa"/>
            <w:shd w:val="clear" w:color="auto" w:fill="auto"/>
          </w:tcPr>
          <w:p w:rsidR="00201F35" w:rsidRDefault="00121202">
            <w:pPr>
              <w:spacing w:after="200" w:line="276" w:lineRule="auto"/>
            </w:pPr>
            <w:r>
              <w:lastRenderedPageBreak/>
              <w:t>increase in the percentage of students achieving at or above the expected growth in PIPS language use by 15 percentage</w:t>
            </w:r>
            <w:r>
              <w:t xml:space="preserve"> points from the 2014 figures  (under review)</w:t>
            </w:r>
          </w:p>
        </w:tc>
        <w:tc>
          <w:tcPr>
            <w:tcW w:w="795" w:type="dxa"/>
            <w:shd w:val="clear" w:color="auto" w:fill="auto"/>
          </w:tcPr>
          <w:p w:rsidR="00201F35" w:rsidRDefault="00201F35"/>
        </w:tc>
        <w:tc>
          <w:tcPr>
            <w:tcW w:w="795" w:type="dxa"/>
            <w:shd w:val="clear" w:color="auto" w:fill="auto"/>
          </w:tcPr>
          <w:p w:rsidR="00201F35" w:rsidRDefault="00201F35"/>
        </w:tc>
        <w:tc>
          <w:tcPr>
            <w:tcW w:w="795" w:type="dxa"/>
            <w:shd w:val="clear" w:color="auto" w:fill="auto"/>
          </w:tcPr>
          <w:p w:rsidR="00201F35" w:rsidRDefault="00201F35"/>
        </w:tc>
        <w:tc>
          <w:tcPr>
            <w:tcW w:w="795" w:type="dxa"/>
            <w:shd w:val="clear" w:color="auto" w:fill="auto"/>
          </w:tcPr>
          <w:p w:rsidR="00201F35" w:rsidRDefault="00201F35"/>
        </w:tc>
      </w:tr>
      <w:tr w:rsidR="00201F35">
        <w:trPr>
          <w:jc w:val="center"/>
        </w:trPr>
        <w:tc>
          <w:tcPr>
            <w:tcW w:w="5850" w:type="dxa"/>
            <w:shd w:val="clear" w:color="auto" w:fill="auto"/>
          </w:tcPr>
          <w:p w:rsidR="00201F35" w:rsidRDefault="00121202">
            <w:pPr>
              <w:spacing w:after="200" w:line="276" w:lineRule="auto"/>
            </w:pPr>
            <w:r>
              <w:t>increase in the percentage of students achieving at or above expected growth in PIPS reading by 15 percentage points from the 2017 figures</w:t>
            </w:r>
          </w:p>
        </w:tc>
        <w:tc>
          <w:tcPr>
            <w:tcW w:w="795" w:type="dxa"/>
            <w:shd w:val="clear" w:color="auto" w:fill="auto"/>
          </w:tcPr>
          <w:p w:rsidR="00201F35" w:rsidRDefault="00121202">
            <w:r>
              <w:t>58%</w:t>
            </w:r>
          </w:p>
        </w:tc>
        <w:tc>
          <w:tcPr>
            <w:tcW w:w="795" w:type="dxa"/>
            <w:shd w:val="clear" w:color="auto" w:fill="auto"/>
          </w:tcPr>
          <w:p w:rsidR="00201F35" w:rsidRDefault="00121202">
            <w:r>
              <w:t>72%</w:t>
            </w:r>
          </w:p>
        </w:tc>
        <w:tc>
          <w:tcPr>
            <w:tcW w:w="795" w:type="dxa"/>
            <w:shd w:val="clear" w:color="auto" w:fill="auto"/>
          </w:tcPr>
          <w:p w:rsidR="00201F35" w:rsidRDefault="00201F35"/>
        </w:tc>
        <w:tc>
          <w:tcPr>
            <w:tcW w:w="795" w:type="dxa"/>
            <w:shd w:val="clear" w:color="auto" w:fill="auto"/>
          </w:tcPr>
          <w:p w:rsidR="00201F35" w:rsidRDefault="00201F35"/>
        </w:tc>
      </w:tr>
      <w:tr w:rsidR="00201F35">
        <w:trPr>
          <w:jc w:val="center"/>
        </w:trPr>
        <w:tc>
          <w:tcPr>
            <w:tcW w:w="5850" w:type="dxa"/>
            <w:shd w:val="clear" w:color="auto" w:fill="auto"/>
          </w:tcPr>
          <w:p w:rsidR="00201F35" w:rsidRDefault="00121202">
            <w:pPr>
              <w:spacing w:after="200" w:line="276" w:lineRule="auto"/>
            </w:pPr>
            <w:r>
              <w:t>increase in the average percentage point growth of students in the 75% + percentile band in NAPLAN reading by 3 percentage points from the 2017 growth data</w:t>
            </w:r>
          </w:p>
          <w:p w:rsidR="00201F35" w:rsidRDefault="00121202">
            <w:pPr>
              <w:spacing w:after="200" w:line="276" w:lineRule="auto"/>
            </w:pPr>
            <w:r>
              <w:t>average growth in top two bands</w:t>
            </w:r>
          </w:p>
          <w:p w:rsidR="00201F35" w:rsidRDefault="00121202">
            <w:pPr>
              <w:spacing w:after="200" w:line="276" w:lineRule="auto"/>
            </w:pPr>
            <w:r>
              <w:t>(</w:t>
            </w:r>
            <w:r>
              <w:rPr>
                <w:b/>
                <w:i/>
              </w:rPr>
              <w:t>new target to be implemented from 2018 due to changes to survey rep</w:t>
            </w:r>
            <w:r>
              <w:rPr>
                <w:b/>
                <w:i/>
              </w:rPr>
              <w:t>orting)</w:t>
            </w:r>
          </w:p>
        </w:tc>
        <w:tc>
          <w:tcPr>
            <w:tcW w:w="795" w:type="dxa"/>
            <w:shd w:val="clear" w:color="auto" w:fill="auto"/>
          </w:tcPr>
          <w:p w:rsidR="00201F35" w:rsidRDefault="00121202">
            <w:r>
              <w:t>28%</w:t>
            </w:r>
          </w:p>
        </w:tc>
        <w:tc>
          <w:tcPr>
            <w:tcW w:w="795" w:type="dxa"/>
            <w:shd w:val="clear" w:color="auto" w:fill="auto"/>
          </w:tcPr>
          <w:p w:rsidR="00201F35" w:rsidRDefault="00121202">
            <w:r>
              <w:t>31.6%</w:t>
            </w:r>
          </w:p>
        </w:tc>
        <w:tc>
          <w:tcPr>
            <w:tcW w:w="795" w:type="dxa"/>
            <w:shd w:val="clear" w:color="auto" w:fill="auto"/>
          </w:tcPr>
          <w:p w:rsidR="00201F35" w:rsidRDefault="00201F35"/>
        </w:tc>
        <w:tc>
          <w:tcPr>
            <w:tcW w:w="795" w:type="dxa"/>
            <w:shd w:val="clear" w:color="auto" w:fill="auto"/>
          </w:tcPr>
          <w:p w:rsidR="00201F35" w:rsidRDefault="00201F35"/>
        </w:tc>
      </w:tr>
      <w:tr w:rsidR="00201F35">
        <w:trPr>
          <w:jc w:val="center"/>
        </w:trPr>
        <w:tc>
          <w:tcPr>
            <w:tcW w:w="5850" w:type="dxa"/>
            <w:shd w:val="clear" w:color="auto" w:fill="auto"/>
          </w:tcPr>
          <w:p w:rsidR="00201F35" w:rsidRDefault="00121202">
            <w:pPr>
              <w:spacing w:after="200" w:line="276" w:lineRule="auto"/>
            </w:pPr>
            <w:r>
              <w:t xml:space="preserve">increase in the percentage of mainstream students achieving in the top two bands for </w:t>
            </w:r>
          </w:p>
          <w:p w:rsidR="00201F35" w:rsidRDefault="00121202">
            <w:pPr>
              <w:spacing w:after="200" w:line="276" w:lineRule="auto"/>
            </w:pPr>
            <w:r>
              <w:t>Reading: year 3, 5, 7 and 9 NAPLAN  by 5 percentage points from 2017 NAPLAN data</w:t>
            </w:r>
          </w:p>
          <w:p w:rsidR="00201F35" w:rsidRDefault="00121202">
            <w:pPr>
              <w:spacing w:after="200" w:line="276" w:lineRule="auto"/>
            </w:pPr>
            <w:r>
              <w:t xml:space="preserve">Writing: </w:t>
            </w:r>
          </w:p>
          <w:p w:rsidR="00201F35" w:rsidRDefault="00121202">
            <w:pPr>
              <w:spacing w:after="200" w:line="276" w:lineRule="auto"/>
            </w:pPr>
            <w:r>
              <w:t>year 7 by 5 percentage points from 2017 NAPLAN Data</w:t>
            </w:r>
          </w:p>
          <w:p w:rsidR="00201F35" w:rsidRDefault="00121202">
            <w:pPr>
              <w:spacing w:after="200" w:line="276" w:lineRule="auto"/>
            </w:pPr>
            <w:r>
              <w:t>year 9</w:t>
            </w:r>
            <w:r>
              <w:t xml:space="preserve"> by 10 percentage points from 2017 NAPLAN Data</w:t>
            </w:r>
          </w:p>
        </w:tc>
        <w:tc>
          <w:tcPr>
            <w:tcW w:w="795" w:type="dxa"/>
            <w:shd w:val="clear" w:color="auto" w:fill="auto"/>
          </w:tcPr>
          <w:p w:rsidR="00201F35" w:rsidRDefault="00201F35"/>
          <w:p w:rsidR="00201F35" w:rsidRDefault="00201F35"/>
          <w:p w:rsidR="00201F35" w:rsidRDefault="00201F35"/>
          <w:p w:rsidR="00201F35" w:rsidRDefault="00121202">
            <w:r>
              <w:t>28%</w:t>
            </w:r>
          </w:p>
          <w:p w:rsidR="00201F35" w:rsidRDefault="00201F35"/>
          <w:p w:rsidR="00201F35" w:rsidRDefault="00201F35"/>
          <w:p w:rsidR="00201F35" w:rsidRDefault="00201F35"/>
          <w:p w:rsidR="00201F35" w:rsidRDefault="00201F35"/>
          <w:p w:rsidR="00201F35" w:rsidRDefault="00121202">
            <w:r>
              <w:t>21.3%</w:t>
            </w:r>
          </w:p>
          <w:p w:rsidR="00201F35" w:rsidRDefault="00201F35"/>
          <w:p w:rsidR="00201F35" w:rsidRDefault="00201F35"/>
          <w:p w:rsidR="00201F35" w:rsidRDefault="00121202">
            <w:r>
              <w:t>9.8%</w:t>
            </w:r>
          </w:p>
        </w:tc>
        <w:tc>
          <w:tcPr>
            <w:tcW w:w="795" w:type="dxa"/>
            <w:shd w:val="clear" w:color="auto" w:fill="auto"/>
          </w:tcPr>
          <w:p w:rsidR="00201F35" w:rsidRDefault="00201F35"/>
          <w:p w:rsidR="00201F35" w:rsidRDefault="00201F35"/>
          <w:p w:rsidR="00201F35" w:rsidRDefault="00201F35"/>
          <w:p w:rsidR="00201F35" w:rsidRDefault="00121202">
            <w:r>
              <w:t>31.6%</w:t>
            </w:r>
          </w:p>
          <w:p w:rsidR="00201F35" w:rsidRDefault="00201F35"/>
          <w:p w:rsidR="00201F35" w:rsidRDefault="00201F35"/>
          <w:p w:rsidR="00201F35" w:rsidRDefault="00201F35"/>
          <w:p w:rsidR="00201F35" w:rsidRDefault="00201F35"/>
          <w:p w:rsidR="00201F35" w:rsidRDefault="00121202">
            <w:r>
              <w:t>16.1%</w:t>
            </w:r>
          </w:p>
          <w:p w:rsidR="00201F35" w:rsidRDefault="00201F35"/>
          <w:p w:rsidR="00201F35" w:rsidRDefault="00201F35"/>
          <w:p w:rsidR="00201F35" w:rsidRDefault="00121202">
            <w:r>
              <w:t>7.4%</w:t>
            </w:r>
          </w:p>
        </w:tc>
        <w:tc>
          <w:tcPr>
            <w:tcW w:w="795" w:type="dxa"/>
            <w:shd w:val="clear" w:color="auto" w:fill="auto"/>
          </w:tcPr>
          <w:p w:rsidR="00201F35" w:rsidRDefault="00201F35"/>
        </w:tc>
        <w:tc>
          <w:tcPr>
            <w:tcW w:w="795" w:type="dxa"/>
            <w:shd w:val="clear" w:color="auto" w:fill="auto"/>
          </w:tcPr>
          <w:p w:rsidR="00201F35" w:rsidRDefault="00201F35"/>
        </w:tc>
      </w:tr>
      <w:tr w:rsidR="00201F35">
        <w:trPr>
          <w:jc w:val="center"/>
        </w:trPr>
        <w:tc>
          <w:tcPr>
            <w:tcW w:w="5850" w:type="dxa"/>
            <w:shd w:val="clear" w:color="auto" w:fill="auto"/>
          </w:tcPr>
          <w:p w:rsidR="00201F35" w:rsidRDefault="00121202">
            <w:pPr>
              <w:spacing w:after="200" w:line="276" w:lineRule="auto"/>
            </w:pPr>
            <w:r>
              <w:t>the identification of  a set of reliable measures to track student growth in vocabulary use from Preschool to year 10 (to be implemented from 2019)</w:t>
            </w:r>
          </w:p>
        </w:tc>
        <w:tc>
          <w:tcPr>
            <w:tcW w:w="795" w:type="dxa"/>
            <w:shd w:val="clear" w:color="auto" w:fill="auto"/>
          </w:tcPr>
          <w:p w:rsidR="00201F35" w:rsidRDefault="00121202">
            <w:r>
              <w:t>n/a</w:t>
            </w:r>
          </w:p>
        </w:tc>
        <w:tc>
          <w:tcPr>
            <w:tcW w:w="795" w:type="dxa"/>
            <w:shd w:val="clear" w:color="auto" w:fill="auto"/>
          </w:tcPr>
          <w:p w:rsidR="00201F35" w:rsidRDefault="00121202">
            <w:r>
              <w:t>n/a</w:t>
            </w:r>
          </w:p>
        </w:tc>
        <w:tc>
          <w:tcPr>
            <w:tcW w:w="795" w:type="dxa"/>
            <w:shd w:val="clear" w:color="auto" w:fill="auto"/>
          </w:tcPr>
          <w:p w:rsidR="00201F35" w:rsidRDefault="00201F35"/>
        </w:tc>
        <w:tc>
          <w:tcPr>
            <w:tcW w:w="795" w:type="dxa"/>
            <w:shd w:val="clear" w:color="auto" w:fill="auto"/>
          </w:tcPr>
          <w:p w:rsidR="00201F35" w:rsidRDefault="00201F35"/>
        </w:tc>
      </w:tr>
      <w:tr w:rsidR="00201F35">
        <w:trPr>
          <w:jc w:val="center"/>
        </w:trPr>
        <w:tc>
          <w:tcPr>
            <w:tcW w:w="5850" w:type="dxa"/>
            <w:shd w:val="clear" w:color="auto" w:fill="auto"/>
          </w:tcPr>
          <w:p w:rsidR="00201F35" w:rsidRDefault="00121202">
            <w:pPr>
              <w:spacing w:after="200" w:line="276" w:lineRule="auto"/>
            </w:pPr>
            <w:r>
              <w:t xml:space="preserve">increase in the percentage of year 7-10 students answering correctly the items ‘language use’ in </w:t>
            </w:r>
            <w:r>
              <w:t>NAPLAN by 5 percentage points from 2017 figures</w:t>
            </w:r>
          </w:p>
          <w:p w:rsidR="00201F35" w:rsidRDefault="00121202">
            <w:pPr>
              <w:spacing w:after="200" w:line="276" w:lineRule="auto"/>
            </w:pPr>
            <w:r>
              <w:t>(not available - need to review)</w:t>
            </w:r>
          </w:p>
        </w:tc>
        <w:tc>
          <w:tcPr>
            <w:tcW w:w="795" w:type="dxa"/>
            <w:shd w:val="clear" w:color="auto" w:fill="auto"/>
          </w:tcPr>
          <w:p w:rsidR="00201F35" w:rsidRDefault="00201F35"/>
        </w:tc>
        <w:tc>
          <w:tcPr>
            <w:tcW w:w="795" w:type="dxa"/>
            <w:shd w:val="clear" w:color="auto" w:fill="auto"/>
          </w:tcPr>
          <w:p w:rsidR="00201F35" w:rsidRDefault="00201F35"/>
        </w:tc>
        <w:tc>
          <w:tcPr>
            <w:tcW w:w="795" w:type="dxa"/>
            <w:shd w:val="clear" w:color="auto" w:fill="auto"/>
          </w:tcPr>
          <w:p w:rsidR="00201F35" w:rsidRDefault="00201F35"/>
        </w:tc>
        <w:tc>
          <w:tcPr>
            <w:tcW w:w="795" w:type="dxa"/>
            <w:shd w:val="clear" w:color="auto" w:fill="auto"/>
          </w:tcPr>
          <w:p w:rsidR="00201F35" w:rsidRDefault="00201F35"/>
        </w:tc>
      </w:tr>
      <w:tr w:rsidR="00201F35">
        <w:trPr>
          <w:jc w:val="center"/>
        </w:trPr>
        <w:tc>
          <w:tcPr>
            <w:tcW w:w="5850" w:type="dxa"/>
            <w:shd w:val="clear" w:color="auto" w:fill="auto"/>
          </w:tcPr>
          <w:p w:rsidR="00201F35" w:rsidRDefault="00121202">
            <w:pPr>
              <w:spacing w:after="200" w:line="276" w:lineRule="auto"/>
            </w:pPr>
            <w:r>
              <w:t>increase in the percentage of years 7-10 students achieving 6-8 for MYP criteria D in English and Language Acquisition by 5 percentage points from 2017 figures</w:t>
            </w:r>
          </w:p>
        </w:tc>
        <w:tc>
          <w:tcPr>
            <w:tcW w:w="795" w:type="dxa"/>
            <w:shd w:val="clear" w:color="auto" w:fill="auto"/>
          </w:tcPr>
          <w:p w:rsidR="00201F35" w:rsidRDefault="00121202">
            <w:r>
              <w:t>19.28%</w:t>
            </w:r>
          </w:p>
        </w:tc>
        <w:tc>
          <w:tcPr>
            <w:tcW w:w="795" w:type="dxa"/>
            <w:shd w:val="clear" w:color="auto" w:fill="auto"/>
          </w:tcPr>
          <w:p w:rsidR="00201F35" w:rsidRDefault="00121202">
            <w:r>
              <w:t>25.67%</w:t>
            </w:r>
          </w:p>
        </w:tc>
        <w:tc>
          <w:tcPr>
            <w:tcW w:w="795" w:type="dxa"/>
            <w:shd w:val="clear" w:color="auto" w:fill="auto"/>
          </w:tcPr>
          <w:p w:rsidR="00201F35" w:rsidRDefault="00201F35"/>
        </w:tc>
        <w:tc>
          <w:tcPr>
            <w:tcW w:w="795" w:type="dxa"/>
            <w:shd w:val="clear" w:color="auto" w:fill="auto"/>
          </w:tcPr>
          <w:p w:rsidR="00201F35" w:rsidRDefault="00201F35"/>
        </w:tc>
      </w:tr>
      <w:tr w:rsidR="00201F35">
        <w:trPr>
          <w:jc w:val="center"/>
        </w:trPr>
        <w:tc>
          <w:tcPr>
            <w:tcW w:w="5850" w:type="dxa"/>
            <w:shd w:val="clear" w:color="auto" w:fill="auto"/>
          </w:tcPr>
          <w:p w:rsidR="00201F35" w:rsidRDefault="00121202">
            <w:pPr>
              <w:spacing w:after="200" w:line="276" w:lineRule="auto"/>
            </w:pPr>
            <w:r>
              <w:t xml:space="preserve">establish baseline data using the </w:t>
            </w:r>
            <w:proofErr w:type="spellStart"/>
            <w:r>
              <w:t>AtL</w:t>
            </w:r>
            <w:proofErr w:type="spellEnd"/>
            <w:r>
              <w:t xml:space="preserve"> Communication (ACARA General Capabilities) continuum (use this in following years to improve achievement from 2019 onwards)</w:t>
            </w:r>
          </w:p>
        </w:tc>
        <w:tc>
          <w:tcPr>
            <w:tcW w:w="795" w:type="dxa"/>
            <w:shd w:val="clear" w:color="auto" w:fill="auto"/>
          </w:tcPr>
          <w:p w:rsidR="00201F35" w:rsidRDefault="00121202">
            <w:r>
              <w:t>n/a</w:t>
            </w:r>
          </w:p>
        </w:tc>
        <w:tc>
          <w:tcPr>
            <w:tcW w:w="795" w:type="dxa"/>
            <w:shd w:val="clear" w:color="auto" w:fill="auto"/>
          </w:tcPr>
          <w:p w:rsidR="00201F35" w:rsidRDefault="00121202">
            <w:r>
              <w:t>n/a</w:t>
            </w:r>
          </w:p>
        </w:tc>
        <w:tc>
          <w:tcPr>
            <w:tcW w:w="795" w:type="dxa"/>
            <w:shd w:val="clear" w:color="auto" w:fill="auto"/>
          </w:tcPr>
          <w:p w:rsidR="00201F35" w:rsidRDefault="00201F35"/>
        </w:tc>
        <w:tc>
          <w:tcPr>
            <w:tcW w:w="795" w:type="dxa"/>
            <w:shd w:val="clear" w:color="auto" w:fill="auto"/>
          </w:tcPr>
          <w:p w:rsidR="00201F35" w:rsidRDefault="00201F35"/>
        </w:tc>
      </w:tr>
    </w:tbl>
    <w:p w:rsidR="00201F35" w:rsidRDefault="00201F35">
      <w:pPr>
        <w:pBdr>
          <w:top w:val="nil"/>
          <w:left w:val="nil"/>
          <w:bottom w:val="nil"/>
          <w:right w:val="nil"/>
          <w:between w:val="nil"/>
        </w:pBdr>
        <w:spacing w:after="120" w:line="240" w:lineRule="auto"/>
        <w:rPr>
          <w:color w:val="000000"/>
        </w:rPr>
      </w:pPr>
    </w:p>
    <w:p w:rsidR="00201F35" w:rsidRDefault="00121202">
      <w:pPr>
        <w:pStyle w:val="Heading3"/>
      </w:pPr>
      <w:r>
        <w:t>What this evidence tells us</w:t>
      </w:r>
    </w:p>
    <w:tbl>
      <w:tblPr>
        <w:tblStyle w:val="a3"/>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201F35">
        <w:trPr>
          <w:trHeight w:val="400"/>
          <w:jc w:val="center"/>
        </w:trPr>
        <w:tc>
          <w:tcPr>
            <w:tcW w:w="9027" w:type="dxa"/>
            <w:shd w:val="clear" w:color="auto" w:fill="auto"/>
          </w:tcPr>
          <w:p w:rsidR="00201F35" w:rsidRDefault="00121202">
            <w:pPr>
              <w:pBdr>
                <w:top w:val="nil"/>
                <w:left w:val="nil"/>
                <w:bottom w:val="nil"/>
                <w:right w:val="nil"/>
                <w:between w:val="nil"/>
              </w:pBdr>
            </w:pPr>
            <w:r>
              <w:t>The school has made some gains in the literacy data in the primary school section. We continue to see a decline in NAPLAN data across the secondary section of the school. This decline is in line with national and ACT trends.</w:t>
            </w:r>
          </w:p>
          <w:p w:rsidR="00201F35" w:rsidRDefault="00121202">
            <w:pPr>
              <w:pBdr>
                <w:top w:val="nil"/>
                <w:left w:val="nil"/>
                <w:bottom w:val="nil"/>
                <w:right w:val="nil"/>
                <w:between w:val="nil"/>
              </w:pBdr>
            </w:pPr>
            <w:r>
              <w:t>The use of the General Capabili</w:t>
            </w:r>
            <w:r>
              <w:t xml:space="preserve">ties continuums for Communication </w:t>
            </w:r>
            <w:proofErr w:type="spellStart"/>
            <w:r>
              <w:t>AtL</w:t>
            </w:r>
            <w:proofErr w:type="spellEnd"/>
            <w:r>
              <w:t xml:space="preserve"> (Approaches to Learning) has been delayed.</w:t>
            </w:r>
          </w:p>
          <w:p w:rsidR="00201F35" w:rsidRDefault="00201F35">
            <w:pPr>
              <w:pBdr>
                <w:top w:val="nil"/>
                <w:left w:val="nil"/>
                <w:bottom w:val="nil"/>
                <w:right w:val="nil"/>
                <w:between w:val="nil"/>
              </w:pBdr>
              <w:ind w:left="720"/>
              <w:rPr>
                <w:color w:val="000000"/>
              </w:rPr>
            </w:pPr>
          </w:p>
        </w:tc>
      </w:tr>
    </w:tbl>
    <w:p w:rsidR="00201F35" w:rsidRDefault="00121202">
      <w:pPr>
        <w:pStyle w:val="Heading3"/>
      </w:pPr>
      <w:r>
        <w:t>Our achievements for this priority</w:t>
      </w:r>
    </w:p>
    <w:tbl>
      <w:tblPr>
        <w:tblStyle w:val="a4"/>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201F35">
        <w:trPr>
          <w:trHeight w:val="220"/>
          <w:jc w:val="center"/>
        </w:trPr>
        <w:tc>
          <w:tcPr>
            <w:tcW w:w="9027" w:type="dxa"/>
            <w:shd w:val="clear" w:color="auto" w:fill="auto"/>
          </w:tcPr>
          <w:p w:rsidR="00201F35" w:rsidRDefault="00121202">
            <w:pPr>
              <w:pBdr>
                <w:top w:val="nil"/>
                <w:left w:val="nil"/>
                <w:bottom w:val="nil"/>
                <w:right w:val="nil"/>
                <w:between w:val="nil"/>
              </w:pBdr>
              <w:spacing w:after="120"/>
              <w:rPr>
                <w:color w:val="000000"/>
              </w:rPr>
            </w:pPr>
            <w:r>
              <w:t>The Junior Site staff engaged in the early Years literacy project supported by the Education Directorate. This project provided the scaffold to upskill staff in essential literacy practices to ensure a balanced literacy program. The positive response to th</w:t>
            </w:r>
            <w:r>
              <w:t xml:space="preserve">is program has resulted in upscaling to the entire Junior Site - P-6. </w:t>
            </w:r>
          </w:p>
        </w:tc>
      </w:tr>
    </w:tbl>
    <w:p w:rsidR="00201F35" w:rsidRDefault="00201F35">
      <w:pPr>
        <w:pBdr>
          <w:top w:val="nil"/>
          <w:left w:val="nil"/>
          <w:bottom w:val="nil"/>
          <w:right w:val="nil"/>
          <w:between w:val="nil"/>
        </w:pBdr>
        <w:spacing w:after="120" w:line="240" w:lineRule="auto"/>
        <w:rPr>
          <w:color w:val="000000"/>
        </w:rPr>
      </w:pPr>
    </w:p>
    <w:p w:rsidR="00201F35" w:rsidRDefault="00121202">
      <w:pPr>
        <w:pStyle w:val="Heading3"/>
      </w:pPr>
      <w:r>
        <w:t>Challenges we will address in our next Action Plan</w:t>
      </w:r>
    </w:p>
    <w:tbl>
      <w:tblPr>
        <w:tblStyle w:val="a5"/>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201F35">
        <w:trPr>
          <w:trHeight w:val="100"/>
          <w:jc w:val="center"/>
        </w:trPr>
        <w:tc>
          <w:tcPr>
            <w:tcW w:w="9027" w:type="dxa"/>
            <w:shd w:val="clear" w:color="auto" w:fill="auto"/>
          </w:tcPr>
          <w:p w:rsidR="00201F35" w:rsidRDefault="00121202">
            <w:pPr>
              <w:pBdr>
                <w:top w:val="nil"/>
                <w:left w:val="nil"/>
                <w:bottom w:val="nil"/>
                <w:right w:val="nil"/>
                <w:between w:val="nil"/>
              </w:pBdr>
              <w:spacing w:after="120"/>
            </w:pPr>
            <w:r>
              <w:t>Considerable focus needs to invest in the Secondary section of the school in increased literacy results across the school. The school needs to ensure a deep and narrow focus on language use. The appointment of an action learning leader for secondary litera</w:t>
            </w:r>
            <w:r>
              <w:t>cy needs to consider the long term commitment to the role to ensure successful implementation of strategies. Resources need to be allocated to monitor progress during the implementation phase of all strategies.</w:t>
            </w:r>
          </w:p>
          <w:p w:rsidR="00201F35" w:rsidRDefault="00121202">
            <w:pPr>
              <w:pBdr>
                <w:top w:val="nil"/>
                <w:left w:val="nil"/>
                <w:bottom w:val="nil"/>
                <w:right w:val="nil"/>
                <w:between w:val="nil"/>
              </w:pBdr>
              <w:spacing w:after="120"/>
            </w:pPr>
            <w:r>
              <w:t>It will be necessary to work with the Educati</w:t>
            </w:r>
            <w:r>
              <w:t>on Directorate data team to ensure that consistency of data is available to monitor and track progress against targets.</w:t>
            </w:r>
          </w:p>
          <w:p w:rsidR="00201F35" w:rsidRDefault="00121202">
            <w:pPr>
              <w:pBdr>
                <w:top w:val="nil"/>
                <w:left w:val="nil"/>
                <w:bottom w:val="nil"/>
                <w:right w:val="nil"/>
                <w:between w:val="nil"/>
              </w:pBdr>
              <w:spacing w:after="120"/>
            </w:pPr>
            <w:r>
              <w:t xml:space="preserve">The school must consider the best way forward in measuring student growth for the communication </w:t>
            </w:r>
            <w:proofErr w:type="spellStart"/>
            <w:r>
              <w:t>AtL</w:t>
            </w:r>
            <w:proofErr w:type="spellEnd"/>
            <w:r>
              <w:t xml:space="preserve"> (Approach to Learning).</w:t>
            </w:r>
          </w:p>
        </w:tc>
      </w:tr>
    </w:tbl>
    <w:p w:rsidR="00201F35" w:rsidRDefault="00201F35">
      <w:pPr>
        <w:pBdr>
          <w:top w:val="nil"/>
          <w:left w:val="nil"/>
          <w:bottom w:val="nil"/>
          <w:right w:val="nil"/>
          <w:between w:val="nil"/>
        </w:pBdr>
        <w:spacing w:after="120" w:line="240" w:lineRule="auto"/>
        <w:rPr>
          <w:color w:val="000000"/>
        </w:rPr>
      </w:pPr>
    </w:p>
    <w:p w:rsidR="00201F35" w:rsidRDefault="00121202">
      <w:pPr>
        <w:rPr>
          <w:b/>
        </w:rPr>
      </w:pPr>
      <w:r>
        <w:br w:type="page"/>
      </w:r>
    </w:p>
    <w:p w:rsidR="00201F35" w:rsidRDefault="00121202">
      <w:pPr>
        <w:pStyle w:val="Heading2"/>
        <w:tabs>
          <w:tab w:val="left" w:pos="1276"/>
        </w:tabs>
        <w:ind w:left="1276" w:hanging="1276"/>
        <w:rPr>
          <w:color w:val="000000"/>
        </w:rPr>
      </w:pPr>
      <w:r>
        <w:lastRenderedPageBreak/>
        <w:t>Priority 2:</w:t>
      </w:r>
      <w:r>
        <w:rPr>
          <w:color w:val="000000"/>
        </w:rPr>
        <w:tab/>
        <w:t>Strong learning Culture</w:t>
      </w:r>
    </w:p>
    <w:p w:rsidR="00201F35" w:rsidRDefault="00121202">
      <w:pPr>
        <w:pStyle w:val="Heading3"/>
      </w:pPr>
      <w:r>
        <w:t>Targets or measures</w:t>
      </w:r>
    </w:p>
    <w:p w:rsidR="00201F35" w:rsidRDefault="00121202">
      <w:pPr>
        <w:pBdr>
          <w:top w:val="nil"/>
          <w:left w:val="nil"/>
          <w:bottom w:val="nil"/>
          <w:right w:val="nil"/>
          <w:between w:val="nil"/>
        </w:pBdr>
        <w:spacing w:after="120" w:line="240" w:lineRule="auto"/>
        <w:rPr>
          <w:color w:val="000000"/>
        </w:rPr>
      </w:pPr>
      <w:r>
        <w:rPr>
          <w:color w:val="000000"/>
        </w:rPr>
        <w:t>By the end of 20</w:t>
      </w:r>
      <w:r>
        <w:t>20</w:t>
      </w:r>
      <w:r>
        <w:rPr>
          <w:color w:val="000000"/>
        </w:rPr>
        <w:t xml:space="preserve"> we will achieve:</w:t>
      </w:r>
    </w:p>
    <w:p w:rsidR="00201F35" w:rsidRDefault="00121202">
      <w:pPr>
        <w:widowControl w:val="0"/>
        <w:numPr>
          <w:ilvl w:val="0"/>
          <w:numId w:val="2"/>
        </w:numPr>
        <w:spacing w:after="0" w:line="240" w:lineRule="auto"/>
      </w:pPr>
      <w:r>
        <w:t>Improved perception of students and staff in relation to school safety</w:t>
      </w:r>
    </w:p>
    <w:p w:rsidR="00201F35" w:rsidRDefault="00121202">
      <w:pPr>
        <w:widowControl w:val="0"/>
        <w:numPr>
          <w:ilvl w:val="0"/>
          <w:numId w:val="2"/>
        </w:numPr>
        <w:spacing w:after="0" w:line="240" w:lineRule="auto"/>
      </w:pPr>
      <w:r>
        <w:t>Improved use of digital technologies</w:t>
      </w:r>
    </w:p>
    <w:p w:rsidR="00201F35" w:rsidRDefault="00121202">
      <w:pPr>
        <w:widowControl w:val="0"/>
        <w:numPr>
          <w:ilvl w:val="0"/>
          <w:numId w:val="2"/>
        </w:numPr>
        <w:spacing w:after="0" w:line="240" w:lineRule="auto"/>
      </w:pPr>
      <w:r>
        <w:t>Increased attendance rates in students from years 7 -10</w:t>
      </w:r>
    </w:p>
    <w:p w:rsidR="00201F35" w:rsidRDefault="00121202">
      <w:pPr>
        <w:widowControl w:val="0"/>
        <w:numPr>
          <w:ilvl w:val="0"/>
          <w:numId w:val="2"/>
        </w:numPr>
        <w:spacing w:after="0" w:line="240" w:lineRule="auto"/>
      </w:pPr>
      <w:r>
        <w:t>Improved student engagement and challenge in learning</w:t>
      </w:r>
    </w:p>
    <w:p w:rsidR="00201F35" w:rsidRDefault="00201F35">
      <w:pPr>
        <w:widowControl w:val="0"/>
        <w:numPr>
          <w:ilvl w:val="0"/>
          <w:numId w:val="2"/>
        </w:numPr>
        <w:spacing w:after="0" w:line="240" w:lineRule="auto"/>
      </w:pPr>
    </w:p>
    <w:p w:rsidR="00201F35" w:rsidRDefault="00121202">
      <w:pPr>
        <w:pBdr>
          <w:top w:val="nil"/>
          <w:left w:val="nil"/>
          <w:bottom w:val="nil"/>
          <w:right w:val="nil"/>
          <w:between w:val="nil"/>
        </w:pBdr>
        <w:spacing w:after="120" w:line="240" w:lineRule="auto"/>
        <w:rPr>
          <w:color w:val="000000"/>
        </w:rPr>
      </w:pPr>
      <w:r>
        <w:rPr>
          <w:color w:val="000000"/>
        </w:rPr>
        <w:t>In 20</w:t>
      </w:r>
      <w:r>
        <w:t>18</w:t>
      </w:r>
      <w:r>
        <w:rPr>
          <w:color w:val="000000"/>
        </w:rPr>
        <w:t xml:space="preserve"> we implemented this priority through the following strategies.</w:t>
      </w:r>
    </w:p>
    <w:p w:rsidR="00201F35" w:rsidRDefault="00121202">
      <w:pPr>
        <w:widowControl w:val="0"/>
        <w:numPr>
          <w:ilvl w:val="0"/>
          <w:numId w:val="2"/>
        </w:numPr>
        <w:spacing w:after="0" w:line="240" w:lineRule="auto"/>
      </w:pPr>
      <w:r>
        <w:t>Develop and implement a schoolwide educative approach to managing student behaviour</w:t>
      </w:r>
    </w:p>
    <w:p w:rsidR="00201F35" w:rsidRDefault="00121202">
      <w:pPr>
        <w:widowControl w:val="0"/>
        <w:numPr>
          <w:ilvl w:val="0"/>
          <w:numId w:val="2"/>
        </w:numPr>
        <w:spacing w:after="0" w:line="240" w:lineRule="auto"/>
      </w:pPr>
      <w:r>
        <w:t>Utilise digital technologies to enhance teachi</w:t>
      </w:r>
      <w:r>
        <w:t>ng and learning programs.</w:t>
      </w:r>
    </w:p>
    <w:p w:rsidR="00201F35" w:rsidRDefault="00121202">
      <w:pPr>
        <w:widowControl w:val="0"/>
        <w:numPr>
          <w:ilvl w:val="0"/>
          <w:numId w:val="2"/>
        </w:numPr>
        <w:spacing w:after="0" w:line="240" w:lineRule="auto"/>
      </w:pPr>
      <w:r>
        <w:t>Develop and Implement whole of school attendance monitoring and intervention processes</w:t>
      </w:r>
    </w:p>
    <w:p w:rsidR="00201F35" w:rsidRDefault="00121202">
      <w:pPr>
        <w:widowControl w:val="0"/>
        <w:numPr>
          <w:ilvl w:val="0"/>
          <w:numId w:val="2"/>
        </w:numPr>
        <w:spacing w:after="0" w:line="240" w:lineRule="auto"/>
      </w:pPr>
      <w:r>
        <w:t>Build a shared understanding of personalised learning to engage and challenge students</w:t>
      </w:r>
    </w:p>
    <w:p w:rsidR="00201F35" w:rsidRDefault="00201F35">
      <w:pPr>
        <w:pBdr>
          <w:top w:val="nil"/>
          <w:left w:val="nil"/>
          <w:bottom w:val="nil"/>
          <w:right w:val="nil"/>
          <w:between w:val="nil"/>
        </w:pBdr>
        <w:spacing w:after="120" w:line="240" w:lineRule="auto"/>
        <w:rPr>
          <w:color w:val="000000"/>
        </w:rPr>
      </w:pPr>
    </w:p>
    <w:p w:rsidR="00201F35" w:rsidRDefault="00121202">
      <w:pPr>
        <w:pBdr>
          <w:top w:val="nil"/>
          <w:left w:val="nil"/>
          <w:bottom w:val="nil"/>
          <w:right w:val="nil"/>
          <w:between w:val="nil"/>
        </w:pBdr>
        <w:spacing w:after="0" w:line="240" w:lineRule="auto"/>
        <w:rPr>
          <w:i/>
          <w:color w:val="000000"/>
        </w:rPr>
      </w:pPr>
      <w:r>
        <w:rPr>
          <w:i/>
          <w:color w:val="000000"/>
        </w:rPr>
        <w:t>Below is our progress towards our five-year targets with an emphasis on the accumulation and analysis of evidence over the term of our plan.</w:t>
      </w:r>
    </w:p>
    <w:p w:rsidR="00201F35" w:rsidRDefault="00121202">
      <w:pPr>
        <w:pStyle w:val="Heading4"/>
      </w:pPr>
      <w:r>
        <w:t>Perception Data</w:t>
      </w:r>
    </w:p>
    <w:tbl>
      <w:tblPr>
        <w:tblStyle w:val="a6"/>
        <w:tblW w:w="9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8"/>
        <w:gridCol w:w="888"/>
        <w:gridCol w:w="888"/>
        <w:gridCol w:w="888"/>
        <w:gridCol w:w="888"/>
      </w:tblGrid>
      <w:tr w:rsidR="00201F35">
        <w:trPr>
          <w:jc w:val="center"/>
        </w:trPr>
        <w:tc>
          <w:tcPr>
            <w:tcW w:w="5535" w:type="dxa"/>
            <w:shd w:val="clear" w:color="auto" w:fill="auto"/>
          </w:tcPr>
          <w:p w:rsidR="00201F35" w:rsidRDefault="00121202">
            <w:pPr>
              <w:rPr>
                <w:b/>
              </w:rPr>
            </w:pPr>
            <w:r>
              <w:rPr>
                <w:b/>
              </w:rPr>
              <w:t>Targets or Measures</w:t>
            </w:r>
          </w:p>
        </w:tc>
        <w:tc>
          <w:tcPr>
            <w:tcW w:w="888" w:type="dxa"/>
            <w:shd w:val="clear" w:color="auto" w:fill="auto"/>
          </w:tcPr>
          <w:p w:rsidR="00201F35" w:rsidRDefault="00121202">
            <w:pPr>
              <w:jc w:val="center"/>
              <w:rPr>
                <w:b/>
              </w:rPr>
            </w:pPr>
            <w:r>
              <w:rPr>
                <w:b/>
              </w:rPr>
              <w:t>Base</w:t>
            </w:r>
          </w:p>
        </w:tc>
        <w:tc>
          <w:tcPr>
            <w:tcW w:w="888" w:type="dxa"/>
            <w:shd w:val="clear" w:color="auto" w:fill="auto"/>
          </w:tcPr>
          <w:p w:rsidR="00201F35" w:rsidRDefault="00121202">
            <w:pPr>
              <w:jc w:val="center"/>
              <w:rPr>
                <w:b/>
              </w:rPr>
            </w:pPr>
            <w:r>
              <w:rPr>
                <w:b/>
              </w:rPr>
              <w:t>Year 1</w:t>
            </w:r>
          </w:p>
        </w:tc>
        <w:tc>
          <w:tcPr>
            <w:tcW w:w="888" w:type="dxa"/>
            <w:shd w:val="clear" w:color="auto" w:fill="auto"/>
          </w:tcPr>
          <w:p w:rsidR="00201F35" w:rsidRDefault="00121202">
            <w:pPr>
              <w:jc w:val="center"/>
              <w:rPr>
                <w:b/>
              </w:rPr>
            </w:pPr>
            <w:r>
              <w:rPr>
                <w:b/>
              </w:rPr>
              <w:t>Year 2</w:t>
            </w:r>
          </w:p>
        </w:tc>
        <w:tc>
          <w:tcPr>
            <w:tcW w:w="888" w:type="dxa"/>
            <w:shd w:val="clear" w:color="auto" w:fill="auto"/>
          </w:tcPr>
          <w:p w:rsidR="00201F35" w:rsidRDefault="00121202">
            <w:pPr>
              <w:jc w:val="center"/>
              <w:rPr>
                <w:b/>
              </w:rPr>
            </w:pPr>
            <w:r>
              <w:rPr>
                <w:b/>
              </w:rPr>
              <w:t>Year 3</w:t>
            </w:r>
          </w:p>
        </w:tc>
      </w:tr>
      <w:tr w:rsidR="00201F35">
        <w:trPr>
          <w:jc w:val="center"/>
        </w:trPr>
        <w:tc>
          <w:tcPr>
            <w:tcW w:w="5535" w:type="dxa"/>
            <w:shd w:val="clear" w:color="auto" w:fill="auto"/>
          </w:tcPr>
          <w:p w:rsidR="00201F35" w:rsidRDefault="00121202">
            <w:pPr>
              <w:spacing w:after="200" w:line="276" w:lineRule="auto"/>
              <w:rPr>
                <w:color w:val="000000"/>
              </w:rPr>
            </w:pPr>
            <w:r>
              <w:t>reduce the gap in agreement between the school and ACT like school in the System Survey question “Student behaviour is well managed” from 2017 figures</w:t>
            </w:r>
            <w:r>
              <w:br/>
            </w:r>
            <w:r>
              <w:tab/>
              <w:t>students (2017-5%) by 5 percentage point</w:t>
            </w:r>
            <w:r>
              <w:br/>
            </w:r>
            <w:r>
              <w:tab/>
              <w:t>staff (2017-24%) by 10 percentage points</w:t>
            </w:r>
            <w:r>
              <w:br/>
            </w:r>
            <w:r>
              <w:tab/>
              <w:t>parents (2017- 8%) b</w:t>
            </w:r>
            <w:r>
              <w:t>y 3 percentage points</w:t>
            </w:r>
          </w:p>
        </w:tc>
        <w:tc>
          <w:tcPr>
            <w:tcW w:w="888" w:type="dxa"/>
            <w:shd w:val="clear" w:color="auto" w:fill="auto"/>
          </w:tcPr>
          <w:p w:rsidR="00201F35" w:rsidRDefault="00201F35"/>
          <w:p w:rsidR="00201F35" w:rsidRDefault="00201F35"/>
          <w:p w:rsidR="00201F35" w:rsidRDefault="00201F35"/>
          <w:p w:rsidR="00201F35" w:rsidRDefault="00201F35"/>
          <w:p w:rsidR="00201F35" w:rsidRDefault="00201F35"/>
          <w:p w:rsidR="00201F35" w:rsidRDefault="00121202">
            <w:r>
              <w:t>5% gap</w:t>
            </w:r>
          </w:p>
          <w:p w:rsidR="00201F35" w:rsidRDefault="00201F35"/>
          <w:p w:rsidR="00201F35" w:rsidRDefault="00121202">
            <w:r>
              <w:t>24% gap</w:t>
            </w:r>
          </w:p>
          <w:p w:rsidR="00201F35" w:rsidRDefault="00201F35"/>
          <w:p w:rsidR="00201F35" w:rsidRDefault="00121202">
            <w:r>
              <w:t>8% gap</w:t>
            </w:r>
          </w:p>
        </w:tc>
        <w:tc>
          <w:tcPr>
            <w:tcW w:w="888" w:type="dxa"/>
            <w:shd w:val="clear" w:color="auto" w:fill="auto"/>
          </w:tcPr>
          <w:p w:rsidR="00201F35" w:rsidRDefault="00201F35"/>
          <w:p w:rsidR="00201F35" w:rsidRDefault="00201F35"/>
          <w:p w:rsidR="00201F35" w:rsidRDefault="00201F35"/>
          <w:p w:rsidR="00201F35" w:rsidRDefault="00201F35"/>
          <w:p w:rsidR="00201F35" w:rsidRDefault="00201F35"/>
          <w:p w:rsidR="00201F35" w:rsidRDefault="00121202">
            <w:r>
              <w:t>1% gap</w:t>
            </w:r>
          </w:p>
          <w:p w:rsidR="00201F35" w:rsidRDefault="00201F35"/>
          <w:p w:rsidR="00201F35" w:rsidRDefault="00121202">
            <w:r>
              <w:t>19% gap</w:t>
            </w:r>
          </w:p>
          <w:p w:rsidR="00201F35" w:rsidRDefault="00201F35"/>
          <w:p w:rsidR="00201F35" w:rsidRDefault="00121202">
            <w:r>
              <w:t>2% gap</w:t>
            </w:r>
          </w:p>
        </w:tc>
        <w:tc>
          <w:tcPr>
            <w:tcW w:w="888" w:type="dxa"/>
            <w:shd w:val="clear" w:color="auto" w:fill="auto"/>
          </w:tcPr>
          <w:p w:rsidR="00201F35" w:rsidRDefault="00201F35"/>
        </w:tc>
        <w:tc>
          <w:tcPr>
            <w:tcW w:w="888" w:type="dxa"/>
            <w:shd w:val="clear" w:color="auto" w:fill="auto"/>
          </w:tcPr>
          <w:p w:rsidR="00201F35" w:rsidRDefault="00201F35"/>
        </w:tc>
      </w:tr>
      <w:tr w:rsidR="00201F35">
        <w:trPr>
          <w:jc w:val="center"/>
        </w:trPr>
        <w:tc>
          <w:tcPr>
            <w:tcW w:w="5535" w:type="dxa"/>
            <w:shd w:val="clear" w:color="auto" w:fill="auto"/>
          </w:tcPr>
          <w:p w:rsidR="00201F35" w:rsidRDefault="00121202">
            <w:pPr>
              <w:spacing w:after="200" w:line="276" w:lineRule="auto"/>
            </w:pPr>
            <w:r>
              <w:t xml:space="preserve">a decrease in students reporting low levels of perceived support  and safety in ASCSIMT in </w:t>
            </w:r>
          </w:p>
          <w:p w:rsidR="00201F35" w:rsidRDefault="00121202">
            <w:pPr>
              <w:spacing w:after="200" w:line="276" w:lineRule="auto"/>
            </w:pPr>
            <w:r>
              <w:t>a decrease in students reporting disagreement of perceived safety and support</w:t>
            </w:r>
          </w:p>
          <w:p w:rsidR="00201F35" w:rsidRDefault="00121202">
            <w:pPr>
              <w:numPr>
                <w:ilvl w:val="0"/>
                <w:numId w:val="1"/>
              </w:numPr>
              <w:spacing w:line="276" w:lineRule="auto"/>
            </w:pPr>
            <w:r>
              <w:t>years 7-10</w:t>
            </w:r>
          </w:p>
          <w:p w:rsidR="00201F35" w:rsidRDefault="00121202">
            <w:pPr>
              <w:numPr>
                <w:ilvl w:val="0"/>
                <w:numId w:val="1"/>
              </w:numPr>
              <w:spacing w:after="200" w:line="276" w:lineRule="auto"/>
            </w:pPr>
            <w:r>
              <w:t>years 4-6</w:t>
            </w:r>
          </w:p>
          <w:p w:rsidR="00201F35" w:rsidRDefault="00121202">
            <w:pPr>
              <w:spacing w:after="200" w:line="276" w:lineRule="auto"/>
            </w:pPr>
            <w:r>
              <w:t>(</w:t>
            </w:r>
            <w:r>
              <w:rPr>
                <w:b/>
                <w:i/>
              </w:rPr>
              <w:t xml:space="preserve">new target to be implemented from 2018 due to changes to survey </w:t>
            </w:r>
            <w:r>
              <w:rPr>
                <w:b/>
                <w:i/>
              </w:rPr>
              <w:t>reporting)</w:t>
            </w:r>
          </w:p>
        </w:tc>
        <w:tc>
          <w:tcPr>
            <w:tcW w:w="888" w:type="dxa"/>
            <w:shd w:val="clear" w:color="auto" w:fill="auto"/>
          </w:tcPr>
          <w:p w:rsidR="00201F35" w:rsidRDefault="00201F35"/>
        </w:tc>
        <w:tc>
          <w:tcPr>
            <w:tcW w:w="888" w:type="dxa"/>
            <w:shd w:val="clear" w:color="auto" w:fill="auto"/>
          </w:tcPr>
          <w:p w:rsidR="00201F35" w:rsidRDefault="00201F35"/>
          <w:p w:rsidR="00201F35" w:rsidRDefault="00201F35"/>
          <w:p w:rsidR="00201F35" w:rsidRDefault="00201F35"/>
          <w:p w:rsidR="00201F35" w:rsidRDefault="00201F35"/>
          <w:p w:rsidR="00201F35" w:rsidRDefault="00201F35"/>
          <w:p w:rsidR="00201F35" w:rsidRDefault="00201F35"/>
          <w:p w:rsidR="00201F35" w:rsidRDefault="00121202">
            <w:r>
              <w:t>23%</w:t>
            </w:r>
          </w:p>
          <w:p w:rsidR="00201F35" w:rsidRDefault="00121202">
            <w:r>
              <w:t>20%</w:t>
            </w:r>
          </w:p>
        </w:tc>
        <w:tc>
          <w:tcPr>
            <w:tcW w:w="888" w:type="dxa"/>
            <w:shd w:val="clear" w:color="auto" w:fill="auto"/>
          </w:tcPr>
          <w:p w:rsidR="00201F35" w:rsidRDefault="00201F35"/>
        </w:tc>
        <w:tc>
          <w:tcPr>
            <w:tcW w:w="888" w:type="dxa"/>
            <w:shd w:val="clear" w:color="auto" w:fill="auto"/>
          </w:tcPr>
          <w:p w:rsidR="00201F35" w:rsidRDefault="00201F35"/>
        </w:tc>
      </w:tr>
      <w:tr w:rsidR="00201F35">
        <w:trPr>
          <w:jc w:val="center"/>
        </w:trPr>
        <w:tc>
          <w:tcPr>
            <w:tcW w:w="5535" w:type="dxa"/>
            <w:shd w:val="clear" w:color="auto" w:fill="auto"/>
          </w:tcPr>
          <w:p w:rsidR="00201F35" w:rsidRDefault="00121202">
            <w:pPr>
              <w:spacing w:after="200" w:line="276" w:lineRule="auto"/>
            </w:pPr>
            <w:r>
              <w:t>an increase in agreement in the System Survey question “ At this school I have access to equipment such as computers, internet and digital cameras” from 2017 figures for years 5 and 6 students (2017-84.71%) by 5 percentage points</w:t>
            </w:r>
          </w:p>
        </w:tc>
        <w:tc>
          <w:tcPr>
            <w:tcW w:w="888" w:type="dxa"/>
            <w:shd w:val="clear" w:color="auto" w:fill="auto"/>
          </w:tcPr>
          <w:p w:rsidR="00201F35" w:rsidRDefault="00121202">
            <w:r>
              <w:t>84.71%</w:t>
            </w:r>
          </w:p>
        </w:tc>
        <w:tc>
          <w:tcPr>
            <w:tcW w:w="888" w:type="dxa"/>
            <w:shd w:val="clear" w:color="auto" w:fill="auto"/>
          </w:tcPr>
          <w:p w:rsidR="00201F35" w:rsidRDefault="00121202">
            <w:r>
              <w:t>86%</w:t>
            </w:r>
          </w:p>
        </w:tc>
        <w:tc>
          <w:tcPr>
            <w:tcW w:w="888" w:type="dxa"/>
            <w:shd w:val="clear" w:color="auto" w:fill="auto"/>
          </w:tcPr>
          <w:p w:rsidR="00201F35" w:rsidRDefault="00201F35"/>
        </w:tc>
        <w:tc>
          <w:tcPr>
            <w:tcW w:w="888" w:type="dxa"/>
            <w:shd w:val="clear" w:color="auto" w:fill="auto"/>
          </w:tcPr>
          <w:p w:rsidR="00201F35" w:rsidRDefault="00201F35"/>
        </w:tc>
      </w:tr>
      <w:tr w:rsidR="00201F35">
        <w:trPr>
          <w:trHeight w:val="4320"/>
          <w:jc w:val="center"/>
        </w:trPr>
        <w:tc>
          <w:tcPr>
            <w:tcW w:w="5535" w:type="dxa"/>
            <w:shd w:val="clear" w:color="auto" w:fill="auto"/>
          </w:tcPr>
          <w:p w:rsidR="00201F35" w:rsidRDefault="00121202">
            <w:pPr>
              <w:spacing w:after="200" w:line="276" w:lineRule="auto"/>
            </w:pPr>
            <w:r>
              <w:lastRenderedPageBreak/>
              <w:t xml:space="preserve">an increase </w:t>
            </w:r>
            <w:r>
              <w:t>in agreement in the System Survey question “The use of learning technologies is an integral part of learning and teaching” from 2017 figures</w:t>
            </w:r>
            <w:r>
              <w:br/>
              <w:t>staff (2017-x%) by y percentage points - Whole school</w:t>
            </w:r>
          </w:p>
          <w:p w:rsidR="00201F35" w:rsidRDefault="00121202">
            <w:pPr>
              <w:spacing w:after="200" w:line="276" w:lineRule="auto"/>
            </w:pPr>
            <w:r>
              <w:t>(needs to be reviewed as Junior Site only data is not availab</w:t>
            </w:r>
            <w:r>
              <w:t>le)</w:t>
            </w:r>
          </w:p>
          <w:p w:rsidR="00201F35" w:rsidRDefault="00121202">
            <w:pPr>
              <w:spacing w:after="200" w:line="276" w:lineRule="auto"/>
            </w:pPr>
            <w:r>
              <w:t xml:space="preserve">parents (2017- 71.15%) by 5 percentage points </w:t>
            </w:r>
          </w:p>
          <w:p w:rsidR="00201F35" w:rsidRDefault="00201F35">
            <w:pPr>
              <w:spacing w:after="200" w:line="276" w:lineRule="auto"/>
              <w:rPr>
                <w:highlight w:val="yellow"/>
              </w:rPr>
            </w:pPr>
          </w:p>
        </w:tc>
        <w:tc>
          <w:tcPr>
            <w:tcW w:w="888" w:type="dxa"/>
            <w:shd w:val="clear" w:color="auto" w:fill="auto"/>
          </w:tcPr>
          <w:p w:rsidR="00201F35" w:rsidRDefault="00201F35"/>
          <w:p w:rsidR="00201F35" w:rsidRDefault="00201F35"/>
          <w:p w:rsidR="00201F35" w:rsidRDefault="00201F35"/>
          <w:p w:rsidR="00201F35" w:rsidRDefault="00121202">
            <w:r>
              <w:t>57%</w:t>
            </w:r>
          </w:p>
          <w:p w:rsidR="00201F35" w:rsidRDefault="00201F35"/>
          <w:p w:rsidR="00201F35" w:rsidRDefault="00201F35"/>
          <w:p w:rsidR="00201F35" w:rsidRDefault="00201F35"/>
          <w:p w:rsidR="00201F35" w:rsidRDefault="00201F35"/>
          <w:p w:rsidR="00201F35" w:rsidRDefault="00121202">
            <w:r>
              <w:t>71.5%</w:t>
            </w:r>
          </w:p>
        </w:tc>
        <w:tc>
          <w:tcPr>
            <w:tcW w:w="888" w:type="dxa"/>
            <w:shd w:val="clear" w:color="auto" w:fill="auto"/>
          </w:tcPr>
          <w:p w:rsidR="00201F35" w:rsidRDefault="00201F35"/>
          <w:p w:rsidR="00201F35" w:rsidRDefault="00201F35"/>
          <w:p w:rsidR="00201F35" w:rsidRDefault="00201F35"/>
          <w:p w:rsidR="00201F35" w:rsidRDefault="00121202">
            <w:r>
              <w:t>72%</w:t>
            </w:r>
          </w:p>
          <w:p w:rsidR="00201F35" w:rsidRDefault="00201F35"/>
          <w:p w:rsidR="00201F35" w:rsidRDefault="00201F35"/>
          <w:p w:rsidR="00201F35" w:rsidRDefault="00201F35"/>
          <w:p w:rsidR="00201F35" w:rsidRDefault="00201F35"/>
          <w:p w:rsidR="00201F35" w:rsidRDefault="00121202">
            <w:r>
              <w:t>85%</w:t>
            </w:r>
          </w:p>
        </w:tc>
        <w:tc>
          <w:tcPr>
            <w:tcW w:w="888" w:type="dxa"/>
            <w:shd w:val="clear" w:color="auto" w:fill="auto"/>
          </w:tcPr>
          <w:p w:rsidR="00201F35" w:rsidRDefault="00201F35"/>
        </w:tc>
        <w:tc>
          <w:tcPr>
            <w:tcW w:w="888" w:type="dxa"/>
            <w:shd w:val="clear" w:color="auto" w:fill="auto"/>
          </w:tcPr>
          <w:p w:rsidR="00201F35" w:rsidRDefault="00201F35"/>
        </w:tc>
      </w:tr>
      <w:tr w:rsidR="00201F35">
        <w:trPr>
          <w:jc w:val="center"/>
        </w:trPr>
        <w:tc>
          <w:tcPr>
            <w:tcW w:w="5535" w:type="dxa"/>
            <w:shd w:val="clear" w:color="auto" w:fill="auto"/>
          </w:tcPr>
          <w:p w:rsidR="00201F35" w:rsidRDefault="00121202">
            <w:pPr>
              <w:spacing w:after="200" w:line="276" w:lineRule="auto"/>
            </w:pPr>
            <w:r>
              <w:t>a decrease in students reporting low levels of behavioural engagement in ASCSIMT in years 7-10 (2017 - 6%) to 4%</w:t>
            </w:r>
          </w:p>
          <w:p w:rsidR="00201F35" w:rsidRDefault="00121202">
            <w:pPr>
              <w:spacing w:after="200" w:line="276" w:lineRule="auto"/>
            </w:pPr>
            <w:r>
              <w:t>a decrease in students reporting disagreement of behavioural engagement</w:t>
            </w:r>
          </w:p>
          <w:p w:rsidR="00201F35" w:rsidRDefault="00121202">
            <w:pPr>
              <w:spacing w:after="200" w:line="276" w:lineRule="auto"/>
              <w:rPr>
                <w:b/>
                <w:i/>
              </w:rPr>
            </w:pPr>
            <w:r>
              <w:t>(</w:t>
            </w:r>
            <w:r>
              <w:rPr>
                <w:b/>
                <w:i/>
              </w:rPr>
              <w:t>new target to be implemented from 2018 due to changes to survey report</w:t>
            </w:r>
            <w:r>
              <w:rPr>
                <w:b/>
                <w:i/>
              </w:rPr>
              <w:t>ing)</w:t>
            </w:r>
          </w:p>
        </w:tc>
        <w:tc>
          <w:tcPr>
            <w:tcW w:w="888" w:type="dxa"/>
            <w:shd w:val="clear" w:color="auto" w:fill="auto"/>
          </w:tcPr>
          <w:p w:rsidR="00201F35" w:rsidRDefault="00201F35"/>
          <w:p w:rsidR="00201F35" w:rsidRDefault="00201F35"/>
          <w:p w:rsidR="00201F35" w:rsidRDefault="00201F35"/>
          <w:p w:rsidR="00201F35" w:rsidRDefault="00121202">
            <w:r>
              <w:t>6%</w:t>
            </w:r>
          </w:p>
        </w:tc>
        <w:tc>
          <w:tcPr>
            <w:tcW w:w="888" w:type="dxa"/>
            <w:shd w:val="clear" w:color="auto" w:fill="auto"/>
          </w:tcPr>
          <w:p w:rsidR="00201F35" w:rsidRDefault="00201F35"/>
          <w:p w:rsidR="00201F35" w:rsidRDefault="00201F35"/>
          <w:p w:rsidR="00201F35" w:rsidRDefault="00201F35"/>
          <w:p w:rsidR="00201F35" w:rsidRDefault="00121202">
            <w:r>
              <w:t>6%</w:t>
            </w:r>
          </w:p>
        </w:tc>
        <w:tc>
          <w:tcPr>
            <w:tcW w:w="888" w:type="dxa"/>
            <w:shd w:val="clear" w:color="auto" w:fill="auto"/>
          </w:tcPr>
          <w:p w:rsidR="00201F35" w:rsidRDefault="00201F35"/>
        </w:tc>
        <w:tc>
          <w:tcPr>
            <w:tcW w:w="888" w:type="dxa"/>
            <w:shd w:val="clear" w:color="auto" w:fill="auto"/>
          </w:tcPr>
          <w:p w:rsidR="00201F35" w:rsidRDefault="00201F35"/>
        </w:tc>
      </w:tr>
      <w:tr w:rsidR="00201F35">
        <w:trPr>
          <w:jc w:val="center"/>
        </w:trPr>
        <w:tc>
          <w:tcPr>
            <w:tcW w:w="5535" w:type="dxa"/>
            <w:shd w:val="clear" w:color="auto" w:fill="auto"/>
          </w:tcPr>
          <w:p w:rsidR="00201F35" w:rsidRDefault="00121202">
            <w:pPr>
              <w:spacing w:after="200" w:line="276" w:lineRule="auto"/>
            </w:pPr>
            <w:r>
              <w:t>an increase in students reporting excellent levels of emotional engagement in ASCSIMT in year 7-10 (2017 - 18.2%) to 22%</w:t>
            </w:r>
            <w:r>
              <w:br/>
            </w:r>
          </w:p>
          <w:p w:rsidR="00201F35" w:rsidRDefault="00121202">
            <w:pPr>
              <w:spacing w:after="200" w:line="276" w:lineRule="auto"/>
            </w:pPr>
            <w:r>
              <w:t>an increase in students reporting agreement in levels of emotional engagement</w:t>
            </w:r>
          </w:p>
          <w:p w:rsidR="00201F35" w:rsidRDefault="00121202">
            <w:pPr>
              <w:spacing w:after="200" w:line="276" w:lineRule="auto"/>
            </w:pPr>
            <w:r>
              <w:t>(</w:t>
            </w:r>
            <w:r>
              <w:rPr>
                <w:b/>
                <w:i/>
              </w:rPr>
              <w:t>new target to be implemented from 2018 due to changes t</w:t>
            </w:r>
            <w:r>
              <w:rPr>
                <w:b/>
                <w:i/>
              </w:rPr>
              <w:t>o survey reporting)</w:t>
            </w:r>
          </w:p>
        </w:tc>
        <w:tc>
          <w:tcPr>
            <w:tcW w:w="888" w:type="dxa"/>
            <w:shd w:val="clear" w:color="auto" w:fill="auto"/>
          </w:tcPr>
          <w:p w:rsidR="00201F35" w:rsidRDefault="00121202">
            <w:r>
              <w:t>18.2%</w:t>
            </w:r>
          </w:p>
        </w:tc>
        <w:tc>
          <w:tcPr>
            <w:tcW w:w="888" w:type="dxa"/>
            <w:shd w:val="clear" w:color="auto" w:fill="auto"/>
          </w:tcPr>
          <w:p w:rsidR="00201F35" w:rsidRDefault="00121202">
            <w:r>
              <w:t>39%</w:t>
            </w:r>
          </w:p>
        </w:tc>
        <w:tc>
          <w:tcPr>
            <w:tcW w:w="888" w:type="dxa"/>
            <w:shd w:val="clear" w:color="auto" w:fill="auto"/>
          </w:tcPr>
          <w:p w:rsidR="00201F35" w:rsidRDefault="00201F35"/>
        </w:tc>
        <w:tc>
          <w:tcPr>
            <w:tcW w:w="888" w:type="dxa"/>
            <w:shd w:val="clear" w:color="auto" w:fill="auto"/>
          </w:tcPr>
          <w:p w:rsidR="00201F35" w:rsidRDefault="00201F35"/>
        </w:tc>
      </w:tr>
    </w:tbl>
    <w:p w:rsidR="00201F35" w:rsidRDefault="00121202">
      <w:pPr>
        <w:pStyle w:val="Heading4"/>
      </w:pPr>
      <w:r>
        <w:t>School program and process data</w:t>
      </w:r>
    </w:p>
    <w:tbl>
      <w:tblPr>
        <w:tblStyle w:val="a7"/>
        <w:tblW w:w="9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5"/>
        <w:gridCol w:w="870"/>
        <w:gridCol w:w="870"/>
        <w:gridCol w:w="870"/>
        <w:gridCol w:w="870"/>
      </w:tblGrid>
      <w:tr w:rsidR="00201F35">
        <w:trPr>
          <w:jc w:val="center"/>
        </w:trPr>
        <w:tc>
          <w:tcPr>
            <w:tcW w:w="5535" w:type="dxa"/>
            <w:shd w:val="clear" w:color="auto" w:fill="auto"/>
          </w:tcPr>
          <w:p w:rsidR="00201F35" w:rsidRDefault="00121202">
            <w:pPr>
              <w:rPr>
                <w:b/>
              </w:rPr>
            </w:pPr>
            <w:r>
              <w:rPr>
                <w:b/>
              </w:rPr>
              <w:t>Targets or Measures</w:t>
            </w:r>
          </w:p>
        </w:tc>
        <w:tc>
          <w:tcPr>
            <w:tcW w:w="870" w:type="dxa"/>
            <w:shd w:val="clear" w:color="auto" w:fill="auto"/>
          </w:tcPr>
          <w:p w:rsidR="00201F35" w:rsidRDefault="00121202">
            <w:pPr>
              <w:jc w:val="center"/>
              <w:rPr>
                <w:b/>
              </w:rPr>
            </w:pPr>
            <w:r>
              <w:rPr>
                <w:b/>
              </w:rPr>
              <w:t>Base</w:t>
            </w:r>
          </w:p>
        </w:tc>
        <w:tc>
          <w:tcPr>
            <w:tcW w:w="870" w:type="dxa"/>
            <w:shd w:val="clear" w:color="auto" w:fill="auto"/>
          </w:tcPr>
          <w:p w:rsidR="00201F35" w:rsidRDefault="00121202">
            <w:pPr>
              <w:jc w:val="center"/>
              <w:rPr>
                <w:b/>
              </w:rPr>
            </w:pPr>
            <w:r>
              <w:rPr>
                <w:b/>
              </w:rPr>
              <w:t>Year 1</w:t>
            </w:r>
          </w:p>
        </w:tc>
        <w:tc>
          <w:tcPr>
            <w:tcW w:w="870" w:type="dxa"/>
            <w:shd w:val="clear" w:color="auto" w:fill="auto"/>
          </w:tcPr>
          <w:p w:rsidR="00201F35" w:rsidRDefault="00121202">
            <w:pPr>
              <w:jc w:val="center"/>
              <w:rPr>
                <w:b/>
              </w:rPr>
            </w:pPr>
            <w:r>
              <w:rPr>
                <w:b/>
              </w:rPr>
              <w:t>Year 2</w:t>
            </w:r>
          </w:p>
        </w:tc>
        <w:tc>
          <w:tcPr>
            <w:tcW w:w="870" w:type="dxa"/>
            <w:shd w:val="clear" w:color="auto" w:fill="auto"/>
          </w:tcPr>
          <w:p w:rsidR="00201F35" w:rsidRDefault="00121202">
            <w:pPr>
              <w:jc w:val="center"/>
              <w:rPr>
                <w:b/>
              </w:rPr>
            </w:pPr>
            <w:r>
              <w:rPr>
                <w:b/>
              </w:rPr>
              <w:t>Year 3</w:t>
            </w:r>
          </w:p>
        </w:tc>
      </w:tr>
      <w:tr w:rsidR="00201F35">
        <w:trPr>
          <w:jc w:val="center"/>
        </w:trPr>
        <w:tc>
          <w:tcPr>
            <w:tcW w:w="5535" w:type="dxa"/>
            <w:shd w:val="clear" w:color="auto" w:fill="auto"/>
          </w:tcPr>
          <w:p w:rsidR="00201F35" w:rsidRDefault="00121202">
            <w:pPr>
              <w:spacing w:after="200" w:line="276" w:lineRule="auto"/>
              <w:rPr>
                <w:color w:val="000000"/>
              </w:rPr>
            </w:pPr>
            <w:r>
              <w:t>an increase in attendance rates in years 7-10 to be above 90% each term</w:t>
            </w:r>
          </w:p>
        </w:tc>
        <w:tc>
          <w:tcPr>
            <w:tcW w:w="870" w:type="dxa"/>
            <w:shd w:val="clear" w:color="auto" w:fill="auto"/>
          </w:tcPr>
          <w:p w:rsidR="00201F35" w:rsidRDefault="00201F35"/>
        </w:tc>
        <w:tc>
          <w:tcPr>
            <w:tcW w:w="870" w:type="dxa"/>
            <w:shd w:val="clear" w:color="auto" w:fill="auto"/>
          </w:tcPr>
          <w:p w:rsidR="00201F35" w:rsidRDefault="00121202">
            <w:r>
              <w:t>T1: 89</w:t>
            </w:r>
          </w:p>
          <w:p w:rsidR="00201F35" w:rsidRDefault="00121202">
            <w:r>
              <w:t>T2: 87</w:t>
            </w:r>
          </w:p>
          <w:p w:rsidR="00201F35" w:rsidRDefault="00121202">
            <w:r>
              <w:t>T3: 87</w:t>
            </w:r>
          </w:p>
          <w:p w:rsidR="00201F35" w:rsidRDefault="00121202">
            <w:r>
              <w:t>T4: 88</w:t>
            </w:r>
          </w:p>
        </w:tc>
        <w:tc>
          <w:tcPr>
            <w:tcW w:w="870" w:type="dxa"/>
            <w:shd w:val="clear" w:color="auto" w:fill="auto"/>
          </w:tcPr>
          <w:p w:rsidR="00201F35" w:rsidRDefault="00201F35"/>
        </w:tc>
        <w:tc>
          <w:tcPr>
            <w:tcW w:w="870" w:type="dxa"/>
            <w:shd w:val="clear" w:color="auto" w:fill="auto"/>
          </w:tcPr>
          <w:p w:rsidR="00201F35" w:rsidRDefault="00201F35"/>
        </w:tc>
      </w:tr>
      <w:tr w:rsidR="00201F35">
        <w:trPr>
          <w:jc w:val="center"/>
        </w:trPr>
        <w:tc>
          <w:tcPr>
            <w:tcW w:w="5535" w:type="dxa"/>
            <w:shd w:val="clear" w:color="auto" w:fill="auto"/>
          </w:tcPr>
          <w:p w:rsidR="00201F35" w:rsidRDefault="00121202">
            <w:pPr>
              <w:spacing w:after="200" w:line="276" w:lineRule="auto"/>
            </w:pPr>
            <w:r>
              <w:t>an increase in attendance rates of Aboriginal and Torres Strait Islanders students in years 7-9 by 5% points each term compared to 2017 term percentages</w:t>
            </w:r>
          </w:p>
          <w:p w:rsidR="00201F35" w:rsidRDefault="00121202">
            <w:pPr>
              <w:spacing w:after="200" w:line="276" w:lineRule="auto"/>
            </w:pPr>
            <w:r>
              <w:lastRenderedPageBreak/>
              <w:t>(under review due to access to data)</w:t>
            </w:r>
          </w:p>
        </w:tc>
        <w:tc>
          <w:tcPr>
            <w:tcW w:w="870" w:type="dxa"/>
            <w:shd w:val="clear" w:color="auto" w:fill="auto"/>
          </w:tcPr>
          <w:p w:rsidR="00201F35" w:rsidRDefault="00201F35"/>
        </w:tc>
        <w:tc>
          <w:tcPr>
            <w:tcW w:w="870" w:type="dxa"/>
            <w:shd w:val="clear" w:color="auto" w:fill="auto"/>
          </w:tcPr>
          <w:p w:rsidR="00201F35" w:rsidRDefault="00201F35"/>
        </w:tc>
        <w:tc>
          <w:tcPr>
            <w:tcW w:w="870" w:type="dxa"/>
            <w:shd w:val="clear" w:color="auto" w:fill="auto"/>
          </w:tcPr>
          <w:p w:rsidR="00201F35" w:rsidRDefault="00201F35"/>
        </w:tc>
        <w:tc>
          <w:tcPr>
            <w:tcW w:w="870" w:type="dxa"/>
            <w:shd w:val="clear" w:color="auto" w:fill="auto"/>
          </w:tcPr>
          <w:p w:rsidR="00201F35" w:rsidRDefault="00201F35"/>
        </w:tc>
      </w:tr>
    </w:tbl>
    <w:p w:rsidR="00201F35" w:rsidRDefault="00201F35">
      <w:pPr>
        <w:pBdr>
          <w:top w:val="nil"/>
          <w:left w:val="nil"/>
          <w:bottom w:val="nil"/>
          <w:right w:val="nil"/>
          <w:between w:val="nil"/>
        </w:pBdr>
        <w:spacing w:after="120" w:line="240" w:lineRule="auto"/>
        <w:rPr>
          <w:color w:val="000000"/>
        </w:rPr>
      </w:pPr>
    </w:p>
    <w:p w:rsidR="00201F35" w:rsidRDefault="00121202">
      <w:pPr>
        <w:pStyle w:val="Heading3"/>
      </w:pPr>
      <w:r>
        <w:t>What this evidence tells us</w:t>
      </w:r>
    </w:p>
    <w:tbl>
      <w:tblPr>
        <w:tblStyle w:val="a8"/>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201F35">
        <w:trPr>
          <w:trHeight w:val="400"/>
          <w:jc w:val="center"/>
        </w:trPr>
        <w:tc>
          <w:tcPr>
            <w:tcW w:w="9027" w:type="dxa"/>
            <w:shd w:val="clear" w:color="auto" w:fill="auto"/>
          </w:tcPr>
          <w:p w:rsidR="00201F35" w:rsidRDefault="00121202">
            <w:pPr>
              <w:pBdr>
                <w:top w:val="nil"/>
                <w:left w:val="nil"/>
                <w:bottom w:val="nil"/>
                <w:right w:val="nil"/>
                <w:between w:val="nil"/>
              </w:pBdr>
              <w:rPr>
                <w:color w:val="000000"/>
              </w:rPr>
            </w:pPr>
            <w:r>
              <w:t xml:space="preserve">There has been an increase in perception of student safety from both parents, students and staff. Some of our three year targets have been achieved already in the first year. Reporting on some targets is not possible in the current format due to education </w:t>
            </w:r>
            <w:r>
              <w:t xml:space="preserve">directorate reporting system changes. </w:t>
            </w:r>
          </w:p>
        </w:tc>
      </w:tr>
    </w:tbl>
    <w:p w:rsidR="00201F35" w:rsidRDefault="00121202">
      <w:pPr>
        <w:pStyle w:val="Heading3"/>
      </w:pPr>
      <w:r>
        <w:t>Our achievements for this priority</w:t>
      </w:r>
    </w:p>
    <w:tbl>
      <w:tblPr>
        <w:tblStyle w:val="a9"/>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201F35">
        <w:trPr>
          <w:trHeight w:val="220"/>
          <w:jc w:val="center"/>
        </w:trPr>
        <w:tc>
          <w:tcPr>
            <w:tcW w:w="9027" w:type="dxa"/>
            <w:shd w:val="clear" w:color="auto" w:fill="auto"/>
          </w:tcPr>
          <w:p w:rsidR="00201F35" w:rsidRDefault="00121202">
            <w:pPr>
              <w:pBdr>
                <w:top w:val="nil"/>
                <w:left w:val="nil"/>
                <w:bottom w:val="nil"/>
                <w:right w:val="nil"/>
                <w:between w:val="nil"/>
              </w:pBdr>
              <w:spacing w:after="120"/>
              <w:rPr>
                <w:color w:val="000000"/>
              </w:rPr>
            </w:pPr>
            <w:r>
              <w:t>The implementation of the Positive behaviours for learning framework has impacted positively student, parent and staff perception of student safety at Gold Creek School. The collabo</w:t>
            </w:r>
            <w:r>
              <w:t xml:space="preserve">rative implementation of this framework has </w:t>
            </w:r>
            <w:proofErr w:type="gramStart"/>
            <w:r>
              <w:t>support</w:t>
            </w:r>
            <w:proofErr w:type="gramEnd"/>
            <w:r>
              <w:t xml:space="preserve"> the consistent messaging of expectations. The increased focus on approaches to learning in all class settings is gaining traction in supporting increased engagement through increased student agency. The s</w:t>
            </w:r>
            <w:r>
              <w:t>chool successfully introduced Community Connections in the Secondary School. This service learning program has high levels of engagement and broader impact in our community. The secondary school has also fully reviewed its processes for reporting non-atten</w:t>
            </w:r>
            <w:r>
              <w:t>dance, and together with the introduction of the new student administration system has ensured consistent and accurate reporting of student attendance and truancy across the school.</w:t>
            </w:r>
          </w:p>
        </w:tc>
      </w:tr>
    </w:tbl>
    <w:p w:rsidR="00201F35" w:rsidRDefault="00201F35">
      <w:pPr>
        <w:pBdr>
          <w:top w:val="nil"/>
          <w:left w:val="nil"/>
          <w:bottom w:val="nil"/>
          <w:right w:val="nil"/>
          <w:between w:val="nil"/>
        </w:pBdr>
        <w:spacing w:after="120" w:line="240" w:lineRule="auto"/>
        <w:rPr>
          <w:color w:val="000000"/>
        </w:rPr>
      </w:pPr>
    </w:p>
    <w:p w:rsidR="00201F35" w:rsidRDefault="00121202">
      <w:pPr>
        <w:pStyle w:val="Heading3"/>
      </w:pPr>
      <w:r>
        <w:t>Challenges we will address in our next Action Plan</w:t>
      </w:r>
    </w:p>
    <w:tbl>
      <w:tblPr>
        <w:tblStyle w:val="aa"/>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201F35">
        <w:trPr>
          <w:trHeight w:val="100"/>
          <w:jc w:val="center"/>
        </w:trPr>
        <w:tc>
          <w:tcPr>
            <w:tcW w:w="9027" w:type="dxa"/>
            <w:shd w:val="clear" w:color="auto" w:fill="auto"/>
          </w:tcPr>
          <w:p w:rsidR="00201F35" w:rsidRDefault="00121202">
            <w:pPr>
              <w:pBdr>
                <w:top w:val="nil"/>
                <w:left w:val="nil"/>
                <w:bottom w:val="nil"/>
                <w:right w:val="nil"/>
                <w:between w:val="nil"/>
              </w:pBdr>
              <w:spacing w:after="120"/>
            </w:pPr>
            <w:r>
              <w:t>Consistency of data reporting at the Education Directorate level has impacted the school's ability to report on progress in a timely manner. This will need to be addressed with the School Board, and revisi</w:t>
            </w:r>
            <w:r>
              <w:t>ons made to targets.</w:t>
            </w:r>
          </w:p>
          <w:p w:rsidR="00201F35" w:rsidRDefault="00121202">
            <w:pPr>
              <w:pBdr>
                <w:top w:val="nil"/>
                <w:left w:val="nil"/>
                <w:bottom w:val="nil"/>
                <w:right w:val="nil"/>
                <w:between w:val="nil"/>
              </w:pBdr>
              <w:spacing w:after="120"/>
            </w:pPr>
            <w:r>
              <w:t>A continued focus on strategies to support student engagement, including more personalised approaches to learning and increased agency will be required to increase targets for student attendance in years 7-10. This change in pedagogy w</w:t>
            </w:r>
            <w:r>
              <w:t>ill require a significant investment in time of the action learning team.</w:t>
            </w:r>
          </w:p>
        </w:tc>
      </w:tr>
    </w:tbl>
    <w:p w:rsidR="00201F35" w:rsidRDefault="00201F35">
      <w:pPr>
        <w:pBdr>
          <w:top w:val="nil"/>
          <w:left w:val="nil"/>
          <w:bottom w:val="nil"/>
          <w:right w:val="nil"/>
          <w:between w:val="nil"/>
        </w:pBdr>
        <w:spacing w:after="120" w:line="240" w:lineRule="auto"/>
        <w:rPr>
          <w:color w:val="000000"/>
        </w:rPr>
      </w:pPr>
    </w:p>
    <w:p w:rsidR="00201F35" w:rsidRDefault="00201F35">
      <w:pPr>
        <w:pBdr>
          <w:top w:val="nil"/>
          <w:left w:val="nil"/>
          <w:bottom w:val="nil"/>
          <w:right w:val="nil"/>
          <w:between w:val="nil"/>
        </w:pBdr>
        <w:spacing w:after="120" w:line="240" w:lineRule="auto"/>
        <w:rPr>
          <w:color w:val="000000"/>
        </w:rPr>
      </w:pPr>
    </w:p>
    <w:sectPr w:rsidR="00201F35">
      <w:headerReference w:type="default" r:id="rId8"/>
      <w:footerReference w:type="default" r:id="rId9"/>
      <w:headerReference w:type="firs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21202">
      <w:pPr>
        <w:spacing w:after="0" w:line="240" w:lineRule="auto"/>
      </w:pPr>
      <w:r>
        <w:separator/>
      </w:r>
    </w:p>
  </w:endnote>
  <w:endnote w:type="continuationSeparator" w:id="0">
    <w:p w:rsidR="00000000" w:rsidRDefault="00121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F35" w:rsidRDefault="00121202">
    <w:pPr>
      <w:pBdr>
        <w:top w:val="nil"/>
        <w:left w:val="nil"/>
        <w:bottom w:val="nil"/>
        <w:right w:val="nil"/>
        <w:between w:val="nil"/>
      </w:pBdr>
      <w:tabs>
        <w:tab w:val="center" w:pos="5387"/>
        <w:tab w:val="right" w:pos="9781"/>
      </w:tabs>
      <w:spacing w:after="120" w:line="240" w:lineRule="auto"/>
      <w:jc w:val="center"/>
      <w:rPr>
        <w:rFonts w:ascii="Arial" w:eastAsia="Arial" w:hAnsi="Arial" w:cs="Arial"/>
        <w:color w:val="808080"/>
        <w:sz w:val="20"/>
        <w:szCs w:val="20"/>
      </w:rPr>
    </w:pPr>
    <w:r>
      <w:rPr>
        <w:rFonts w:ascii="Arial" w:eastAsia="Arial" w:hAnsi="Arial" w:cs="Arial"/>
        <w:color w:val="808080"/>
        <w:sz w:val="20"/>
        <w:szCs w:val="20"/>
      </w:rPr>
      <w:tab/>
      <w:t xml:space="preserve">Page | </w:t>
    </w:r>
    <w:r>
      <w:rPr>
        <w:rFonts w:ascii="Arial" w:eastAsia="Arial" w:hAnsi="Arial" w:cs="Arial"/>
        <w:color w:val="808080"/>
        <w:sz w:val="20"/>
        <w:szCs w:val="20"/>
      </w:rPr>
      <w:fldChar w:fldCharType="begin"/>
    </w:r>
    <w:r>
      <w:rPr>
        <w:rFonts w:ascii="Arial" w:eastAsia="Arial" w:hAnsi="Arial" w:cs="Arial"/>
        <w:color w:val="808080"/>
        <w:sz w:val="20"/>
        <w:szCs w:val="20"/>
      </w:rPr>
      <w:instrText>PAGE</w:instrText>
    </w:r>
    <w:r w:rsidR="00EC1EEE">
      <w:rPr>
        <w:rFonts w:ascii="Arial" w:eastAsia="Arial" w:hAnsi="Arial" w:cs="Arial"/>
        <w:color w:val="808080"/>
        <w:sz w:val="20"/>
        <w:szCs w:val="20"/>
      </w:rPr>
      <w:fldChar w:fldCharType="separate"/>
    </w:r>
    <w:r w:rsidR="00EC1EEE">
      <w:rPr>
        <w:rFonts w:ascii="Arial" w:eastAsia="Arial" w:hAnsi="Arial" w:cs="Arial"/>
        <w:noProof/>
        <w:color w:val="808080"/>
        <w:sz w:val="20"/>
        <w:szCs w:val="20"/>
      </w:rPr>
      <w:t>1</w:t>
    </w:r>
    <w:r>
      <w:rPr>
        <w:rFonts w:ascii="Arial" w:eastAsia="Arial" w:hAnsi="Arial" w:cs="Arial"/>
        <w:color w:val="808080"/>
        <w:sz w:val="20"/>
        <w:szCs w:val="20"/>
      </w:rPr>
      <w:fldChar w:fldCharType="end"/>
    </w:r>
  </w:p>
  <w:p w:rsidR="00201F35" w:rsidRDefault="00121202">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bookmarkStart w:id="2" w:name="_30j0zll" w:colFirst="0" w:colLast="0"/>
    <w:bookmarkEnd w:id="2"/>
    <w:r>
      <w:rPr>
        <w:rFonts w:ascii="Arial" w:eastAsia="Arial" w:hAnsi="Arial" w:cs="Arial"/>
        <w:b/>
        <w:color w:val="000000"/>
        <w:sz w:val="18"/>
        <w:szCs w:val="18"/>
      </w:rPr>
      <w:t xml:space="preserve"> Analysis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000000"/>
        <w:sz w:val="18"/>
        <w:szCs w:val="18"/>
      </w:rPr>
      <w:t>Priorities</w:t>
    </w:r>
    <w:r>
      <w:rPr>
        <w:rFonts w:ascii="Arial" w:eastAsia="Arial" w:hAnsi="Arial" w:cs="Arial"/>
        <w:b/>
        <w:color w:val="FF0000"/>
        <w:sz w:val="24"/>
        <w:szCs w:val="24"/>
      </w:rPr>
      <w:t xml:space="preserve">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000000"/>
        <w:sz w:val="18"/>
        <w:szCs w:val="18"/>
      </w:rPr>
      <w:t>Strategies</w:t>
    </w:r>
    <w:r>
      <w:rPr>
        <w:rFonts w:ascii="Arial" w:eastAsia="Arial" w:hAnsi="Arial" w:cs="Arial"/>
        <w:b/>
        <w:color w:val="A6A6A6"/>
        <w:sz w:val="18"/>
        <w:szCs w:val="18"/>
      </w:rPr>
      <w:t xml:space="preserve">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000000"/>
        <w:sz w:val="18"/>
        <w:szCs w:val="18"/>
      </w:rPr>
      <w:t xml:space="preserve">Actions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FF0000"/>
        <w:sz w:val="24"/>
        <w:szCs w:val="24"/>
      </w:rPr>
      <w:t>Impact</w:t>
    </w:r>
    <w:r>
      <w:rPr>
        <w:b/>
        <w:color w:val="000000"/>
        <w:sz w:val="18"/>
        <w:szCs w:val="18"/>
      </w:rPr>
      <w:t xml:space="preserve"> </w:t>
    </w:r>
    <w:r>
      <w:rPr>
        <w:b/>
        <w:color w:val="FF0000"/>
        <w:sz w:val="16"/>
        <w:szCs w:val="16"/>
      </w:rPr>
      <w:t>(for student)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21202">
      <w:pPr>
        <w:spacing w:after="0" w:line="240" w:lineRule="auto"/>
      </w:pPr>
      <w:r>
        <w:separator/>
      </w:r>
    </w:p>
  </w:footnote>
  <w:footnote w:type="continuationSeparator" w:id="0">
    <w:p w:rsidR="00000000" w:rsidRDefault="00121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F35" w:rsidRDefault="00201F35">
    <w:pPr>
      <w:pBdr>
        <w:top w:val="nil"/>
        <w:left w:val="nil"/>
        <w:bottom w:val="nil"/>
        <w:right w:val="nil"/>
        <w:between w:val="nil"/>
      </w:pBdr>
      <w:tabs>
        <w:tab w:val="center" w:pos="4513"/>
        <w:tab w:val="right" w:pos="9026"/>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F35" w:rsidRDefault="00121202">
    <w:pPr>
      <w:pBdr>
        <w:top w:val="nil"/>
        <w:left w:val="nil"/>
        <w:bottom w:val="nil"/>
        <w:right w:val="nil"/>
        <w:between w:val="nil"/>
      </w:pBdr>
      <w:tabs>
        <w:tab w:val="center" w:pos="4513"/>
        <w:tab w:val="right" w:pos="9026"/>
      </w:tabs>
      <w:spacing w:after="0" w:line="240" w:lineRule="auto"/>
      <w:jc w:val="right"/>
      <w:rPr>
        <w:color w:val="000000"/>
      </w:rPr>
    </w:pPr>
    <w:r>
      <w:rPr>
        <w:noProof/>
        <w:color w:val="000000"/>
        <w:sz w:val="10"/>
        <w:szCs w:val="10"/>
      </w:rPr>
      <w:drawing>
        <wp:inline distT="0" distB="0" distL="0" distR="0">
          <wp:extent cx="1375410" cy="694690"/>
          <wp:effectExtent l="0" t="0" r="0" b="0"/>
          <wp:docPr id="1" name="image1.jpg" descr="ACT Education small line"/>
          <wp:cNvGraphicFramePr/>
          <a:graphic xmlns:a="http://schemas.openxmlformats.org/drawingml/2006/main">
            <a:graphicData uri="http://schemas.openxmlformats.org/drawingml/2006/picture">
              <pic:pic xmlns:pic="http://schemas.openxmlformats.org/drawingml/2006/picture">
                <pic:nvPicPr>
                  <pic:cNvPr id="0" name="image1.jpg" descr="ACT Education small line"/>
                  <pic:cNvPicPr preferRelativeResize="0"/>
                </pic:nvPicPr>
                <pic:blipFill>
                  <a:blip r:embed="rId1"/>
                  <a:srcRect/>
                  <a:stretch>
                    <a:fillRect/>
                  </a:stretch>
                </pic:blipFill>
                <pic:spPr>
                  <a:xfrm>
                    <a:off x="0" y="0"/>
                    <a:ext cx="1375410" cy="6946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47EC7"/>
    <w:multiLevelType w:val="multilevel"/>
    <w:tmpl w:val="EDFEB2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EC16E73"/>
    <w:multiLevelType w:val="multilevel"/>
    <w:tmpl w:val="E4A88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F35"/>
    <w:rsid w:val="00121202"/>
    <w:rsid w:val="00201F35"/>
    <w:rsid w:val="00EC1E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5810"/>
  <w15:docId w15:val="{8E3DAE06-08EE-4BD6-BD04-15F7066F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40" w:line="240" w:lineRule="auto"/>
      <w:outlineLvl w:val="0"/>
    </w:pPr>
    <w:rPr>
      <w:rFonts w:ascii="Arial" w:eastAsia="Arial" w:hAnsi="Arial" w:cs="Arial"/>
      <w:color w:val="1F4E79"/>
      <w:sz w:val="28"/>
      <w:szCs w:val="28"/>
    </w:rPr>
  </w:style>
  <w:style w:type="paragraph" w:styleId="Heading2">
    <w:name w:val="heading 2"/>
    <w:basedOn w:val="Normal"/>
    <w:next w:val="Normal"/>
    <w:uiPriority w:val="9"/>
    <w:unhideWhenUsed/>
    <w:qFormat/>
    <w:pPr>
      <w:tabs>
        <w:tab w:val="left" w:pos="2410"/>
      </w:tabs>
      <w:spacing w:after="120"/>
      <w:ind w:left="2410" w:hanging="2410"/>
      <w:outlineLvl w:val="1"/>
    </w:pPr>
    <w:rPr>
      <w:rFonts w:ascii="Arial" w:eastAsia="Arial" w:hAnsi="Arial" w:cs="Arial"/>
      <w:color w:val="1F4E79"/>
      <w:sz w:val="24"/>
      <w:szCs w:val="24"/>
    </w:rPr>
  </w:style>
  <w:style w:type="paragraph" w:styleId="Heading3">
    <w:name w:val="heading 3"/>
    <w:basedOn w:val="Normal"/>
    <w:next w:val="Normal"/>
    <w:uiPriority w:val="9"/>
    <w:unhideWhenUsed/>
    <w:qFormat/>
    <w:pPr>
      <w:keepNext/>
      <w:keepLines/>
      <w:spacing w:before="240" w:after="120" w:line="240" w:lineRule="auto"/>
      <w:outlineLvl w:val="2"/>
    </w:pPr>
    <w:rPr>
      <w:rFonts w:ascii="Arial" w:eastAsia="Arial" w:hAnsi="Arial" w:cs="Arial"/>
      <w:color w:val="1E4D78"/>
    </w:rPr>
  </w:style>
  <w:style w:type="paragraph" w:styleId="Heading4">
    <w:name w:val="heading 4"/>
    <w:basedOn w:val="Normal"/>
    <w:next w:val="Normal"/>
    <w:uiPriority w:val="9"/>
    <w:unhideWhenUsed/>
    <w:qFormat/>
    <w:pPr>
      <w:keepNext/>
      <w:keepLines/>
      <w:spacing w:before="240" w:after="0" w:line="240" w:lineRule="auto"/>
      <w:outlineLvl w:val="3"/>
    </w:pPr>
    <w:rPr>
      <w:i/>
      <w:color w:val="1F4E79"/>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60" w:line="240" w:lineRule="auto"/>
      <w:jc w:val="center"/>
    </w:pPr>
    <w:rPr>
      <w:rFonts w:ascii="Arial" w:eastAsia="Arial" w:hAnsi="Arial" w:cs="Arial"/>
      <w:sz w:val="48"/>
      <w:szCs w:val="48"/>
    </w:rPr>
  </w:style>
  <w:style w:type="paragraph" w:styleId="Subtitle">
    <w:name w:val="Subtitle"/>
    <w:basedOn w:val="Normal"/>
    <w:next w:val="Normal"/>
    <w:uiPriority w:val="11"/>
    <w:qFormat/>
    <w:pPr>
      <w:pBdr>
        <w:bottom w:val="single" w:sz="4" w:space="1" w:color="000000"/>
      </w:pBdr>
      <w:spacing w:after="240" w:line="276" w:lineRule="auto"/>
      <w:jc w:val="center"/>
    </w:pPr>
    <w:rPr>
      <w:rFonts w:ascii="Arial" w:eastAsia="Arial" w:hAnsi="Arial" w:cs="Arial"/>
      <w:color w:val="000000"/>
    </w:rPr>
  </w:style>
  <w:style w:type="table" w:customStyle="1" w:styleId="a">
    <w:basedOn w:val="TableNormal"/>
    <w:pPr>
      <w:spacing w:after="0" w:line="240" w:lineRule="auto"/>
    </w:pPr>
    <w:tblPr>
      <w:tblStyleRowBandSize w:val="1"/>
      <w:tblStyleColBandSize w:val="1"/>
      <w:tblCellMar>
        <w:top w:w="113" w:type="dxa"/>
        <w:bottom w:w="113" w:type="dxa"/>
      </w:tblCellMar>
    </w:tblPr>
  </w:style>
  <w:style w:type="table" w:customStyle="1" w:styleId="a0">
    <w:basedOn w:val="TableNormal"/>
    <w:pPr>
      <w:spacing w:after="0" w:line="240" w:lineRule="auto"/>
    </w:pPr>
    <w:tblPr>
      <w:tblStyleRowBandSize w:val="1"/>
      <w:tblStyleColBandSize w:val="1"/>
      <w:tblCellMar>
        <w:top w:w="113" w:type="dxa"/>
        <w:bottom w:w="113" w:type="dxa"/>
      </w:tblCellMar>
    </w:tblPr>
  </w:style>
  <w:style w:type="table" w:customStyle="1" w:styleId="a1">
    <w:basedOn w:val="TableNormal"/>
    <w:pPr>
      <w:spacing w:after="0" w:line="240" w:lineRule="auto"/>
    </w:pPr>
    <w:tblPr>
      <w:tblStyleRowBandSize w:val="1"/>
      <w:tblStyleColBandSize w:val="1"/>
      <w:tblCellMar>
        <w:top w:w="113" w:type="dxa"/>
        <w:bottom w:w="113" w:type="dxa"/>
      </w:tblCellMar>
    </w:tblPr>
  </w:style>
  <w:style w:type="table" w:customStyle="1" w:styleId="a2">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3">
    <w:basedOn w:val="TableNormal"/>
    <w:pPr>
      <w:spacing w:after="0" w:line="240" w:lineRule="auto"/>
    </w:pPr>
    <w:tblPr>
      <w:tblStyleRowBandSize w:val="1"/>
      <w:tblStyleColBandSize w:val="1"/>
      <w:tblCellMar>
        <w:top w:w="113" w:type="dxa"/>
        <w:bottom w:w="113" w:type="dxa"/>
      </w:tblCellMar>
    </w:tblPr>
  </w:style>
  <w:style w:type="table" w:customStyle="1" w:styleId="a4">
    <w:basedOn w:val="TableNormal"/>
    <w:pPr>
      <w:spacing w:after="0" w:line="240" w:lineRule="auto"/>
    </w:pPr>
    <w:tblPr>
      <w:tblStyleRowBandSize w:val="1"/>
      <w:tblStyleColBandSize w:val="1"/>
      <w:tblCellMar>
        <w:top w:w="113" w:type="dxa"/>
        <w:bottom w:w="113" w:type="dxa"/>
      </w:tblCellMar>
    </w:tblPr>
  </w:style>
  <w:style w:type="table" w:customStyle="1" w:styleId="a5">
    <w:basedOn w:val="TableNormal"/>
    <w:pPr>
      <w:spacing w:after="0" w:line="240" w:lineRule="auto"/>
    </w:pPr>
    <w:tblPr>
      <w:tblStyleRowBandSize w:val="1"/>
      <w:tblStyleColBandSize w:val="1"/>
      <w:tblCellMar>
        <w:top w:w="113" w:type="dxa"/>
        <w:bottom w:w="113" w:type="dxa"/>
      </w:tblCellMar>
    </w:tblPr>
  </w:style>
  <w:style w:type="table" w:customStyle="1" w:styleId="a6">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7">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8">
    <w:basedOn w:val="TableNormal"/>
    <w:pPr>
      <w:spacing w:after="0" w:line="240" w:lineRule="auto"/>
    </w:pPr>
    <w:tblPr>
      <w:tblStyleRowBandSize w:val="1"/>
      <w:tblStyleColBandSize w:val="1"/>
      <w:tblCellMar>
        <w:top w:w="113" w:type="dxa"/>
        <w:bottom w:w="113" w:type="dxa"/>
      </w:tblCellMar>
    </w:tblPr>
  </w:style>
  <w:style w:type="table" w:customStyle="1" w:styleId="a9">
    <w:basedOn w:val="TableNormal"/>
    <w:pPr>
      <w:spacing w:after="0" w:line="240" w:lineRule="auto"/>
    </w:pPr>
    <w:tblPr>
      <w:tblStyleRowBandSize w:val="1"/>
      <w:tblStyleColBandSize w:val="1"/>
      <w:tblCellMar>
        <w:top w:w="113" w:type="dxa"/>
        <w:bottom w:w="113" w:type="dxa"/>
      </w:tblCellMar>
    </w:tblPr>
  </w:style>
  <w:style w:type="table" w:customStyle="1" w:styleId="aa">
    <w:basedOn w:val="TableNormal"/>
    <w:pPr>
      <w:spacing w:after="0" w:line="240" w:lineRule="auto"/>
    </w:pPr>
    <w:tblPr>
      <w:tblStyleRowBandSize w:val="1"/>
      <w:tblStyleColBandSize w:val="1"/>
      <w:tblCellMar>
        <w:top w:w="113" w:type="dxa"/>
        <w:bottom w:w="113" w:type="dxa"/>
      </w:tblCellMar>
    </w:tblPr>
  </w:style>
  <w:style w:type="paragraph" w:styleId="BalloonText">
    <w:name w:val="Balloon Text"/>
    <w:basedOn w:val="Normal"/>
    <w:link w:val="BalloonTextChar"/>
    <w:uiPriority w:val="99"/>
    <w:semiHidden/>
    <w:unhideWhenUsed/>
    <w:rsid w:val="00EC1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1864</Words>
  <Characters>10273</Characters>
  <Application>Microsoft Office Word</Application>
  <DocSecurity>0</DocSecurity>
  <Lines>321</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Margaret</dc:creator>
  <cp:lastModifiedBy>O'Brien, Margaret</cp:lastModifiedBy>
  <cp:revision>2</cp:revision>
  <dcterms:created xsi:type="dcterms:W3CDTF">2019-08-16T07:32:00Z</dcterms:created>
  <dcterms:modified xsi:type="dcterms:W3CDTF">2019-08-16T07:32:00Z</dcterms:modified>
</cp:coreProperties>
</file>