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78BB5C36" w:rsidR="00FE1945" w:rsidRPr="00563A3D" w:rsidRDefault="00BD65EC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Yarralumla Primary School</w:t>
          </w:r>
        </w:p>
      </w:sdtContent>
    </w:sdt>
    <w:p w14:paraId="63330FCF" w14:textId="51478F13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BD65EC">
            <w:t>South Canberra/ Weston</w:t>
          </w:r>
        </w:sdtContent>
      </w:sdt>
    </w:p>
    <w:p w14:paraId="38F253B0" w14:textId="19950319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BD65EC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4F3BC52E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807297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557068DA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4A0AF44A" w:rsidR="00846E51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415554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0552A">
        <w:t>1 &amp; 2</w:t>
      </w:r>
      <w:r w:rsidRPr="00132917">
        <w:t xml:space="preserve"> (see reporting for detail):</w:t>
      </w:r>
    </w:p>
    <w:p w14:paraId="05831A13" w14:textId="449547FD" w:rsidR="00300F72" w:rsidRDefault="0070552A" w:rsidP="00300F72">
      <w:pPr>
        <w:pStyle w:val="ListBullet"/>
      </w:pPr>
      <w:r>
        <w:t>Ensuring access to individualised instruction in numeracy and writing for students with additional needs</w:t>
      </w:r>
    </w:p>
    <w:p w14:paraId="0A0A322B" w14:textId="1AF846FE" w:rsidR="0070552A" w:rsidRDefault="0070552A" w:rsidP="00300F72">
      <w:pPr>
        <w:pStyle w:val="ListBullet"/>
      </w:pPr>
      <w:r>
        <w:t>Ensuring differentiated instruction in numeracy and writing through implementing Visible Learning strategies</w:t>
      </w:r>
    </w:p>
    <w:p w14:paraId="41C837F8" w14:textId="09BBC5E4" w:rsidR="0070552A" w:rsidRPr="00300F72" w:rsidRDefault="0070552A" w:rsidP="00300F72">
      <w:pPr>
        <w:pStyle w:val="ListBullet"/>
      </w:pPr>
      <w:r>
        <w:t>Ensuring the school climate welcomes and includes all families through strengthened relationships</w:t>
      </w:r>
    </w:p>
    <w:p w14:paraId="560ABCC7" w14:textId="77777777" w:rsidR="002C4688" w:rsidRPr="00300F72" w:rsidRDefault="002C4688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38CA3854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415554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C4688">
        <w:t>1 &amp; 2</w:t>
      </w:r>
      <w:r w:rsidRPr="00132917">
        <w:t xml:space="preserve"> (see reporting for detail):</w:t>
      </w:r>
    </w:p>
    <w:p w14:paraId="3219AB53" w14:textId="2A9BA2C4" w:rsidR="00300F72" w:rsidRDefault="0014357B" w:rsidP="00300F72">
      <w:pPr>
        <w:pStyle w:val="ListBullet"/>
      </w:pPr>
      <w:r>
        <w:t>s</w:t>
      </w:r>
      <w:r w:rsidR="002C4688">
        <w:t xml:space="preserve">trengthening the PLC model across the school, demonstrated through the </w:t>
      </w:r>
      <w:r w:rsidR="00895BB5">
        <w:t>Professional Learning Communities</w:t>
      </w:r>
      <w:r>
        <w:t xml:space="preserve"> (PLC)</w:t>
      </w:r>
      <w:r w:rsidR="00895BB5">
        <w:t xml:space="preserve"> </w:t>
      </w:r>
      <w:r w:rsidR="002C4688">
        <w:t>Maturity M</w:t>
      </w:r>
      <w:r w:rsidR="00895BB5">
        <w:t>atrix</w:t>
      </w:r>
      <w:r w:rsidR="002C4688">
        <w:t xml:space="preserve"> reflection</w:t>
      </w:r>
    </w:p>
    <w:p w14:paraId="3199B378" w14:textId="766261C5" w:rsidR="002C4688" w:rsidRDefault="0014357B" w:rsidP="00300F72">
      <w:pPr>
        <w:pStyle w:val="ListBullet"/>
      </w:pPr>
      <w:r>
        <w:t>f</w:t>
      </w:r>
      <w:r w:rsidR="002C4688">
        <w:t>inalise</w:t>
      </w:r>
      <w:r w:rsidR="00895BB5">
        <w:t>d</w:t>
      </w:r>
      <w:r w:rsidR="002C4688">
        <w:t xml:space="preserve"> the Data Plan</w:t>
      </w:r>
    </w:p>
    <w:p w14:paraId="4D2AC89A" w14:textId="3AB7AE06" w:rsidR="002C4688" w:rsidRDefault="0014357B" w:rsidP="00300F72">
      <w:pPr>
        <w:pStyle w:val="ListBullet"/>
      </w:pPr>
      <w:r>
        <w:t>i</w:t>
      </w:r>
      <w:r w:rsidR="002C4688">
        <w:t xml:space="preserve">ntroducing fortnightly Executive support in year level collaborative planning </w:t>
      </w:r>
    </w:p>
    <w:p w14:paraId="2BFAE643" w14:textId="0153CE54" w:rsidR="002C4688" w:rsidRDefault="0014357B" w:rsidP="00300F72">
      <w:pPr>
        <w:pStyle w:val="ListBullet"/>
      </w:pPr>
      <w:r>
        <w:t>r</w:t>
      </w:r>
      <w:r w:rsidR="002C4688">
        <w:t xml:space="preserve">aised the profile of the Italian Coordinator </w:t>
      </w:r>
    </w:p>
    <w:p w14:paraId="4747914E" w14:textId="503AC386" w:rsidR="002C4688" w:rsidRDefault="0014357B" w:rsidP="00300F72">
      <w:pPr>
        <w:pStyle w:val="ListBullet"/>
      </w:pPr>
      <w:r>
        <w:t>c</w:t>
      </w:r>
      <w:r w:rsidR="00C80D95">
        <w:t>onducted and evaluated a trial of a different bilingual model in targeted year levels</w:t>
      </w:r>
    </w:p>
    <w:p w14:paraId="58E8E5B6" w14:textId="3721F9E7" w:rsidR="002B2CC5" w:rsidRPr="00300F72" w:rsidRDefault="0014357B" w:rsidP="00300F72">
      <w:pPr>
        <w:pStyle w:val="ListBullet"/>
      </w:pPr>
      <w:r>
        <w:t>i</w:t>
      </w:r>
      <w:r w:rsidR="002B2CC5">
        <w:t>mplemented a targeted model of Italian extension for native speaking students</w:t>
      </w:r>
    </w:p>
    <w:p w14:paraId="21649C87" w14:textId="77777777" w:rsidR="0014357B" w:rsidRDefault="0014357B" w:rsidP="0014357B">
      <w:pPr>
        <w:pStyle w:val="Heading2"/>
        <w:ind w:left="0" w:firstLine="0"/>
      </w:pPr>
    </w:p>
    <w:p w14:paraId="3D730808" w14:textId="77777777" w:rsidR="0014357B" w:rsidRDefault="0014357B" w:rsidP="0014357B">
      <w:pPr>
        <w:pStyle w:val="Heading2"/>
        <w:ind w:left="0" w:firstLine="0"/>
      </w:pPr>
    </w:p>
    <w:p w14:paraId="27A447D0" w14:textId="77777777" w:rsidR="0014357B" w:rsidRDefault="0014357B" w:rsidP="0014357B">
      <w:pPr>
        <w:pStyle w:val="Heading2"/>
        <w:ind w:left="0" w:firstLine="0"/>
      </w:pPr>
    </w:p>
    <w:p w14:paraId="0CBDE7CA" w14:textId="0107E9E3" w:rsidR="00B10319" w:rsidRPr="00B10319" w:rsidRDefault="00B10319" w:rsidP="0014357B">
      <w:pPr>
        <w:pStyle w:val="Heading2"/>
        <w:ind w:left="0" w:firstLine="0"/>
      </w:pPr>
      <w:r w:rsidRPr="00B10319">
        <w:lastRenderedPageBreak/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65DA2751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415554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C80D95">
        <w:t>1 &amp; 2</w:t>
      </w:r>
      <w:r w:rsidRPr="00132917">
        <w:t xml:space="preserve"> (see reporting for detail):</w:t>
      </w:r>
    </w:p>
    <w:p w14:paraId="200F6B8B" w14:textId="219750E9" w:rsidR="0093040B" w:rsidRDefault="0014357B" w:rsidP="001B26EA">
      <w:pPr>
        <w:pStyle w:val="ListBullet"/>
      </w:pPr>
      <w:r>
        <w:t>c</w:t>
      </w:r>
      <w:r w:rsidR="002B2CC5">
        <w:t>ontinued implementation of Positive Behaviours for Learning</w:t>
      </w:r>
      <w:r>
        <w:t xml:space="preserve"> (PBL)</w:t>
      </w:r>
    </w:p>
    <w:p w14:paraId="4EFDA64D" w14:textId="3AF9A5CB" w:rsidR="002B2CC5" w:rsidRDefault="0014357B" w:rsidP="001B26EA">
      <w:pPr>
        <w:pStyle w:val="ListBullet"/>
      </w:pPr>
      <w:r>
        <w:t>b</w:t>
      </w:r>
      <w:r w:rsidR="002B2CC5">
        <w:t xml:space="preserve">uilding staff capacity to respond to </w:t>
      </w:r>
      <w:r w:rsidR="00895BB5">
        <w:t>O</w:t>
      </w:r>
      <w:r w:rsidR="002B2CC5">
        <w:t xml:space="preserve">ccupational Violence </w:t>
      </w:r>
      <w:r>
        <w:t xml:space="preserve">(OV) </w:t>
      </w:r>
      <w:r w:rsidR="002B2CC5">
        <w:t>through Team Teach</w:t>
      </w:r>
    </w:p>
    <w:p w14:paraId="55BE1C89" w14:textId="2F53E25D" w:rsidR="002B2CC5" w:rsidRDefault="0014357B" w:rsidP="001B26EA">
      <w:pPr>
        <w:pStyle w:val="ListBullet"/>
      </w:pPr>
      <w:r>
        <w:t>s</w:t>
      </w:r>
      <w:r w:rsidR="002B2CC5">
        <w:t>trengthened teacher knowledge about effective feedback</w:t>
      </w:r>
    </w:p>
    <w:p w14:paraId="5B3EF5E7" w14:textId="1EB7AD7A" w:rsidR="00895BB5" w:rsidRDefault="0014357B" w:rsidP="001B26EA">
      <w:pPr>
        <w:pStyle w:val="ListBullet"/>
      </w:pPr>
      <w:r>
        <w:t>i</w:t>
      </w:r>
      <w:r w:rsidR="00895BB5">
        <w:t>ndividual learning goals for reading, writing and numeracy through Visible Learning.</w:t>
      </w:r>
    </w:p>
    <w:p w14:paraId="4098A09D" w14:textId="77777777" w:rsidR="0014357B" w:rsidRDefault="0014357B" w:rsidP="0014357B">
      <w:pPr>
        <w:pStyle w:val="ListBullet"/>
        <w:numPr>
          <w:ilvl w:val="0"/>
          <w:numId w:val="0"/>
        </w:numPr>
        <w:ind w:left="360"/>
      </w:pPr>
    </w:p>
    <w:p w14:paraId="2B93A716" w14:textId="24BC5AEF" w:rsidR="00B10319" w:rsidRPr="0014357B" w:rsidRDefault="004D5E45" w:rsidP="0014357B">
      <w:pPr>
        <w:pStyle w:val="ListBullet"/>
        <w:numPr>
          <w:ilvl w:val="0"/>
          <w:numId w:val="0"/>
        </w:numPr>
        <w:rPr>
          <w:rStyle w:val="Heading2Char"/>
          <w:sz w:val="28"/>
          <w:szCs w:val="28"/>
        </w:rPr>
      </w:pPr>
      <w:r w:rsidRPr="0014357B">
        <w:rPr>
          <w:rStyle w:val="Heading2Char"/>
          <w:sz w:val="28"/>
          <w:szCs w:val="28"/>
        </w:rPr>
        <w:t>Reporting against our priorities</w:t>
      </w:r>
    </w:p>
    <w:p w14:paraId="533278F0" w14:textId="77777777" w:rsidR="001F11CB" w:rsidRPr="00301814" w:rsidRDefault="00837137" w:rsidP="001F11CB">
      <w:pPr>
        <w:pStyle w:val="BodyText"/>
        <w:rPr>
          <w:rStyle w:val="Heading2Char"/>
        </w:rPr>
      </w:pPr>
      <w:r w:rsidRPr="000F0410">
        <w:t>Priority 1:</w:t>
      </w:r>
      <w:r w:rsidR="001F11CB">
        <w:t xml:space="preserve"> </w:t>
      </w:r>
      <w:r w:rsidR="001F11CB">
        <w:rPr>
          <w:rStyle w:val="Heading2Char"/>
        </w:rPr>
        <w:t xml:space="preserve">Increase </w:t>
      </w:r>
      <w:r w:rsidR="001F11CB" w:rsidRPr="00301814">
        <w:rPr>
          <w:rStyle w:val="Heading2Char"/>
        </w:rPr>
        <w:t xml:space="preserve">growth </w:t>
      </w:r>
      <w:r w:rsidR="001F11CB">
        <w:rPr>
          <w:rStyle w:val="Heading2Char"/>
        </w:rPr>
        <w:t>in</w:t>
      </w:r>
      <w:r w:rsidR="001F11CB" w:rsidRPr="00301814">
        <w:rPr>
          <w:rStyle w:val="Heading2Char"/>
        </w:rPr>
        <w:t xml:space="preserve"> student performance in numeracy for all year</w:t>
      </w:r>
      <w:r w:rsidR="001F11CB">
        <w:rPr>
          <w:rStyle w:val="Heading2Char"/>
        </w:rPr>
        <w:t xml:space="preserve"> levels.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2A178070" w:rsidR="000031B5" w:rsidRDefault="00481BD2" w:rsidP="0058339C">
      <w:pPr>
        <w:pStyle w:val="BodyText"/>
      </w:pPr>
      <w:r>
        <w:t xml:space="preserve">By the end of </w:t>
      </w:r>
      <w:r w:rsidR="00D4537E">
        <w:t>20</w:t>
      </w:r>
      <w:r w:rsidR="001F11CB">
        <w:t>2</w:t>
      </w:r>
      <w:r w:rsidR="005C46C0">
        <w:t>4</w:t>
      </w:r>
      <w:r w:rsidR="000031B5">
        <w:t xml:space="preserve"> we will achieve:</w:t>
      </w:r>
    </w:p>
    <w:p w14:paraId="6E85F0D2" w14:textId="23748DF8" w:rsidR="00DE4763" w:rsidRDefault="00DE4763" w:rsidP="00DE4763">
      <w:pPr>
        <w:pStyle w:val="ListBullet"/>
      </w:pPr>
      <w:r w:rsidRPr="0074246F">
        <w:t>62% or more of our year 5 students will be achieving at or above expected growth in numeracy.</w:t>
      </w:r>
    </w:p>
    <w:p w14:paraId="097CC839" w14:textId="54B34355" w:rsidR="00997CD0" w:rsidRDefault="00DE4763" w:rsidP="00837137">
      <w:pPr>
        <w:pStyle w:val="ListBullet"/>
      </w:pPr>
      <w:r w:rsidRPr="0074246F">
        <w:t xml:space="preserve">25% or more of kindergarten students will be achieving high growth in PIPS </w:t>
      </w:r>
      <w:r>
        <w:t>M</w:t>
      </w:r>
      <w:r w:rsidRPr="0074246F">
        <w:t xml:space="preserve">athematics. </w:t>
      </w:r>
    </w:p>
    <w:p w14:paraId="7C2AF7FB" w14:textId="5BE3679A" w:rsidR="00DE4763" w:rsidRDefault="00DE4763" w:rsidP="00837137">
      <w:pPr>
        <w:pStyle w:val="ListBullet"/>
      </w:pPr>
      <w:r w:rsidRPr="00DE4763">
        <w:t>90% or more students agree or strongly agree that ‘My teachers motivate me to learn’.</w:t>
      </w:r>
    </w:p>
    <w:p w14:paraId="3E0A6EF7" w14:textId="314FC26A" w:rsidR="00DE4763" w:rsidRPr="00DE4763" w:rsidRDefault="00DE4763" w:rsidP="00837137">
      <w:pPr>
        <w:pStyle w:val="ListBullet"/>
      </w:pPr>
      <w:r>
        <w:t>Students to achieve growth in median scale score year to year comparable or above the Australian median scale score.</w:t>
      </w:r>
    </w:p>
    <w:p w14:paraId="1319DBFF" w14:textId="01D52DF4" w:rsidR="004D5E45" w:rsidRPr="00373DC0" w:rsidRDefault="004D5E45" w:rsidP="00837137">
      <w:pPr>
        <w:pStyle w:val="BodyText"/>
      </w:pPr>
      <w:r w:rsidRPr="00373DC0">
        <w:t xml:space="preserve">In </w:t>
      </w:r>
      <w:r w:rsidR="00D4537E">
        <w:t>20</w:t>
      </w:r>
      <w:r w:rsidR="00DE4763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59D1A17E" w14:textId="77777777" w:rsidR="00921FB7" w:rsidRPr="000F0410" w:rsidRDefault="00921FB7" w:rsidP="00921FB7">
      <w:pPr>
        <w:pStyle w:val="ListBullet"/>
      </w:pPr>
      <w:r>
        <w:t>Students articulate the learning intention and success criteria of the numeracy lesson.</w:t>
      </w:r>
    </w:p>
    <w:p w14:paraId="0880C494" w14:textId="77777777" w:rsidR="00921FB7" w:rsidRDefault="00921FB7" w:rsidP="00921FB7">
      <w:pPr>
        <w:pStyle w:val="ListBullet"/>
      </w:pPr>
      <w:r>
        <w:t>Students receive feedback on their learning.</w:t>
      </w:r>
    </w:p>
    <w:p w14:paraId="6FE17B55" w14:textId="3D8A8CB3" w:rsidR="00921FB7" w:rsidRDefault="00921FB7" w:rsidP="00921FB7">
      <w:pPr>
        <w:pStyle w:val="ListBullet"/>
      </w:pPr>
      <w:r>
        <w:t>Students articulate their learning goals.</w:t>
      </w:r>
    </w:p>
    <w:p w14:paraId="07448A5E" w14:textId="1C92A134" w:rsidR="00921FB7" w:rsidRDefault="00921FB7" w:rsidP="00921FB7">
      <w:pPr>
        <w:pStyle w:val="ListBullet"/>
      </w:pPr>
      <w:r>
        <w:t>Teaching teams use data to inform their practice.</w:t>
      </w:r>
    </w:p>
    <w:p w14:paraId="7DFF073D" w14:textId="679191FE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5B811D2" w14:textId="714FB0CD" w:rsidR="009F2F91" w:rsidRDefault="009F2F91" w:rsidP="00B23C72">
            <w:pPr>
              <w:pStyle w:val="ListBullet"/>
              <w:numPr>
                <w:ilvl w:val="0"/>
                <w:numId w:val="0"/>
              </w:numPr>
              <w:ind w:firstLine="6"/>
            </w:pPr>
            <w:r w:rsidRPr="0074246F">
              <w:t>62% or more of our year 5 students will be</w:t>
            </w:r>
            <w:r>
              <w:t xml:space="preserve"> </w:t>
            </w:r>
            <w:r w:rsidRPr="0074246F">
              <w:t>achieving at or above expected growth in numeracy.</w:t>
            </w:r>
          </w:p>
          <w:p w14:paraId="52F72BA3" w14:textId="1A8668CA" w:rsidR="006D2F6B" w:rsidRPr="00D03B0C" w:rsidRDefault="006D2F6B" w:rsidP="00D03B0C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6F51F004" w14:textId="12C02E3E" w:rsidR="006D2F6B" w:rsidRPr="00D03B0C" w:rsidRDefault="001C0226" w:rsidP="00BD5416">
            <w:pPr>
              <w:jc w:val="center"/>
            </w:pPr>
            <w:r>
              <w:t>53%</w:t>
            </w:r>
          </w:p>
        </w:tc>
        <w:tc>
          <w:tcPr>
            <w:tcW w:w="790" w:type="dxa"/>
            <w:shd w:val="clear" w:color="auto" w:fill="auto"/>
          </w:tcPr>
          <w:p w14:paraId="3571C78F" w14:textId="66FCE6B1" w:rsidR="006D2F6B" w:rsidRPr="00D03B0C" w:rsidRDefault="001C0226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3322B11" w14:textId="77777777" w:rsidR="009F2F91" w:rsidRDefault="009F2F91" w:rsidP="00B23C72">
            <w:pPr>
              <w:pStyle w:val="ListBullet"/>
              <w:numPr>
                <w:ilvl w:val="0"/>
                <w:numId w:val="0"/>
              </w:numPr>
              <w:ind w:left="-60"/>
            </w:pPr>
            <w:r w:rsidRPr="0074246F">
              <w:t xml:space="preserve">25% or more of kindergarten students will be achieving high growth in PIPS </w:t>
            </w:r>
            <w:r>
              <w:t>M</w:t>
            </w:r>
            <w:r w:rsidRPr="0074246F">
              <w:t xml:space="preserve">athematics. </w:t>
            </w:r>
          </w:p>
          <w:p w14:paraId="3C7AC1FF" w14:textId="39259E2E" w:rsidR="006D2F6B" w:rsidRPr="00D03B0C" w:rsidRDefault="006D2F6B" w:rsidP="006D2F6B"/>
        </w:tc>
        <w:tc>
          <w:tcPr>
            <w:tcW w:w="790" w:type="dxa"/>
            <w:shd w:val="clear" w:color="auto" w:fill="auto"/>
          </w:tcPr>
          <w:p w14:paraId="4C712096" w14:textId="0E878D2A" w:rsidR="006D2F6B" w:rsidRPr="00D03B0C" w:rsidRDefault="001C0226" w:rsidP="00A8510B">
            <w:pPr>
              <w:jc w:val="center"/>
            </w:pPr>
            <w:r>
              <w:t>22%</w:t>
            </w:r>
          </w:p>
        </w:tc>
        <w:tc>
          <w:tcPr>
            <w:tcW w:w="790" w:type="dxa"/>
            <w:shd w:val="clear" w:color="auto" w:fill="auto"/>
          </w:tcPr>
          <w:p w14:paraId="2AFC093D" w14:textId="5F5FA2DF" w:rsidR="006D2F6B" w:rsidRPr="00D03B0C" w:rsidRDefault="001C0226" w:rsidP="00D03B0C">
            <w:r>
              <w:t>TBC</w:t>
            </w:r>
          </w:p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63E560BA" w:rsidR="006D2F6B" w:rsidRPr="006D2F6B" w:rsidRDefault="004627BE" w:rsidP="004627BE">
            <w:pPr>
              <w:pStyle w:val="ListBullet"/>
              <w:numPr>
                <w:ilvl w:val="0"/>
                <w:numId w:val="0"/>
              </w:numPr>
            </w:pPr>
            <w:r w:rsidRPr="00DE4763">
              <w:t>90% or more students agree or strongly agree that ‘My teachers motivate me to learn’.</w:t>
            </w:r>
          </w:p>
        </w:tc>
        <w:tc>
          <w:tcPr>
            <w:tcW w:w="790" w:type="dxa"/>
            <w:shd w:val="clear" w:color="auto" w:fill="auto"/>
          </w:tcPr>
          <w:p w14:paraId="4B7CDD05" w14:textId="6502F2B9" w:rsidR="006D2F6B" w:rsidRPr="006D2F6B" w:rsidRDefault="001C0226" w:rsidP="00D34AEA">
            <w:pPr>
              <w:jc w:val="center"/>
            </w:pPr>
            <w:r>
              <w:t>86%</w:t>
            </w:r>
          </w:p>
        </w:tc>
        <w:tc>
          <w:tcPr>
            <w:tcW w:w="790" w:type="dxa"/>
            <w:shd w:val="clear" w:color="auto" w:fill="auto"/>
          </w:tcPr>
          <w:p w14:paraId="1037F637" w14:textId="06CE60DE" w:rsidR="006D2F6B" w:rsidRPr="006D2F6B" w:rsidRDefault="001C0226" w:rsidP="00D03B0C">
            <w:r>
              <w:t>74.2%</w:t>
            </w:r>
          </w:p>
        </w:tc>
        <w:tc>
          <w:tcPr>
            <w:tcW w:w="790" w:type="dxa"/>
            <w:shd w:val="clear" w:color="auto" w:fill="auto"/>
          </w:tcPr>
          <w:p w14:paraId="4DED56F3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</w:tbl>
    <w:p w14:paraId="02078B9E" w14:textId="12515E9B" w:rsidR="008A01DA" w:rsidRPr="008A01DA" w:rsidRDefault="008A01DA" w:rsidP="00C0648C">
      <w:pPr>
        <w:pStyle w:val="Heading4"/>
      </w:pPr>
      <w:r>
        <w:lastRenderedPageBreak/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120CC6" w14:textId="2974DD5C" w:rsidR="004627BE" w:rsidRPr="00DE4763" w:rsidRDefault="004627BE" w:rsidP="004627BE">
            <w:pPr>
              <w:pStyle w:val="ListBullet"/>
              <w:numPr>
                <w:ilvl w:val="0"/>
                <w:numId w:val="0"/>
              </w:numPr>
            </w:pPr>
            <w:r>
              <w:t xml:space="preserve">Students to achieve growth in median scale score year to year comparable </w:t>
            </w:r>
            <w:r w:rsidR="00A8510B">
              <w:t xml:space="preserve">to </w:t>
            </w:r>
            <w:r>
              <w:t>or above the Australian median scale score.</w:t>
            </w:r>
          </w:p>
          <w:p w14:paraId="0CEA91E9" w14:textId="2941882E" w:rsidR="006D2F6B" w:rsidRPr="006D2F6B" w:rsidRDefault="006D2F6B" w:rsidP="00D03B0C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1DEC5E9B" w14:textId="245AE385" w:rsidR="00782A22" w:rsidRPr="006B7F4D" w:rsidRDefault="0099524E" w:rsidP="00D03B0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Median Scale score N/A</w:t>
            </w:r>
          </w:p>
        </w:tc>
        <w:tc>
          <w:tcPr>
            <w:tcW w:w="790" w:type="dxa"/>
            <w:shd w:val="clear" w:color="auto" w:fill="auto"/>
          </w:tcPr>
          <w:p w14:paraId="0FF61450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6E75F6C9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6D092A05" w14:textId="3D1EF2A5" w:rsidR="008A01DA" w:rsidRPr="009710F4" w:rsidRDefault="008A01DA" w:rsidP="0099524E">
      <w:pPr>
        <w:pStyle w:val="BodyText"/>
        <w:rPr>
          <w:b/>
          <w:bCs/>
        </w:rPr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DFB70DA" w14:textId="77A336C9" w:rsidR="00161E50" w:rsidRDefault="00DE4763" w:rsidP="00DE4763">
            <w:pPr>
              <w:pStyle w:val="PlainText"/>
            </w:pPr>
            <w:r w:rsidRPr="00DE4763">
              <w:t>The school has reprioritised its efforts in 2020. This is reported in the adjusted priority below.</w:t>
            </w:r>
            <w:r>
              <w:t xml:space="preserve">   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DB2F78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48C5D032" w14:textId="16E2CD62" w:rsidR="00CA26FB" w:rsidRPr="00767359" w:rsidRDefault="00DB2F78" w:rsidP="00767359">
            <w:pPr>
              <w:pStyle w:val="BodyText"/>
              <w:rPr>
                <w:bCs/>
              </w:rPr>
            </w:pPr>
            <w:r w:rsidRPr="00DB2F78">
              <w:rPr>
                <w:bCs/>
              </w:rPr>
              <w:t>Se</w:t>
            </w:r>
            <w:r>
              <w:rPr>
                <w:bCs/>
              </w:rPr>
              <w:t>e</w:t>
            </w:r>
            <w:r w:rsidRPr="00DB2F78">
              <w:rPr>
                <w:bCs/>
              </w:rPr>
              <w:t xml:space="preserve"> adjusted priority below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pPr w:leftFromText="180" w:rightFromText="180" w:vertAnchor="text" w:tblpY="32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767359" w14:paraId="1352B90B" w14:textId="77777777" w:rsidTr="00767359">
        <w:trPr>
          <w:trHeight w:val="116"/>
        </w:trPr>
        <w:tc>
          <w:tcPr>
            <w:tcW w:w="9027" w:type="dxa"/>
            <w:shd w:val="clear" w:color="auto" w:fill="auto"/>
          </w:tcPr>
          <w:p w14:paraId="0EEF7471" w14:textId="77777777" w:rsidR="00767359" w:rsidRDefault="00767359" w:rsidP="00767359">
            <w:pPr>
              <w:pStyle w:val="ListBullet2"/>
              <w:numPr>
                <w:ilvl w:val="0"/>
                <w:numId w:val="0"/>
              </w:numPr>
            </w:pPr>
            <w:r>
              <w:t>See adjusted priority below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7E4D3EF7" w14:textId="77777777" w:rsidR="008B6350" w:rsidRDefault="008B6350" w:rsidP="008B6350">
      <w:pPr>
        <w:pStyle w:val="Heading2"/>
      </w:pPr>
      <w:r>
        <w:t>Adjusted 2020 Priority</w:t>
      </w:r>
    </w:p>
    <w:p w14:paraId="74758F53" w14:textId="2F40E3A4" w:rsidR="008B6350" w:rsidRDefault="008B6350" w:rsidP="008B6350">
      <w:r>
        <w:t>Following significant disruptions experienced in 2020</w:t>
      </w:r>
      <w:r w:rsidR="000C4936">
        <w:t>, including C</w:t>
      </w:r>
      <w:r w:rsidR="00767359">
        <w:t>O</w:t>
      </w:r>
      <w:r w:rsidR="000C4936">
        <w:t xml:space="preserve">VID and urgent lead </w:t>
      </w:r>
      <w:r w:rsidR="00767359">
        <w:t>remediation, the</w:t>
      </w:r>
      <w:r>
        <w:t xml:space="preserve"> school prioritised the following action</w:t>
      </w:r>
      <w:r w:rsidR="00767359">
        <w:t xml:space="preserve"> for completion in term 4:</w:t>
      </w:r>
      <w:r>
        <w:t xml:space="preserve"> </w:t>
      </w:r>
    </w:p>
    <w:p w14:paraId="60172076" w14:textId="39DC5DD1" w:rsidR="00767359" w:rsidRDefault="000C4936" w:rsidP="00804225">
      <w:pPr>
        <w:pStyle w:val="ListParagraph"/>
        <w:numPr>
          <w:ilvl w:val="0"/>
          <w:numId w:val="27"/>
        </w:numPr>
      </w:pPr>
      <w:r>
        <w:t>To develop a consistent approach to the teaching of numeracy across the school.</w:t>
      </w:r>
    </w:p>
    <w:p w14:paraId="2514F49A" w14:textId="77777777" w:rsidR="008B6350" w:rsidRPr="00E061B8" w:rsidRDefault="008B6350" w:rsidP="008B6350">
      <w:pPr>
        <w:pStyle w:val="Heading3"/>
      </w:pPr>
      <w:r w:rsidRPr="00E061B8">
        <w:t xml:space="preserve">What evidence </w:t>
      </w:r>
      <w:r>
        <w:t>was collected to inform impact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B6350" w14:paraId="6AF8607A" w14:textId="77777777" w:rsidTr="006F12DA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D0950C3" w14:textId="748D57BC" w:rsidR="00144367" w:rsidRDefault="00144367" w:rsidP="00767359">
            <w:pPr>
              <w:pStyle w:val="PlainText"/>
            </w:pPr>
            <w:r>
              <w:t xml:space="preserve">Teachers collected consistent numeracy data across the school. Kindergarten </w:t>
            </w:r>
            <w:r w:rsidR="00A8510B">
              <w:t xml:space="preserve">to </w:t>
            </w:r>
            <w:proofErr w:type="spellStart"/>
            <w:r w:rsidR="00A8510B">
              <w:t>Yr</w:t>
            </w:r>
            <w:proofErr w:type="spellEnd"/>
            <w:r w:rsidR="00A8510B">
              <w:t xml:space="preserve"> </w:t>
            </w:r>
            <w:r>
              <w:t xml:space="preserve">2 </w:t>
            </w:r>
            <w:r w:rsidR="00A8510B">
              <w:t>applied</w:t>
            </w:r>
            <w:r>
              <w:t xml:space="preserve"> SENA 1 and 2, Years 3-6 </w:t>
            </w:r>
            <w:r w:rsidR="00A8510B">
              <w:t>applied</w:t>
            </w:r>
            <w:r>
              <w:t xml:space="preserve"> MYMC. This </w:t>
            </w:r>
            <w:r w:rsidR="00A8510B">
              <w:t xml:space="preserve">data </w:t>
            </w:r>
            <w:r>
              <w:t xml:space="preserve">was analysed during </w:t>
            </w:r>
            <w:r w:rsidR="00A8510B">
              <w:t>weekly</w:t>
            </w:r>
            <w:r>
              <w:t xml:space="preserve"> PLCs to </w:t>
            </w:r>
            <w:r w:rsidR="00A8510B">
              <w:t>determine</w:t>
            </w:r>
            <w:r>
              <w:t xml:space="preserve"> </w:t>
            </w:r>
            <w:r w:rsidR="00A8510B">
              <w:t>student learning growth</w:t>
            </w:r>
            <w:r>
              <w:t>.</w:t>
            </w:r>
            <w:r w:rsidR="00310374">
              <w:t xml:space="preserve"> PAT Maths was used only in Term 1.</w:t>
            </w:r>
          </w:p>
          <w:p w14:paraId="6BE994D9" w14:textId="77777777" w:rsidR="00024CDA" w:rsidRDefault="00024CDA" w:rsidP="00767359">
            <w:pPr>
              <w:pStyle w:val="PlainText"/>
            </w:pPr>
          </w:p>
          <w:p w14:paraId="7F02CC2A" w14:textId="64FA2851" w:rsidR="00804225" w:rsidRDefault="00144367" w:rsidP="00767359">
            <w:pPr>
              <w:pStyle w:val="PlainText"/>
            </w:pPr>
            <w:r>
              <w:t xml:space="preserve">This is the first full year we have used our Mapped Achievement Standards. It was evident teachers understood which sections of the Australian Curriculum were taught </w:t>
            </w:r>
            <w:r w:rsidR="00024CDA">
              <w:t>in English and</w:t>
            </w:r>
            <w:r>
              <w:t xml:space="preserve"> </w:t>
            </w:r>
            <w:r w:rsidR="00024CDA">
              <w:t xml:space="preserve">Italian. </w:t>
            </w:r>
          </w:p>
          <w:p w14:paraId="52836CAC" w14:textId="77777777" w:rsidR="00804225" w:rsidRDefault="00804225" w:rsidP="00767359">
            <w:pPr>
              <w:pStyle w:val="PlainText"/>
            </w:pPr>
          </w:p>
          <w:p w14:paraId="2FF87DA1" w14:textId="6FB6FDDD" w:rsidR="00024CDA" w:rsidRDefault="00024CDA" w:rsidP="00767359">
            <w:pPr>
              <w:pStyle w:val="PlainText"/>
            </w:pPr>
            <w:r>
              <w:t xml:space="preserve">We consolidated the use of our Numeracy Plan to ensure the consistent use of resources, vocabulary, assessment, and lesson structure. </w:t>
            </w:r>
          </w:p>
        </w:tc>
      </w:tr>
    </w:tbl>
    <w:p w14:paraId="559A241A" w14:textId="77777777" w:rsidR="008B6350" w:rsidRDefault="008B6350" w:rsidP="008B6350"/>
    <w:p w14:paraId="1567D5FC" w14:textId="77777777" w:rsidR="008B6350" w:rsidRPr="00E061B8" w:rsidRDefault="008B6350" w:rsidP="008B6350">
      <w:pPr>
        <w:pStyle w:val="Heading3"/>
      </w:pPr>
      <w:r w:rsidRPr="00E061B8">
        <w:t xml:space="preserve">What </w:t>
      </w:r>
      <w:r>
        <w:t>successes will continue to be included and monitored in future Action Plans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B6350" w14:paraId="5DB43A41" w14:textId="77777777" w:rsidTr="006F12DA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068180D" w14:textId="2F482606" w:rsidR="008B6350" w:rsidRDefault="00024CDA" w:rsidP="00767359">
            <w:pPr>
              <w:pStyle w:val="PlainText"/>
            </w:pPr>
            <w:r>
              <w:t xml:space="preserve">Continue to collect </w:t>
            </w:r>
            <w:r w:rsidR="00A8510B">
              <w:t xml:space="preserve">numeracy data </w:t>
            </w:r>
            <w:r>
              <w:t xml:space="preserve">and evaluate </w:t>
            </w:r>
            <w:r w:rsidR="00A8510B">
              <w:t>evidence of student learning</w:t>
            </w:r>
            <w:r>
              <w:t xml:space="preserve"> during </w:t>
            </w:r>
            <w:r w:rsidR="00A8510B">
              <w:t>weekly</w:t>
            </w:r>
            <w:r>
              <w:t xml:space="preserve"> PLCs.</w:t>
            </w:r>
          </w:p>
          <w:p w14:paraId="4B88E489" w14:textId="614B6067" w:rsidR="00024CDA" w:rsidRDefault="00024CDA" w:rsidP="00767359">
            <w:pPr>
              <w:pStyle w:val="PlainText"/>
            </w:pPr>
            <w:r>
              <w:t xml:space="preserve">Continued use of Mapped Achievement Standards and Numeracy Plan. </w:t>
            </w:r>
          </w:p>
        </w:tc>
      </w:tr>
    </w:tbl>
    <w:p w14:paraId="662BAB53" w14:textId="77777777" w:rsidR="008B6350" w:rsidRPr="006F5A6F" w:rsidRDefault="008B6350" w:rsidP="008B6350"/>
    <w:p w14:paraId="34587595" w14:textId="77777777" w:rsidR="008B6350" w:rsidRDefault="008B6350" w:rsidP="008B6350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17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4"/>
      </w:tblGrid>
      <w:tr w:rsidR="008B6350" w14:paraId="5E79FFEF" w14:textId="77777777" w:rsidTr="00A8510B">
        <w:trPr>
          <w:trHeight w:val="116"/>
          <w:jc w:val="center"/>
        </w:trPr>
        <w:tc>
          <w:tcPr>
            <w:tcW w:w="9174" w:type="dxa"/>
            <w:shd w:val="clear" w:color="auto" w:fill="auto"/>
          </w:tcPr>
          <w:p w14:paraId="60992493" w14:textId="53FF61F8" w:rsidR="00143F04" w:rsidRDefault="00A8510B" w:rsidP="00A8510B">
            <w:pPr>
              <w:pStyle w:val="BodyText"/>
              <w:numPr>
                <w:ilvl w:val="0"/>
                <w:numId w:val="32"/>
              </w:numPr>
              <w:ind w:left="0" w:hanging="116"/>
            </w:pPr>
            <w:r>
              <w:t xml:space="preserve"> </w:t>
            </w:r>
            <w:r w:rsidR="005C4F02">
              <w:t xml:space="preserve">Continued </w:t>
            </w:r>
            <w:r w:rsidR="00310374">
              <w:t>n</w:t>
            </w:r>
            <w:r w:rsidR="005C4F02">
              <w:t>umeracy focus across the whole school</w:t>
            </w:r>
            <w:r>
              <w:t>, including</w:t>
            </w:r>
            <w:r w:rsidR="005C4F02">
              <w:t xml:space="preserve"> Professional Learning, pedagogy, programming, and lesson observations.</w:t>
            </w:r>
          </w:p>
          <w:p w14:paraId="40A39438" w14:textId="11EB01E8" w:rsidR="00D8631B" w:rsidRDefault="00A8510B" w:rsidP="00A8510B">
            <w:pPr>
              <w:pStyle w:val="BodyText"/>
              <w:numPr>
                <w:ilvl w:val="0"/>
                <w:numId w:val="32"/>
              </w:numPr>
              <w:ind w:left="0" w:hanging="116"/>
            </w:pPr>
            <w:r>
              <w:t xml:space="preserve"> </w:t>
            </w:r>
            <w:r w:rsidR="00D8631B">
              <w:t xml:space="preserve">Collection of PAT maths data </w:t>
            </w:r>
            <w:r w:rsidR="00310374">
              <w:t xml:space="preserve">in Term 1 and Term 4 </w:t>
            </w:r>
            <w:r w:rsidR="00D8631B">
              <w:t xml:space="preserve">to </w:t>
            </w:r>
            <w:r>
              <w:t>measure</w:t>
            </w:r>
            <w:r w:rsidR="00D8631B">
              <w:t xml:space="preserve"> growth in students</w:t>
            </w:r>
            <w:r w:rsidR="006B7F4D">
              <w:t xml:space="preserve"> Y</w:t>
            </w:r>
            <w:r w:rsidR="00B56D4E">
              <w:t>ea</w:t>
            </w:r>
            <w:r w:rsidR="006B7F4D">
              <w:t>r 1 - 6</w:t>
            </w:r>
            <w:r w:rsidR="00D8631B">
              <w:t>.</w:t>
            </w:r>
          </w:p>
        </w:tc>
      </w:tr>
    </w:tbl>
    <w:p w14:paraId="15985823" w14:textId="77777777" w:rsidR="00310374" w:rsidRDefault="00310374" w:rsidP="00415554">
      <w:pPr>
        <w:pStyle w:val="Heading2"/>
        <w:tabs>
          <w:tab w:val="clear" w:pos="2410"/>
          <w:tab w:val="left" w:pos="1276"/>
        </w:tabs>
      </w:pPr>
    </w:p>
    <w:p w14:paraId="33F6FEFC" w14:textId="77777777" w:rsidR="00310374" w:rsidRDefault="00310374" w:rsidP="00415554">
      <w:pPr>
        <w:pStyle w:val="Heading2"/>
        <w:tabs>
          <w:tab w:val="clear" w:pos="2410"/>
          <w:tab w:val="left" w:pos="1276"/>
        </w:tabs>
      </w:pPr>
    </w:p>
    <w:p w14:paraId="6F6A05B7" w14:textId="107A03F8" w:rsidR="00EB70CE" w:rsidRPr="000F0410" w:rsidRDefault="00EB70CE" w:rsidP="00A8510B">
      <w:pPr>
        <w:pStyle w:val="Heading2"/>
        <w:tabs>
          <w:tab w:val="clear" w:pos="2410"/>
          <w:tab w:val="left" w:pos="1276"/>
        </w:tabs>
        <w:ind w:left="0" w:firstLine="0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="004627BE">
        <w:rPr>
          <w:color w:val="auto"/>
        </w:rPr>
        <w:t xml:space="preserve"> </w:t>
      </w:r>
      <w:r w:rsidR="004627BE">
        <w:rPr>
          <w:rStyle w:val="Heading2Char"/>
          <w:color w:val="auto"/>
        </w:rPr>
        <w:t>Increase growth in student performance in writing across all year levels.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3F4981F8" w:rsidR="00EB70CE" w:rsidRDefault="00EB70CE" w:rsidP="00EB70CE">
      <w:pPr>
        <w:pStyle w:val="BodyText"/>
      </w:pPr>
      <w:r>
        <w:t>By the end of 20</w:t>
      </w:r>
      <w:r w:rsidR="004627BE">
        <w:t>24</w:t>
      </w:r>
      <w:r>
        <w:t xml:space="preserve"> we will achieve:</w:t>
      </w:r>
    </w:p>
    <w:p w14:paraId="6C1C7C31" w14:textId="6BD86DCF" w:rsidR="00C035A2" w:rsidRDefault="00C035A2" w:rsidP="00C035A2">
      <w:pPr>
        <w:pStyle w:val="ListBullet"/>
      </w:pPr>
      <w:r>
        <w:t>An</w:t>
      </w:r>
      <w:r w:rsidR="00C167E3" w:rsidRPr="005D7999">
        <w:t xml:space="preserve"> increase </w:t>
      </w:r>
      <w:r>
        <w:t xml:space="preserve">in </w:t>
      </w:r>
      <w:r w:rsidR="00C167E3" w:rsidRPr="005D7999">
        <w:t xml:space="preserve">the percentage of year 5 students in the top two bands of writing to 28% or more. </w:t>
      </w:r>
    </w:p>
    <w:p w14:paraId="74AEAB93" w14:textId="3310FC84" w:rsidR="00EB70CE" w:rsidRDefault="00C035A2" w:rsidP="00C035A2">
      <w:pPr>
        <w:pStyle w:val="ListBullet"/>
      </w:pPr>
      <w:r>
        <w:t>An</w:t>
      </w:r>
      <w:r w:rsidR="00C167E3" w:rsidRPr="0081622B">
        <w:t xml:space="preserve"> increase </w:t>
      </w:r>
      <w:r>
        <w:t xml:space="preserve">in </w:t>
      </w:r>
      <w:r w:rsidR="00C167E3" w:rsidRPr="0081622B">
        <w:t>the percentage of year 3 students in the top bands of writing to 69% or more.</w:t>
      </w:r>
    </w:p>
    <w:p w14:paraId="2DB42D92" w14:textId="0593412E" w:rsidR="00C035A2" w:rsidRPr="00837137" w:rsidRDefault="00C035A2" w:rsidP="00C035A2">
      <w:pPr>
        <w:pStyle w:val="ListBullet"/>
      </w:pPr>
      <w:r>
        <w:t>An</w:t>
      </w:r>
      <w:r w:rsidRPr="0081622B">
        <w:t xml:space="preserve"> increase </w:t>
      </w:r>
      <w:r>
        <w:t xml:space="preserve">in </w:t>
      </w:r>
      <w:r w:rsidRPr="0081622B">
        <w:t>the Year 3 to Year 5 growth in mean scale scores in Writing to 61 mean scale scores or more.</w:t>
      </w:r>
    </w:p>
    <w:p w14:paraId="6BF90988" w14:textId="3A05DB1D" w:rsidR="00EB70CE" w:rsidRPr="00373DC0" w:rsidRDefault="00EB70CE" w:rsidP="00EB70CE">
      <w:pPr>
        <w:pStyle w:val="BodyText"/>
      </w:pPr>
      <w:r w:rsidRPr="00373DC0">
        <w:t>In 20</w:t>
      </w:r>
      <w:r w:rsidR="005008B0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043D15A9" w14:textId="77777777" w:rsidR="005008B0" w:rsidRDefault="005008B0" w:rsidP="005008B0">
      <w:pPr>
        <w:pStyle w:val="ListBullet"/>
      </w:pPr>
      <w:r>
        <w:t>Students articulate the learning intention and success criteria of the writing lesson.</w:t>
      </w:r>
    </w:p>
    <w:p w14:paraId="70B37562" w14:textId="77777777" w:rsidR="005008B0" w:rsidRDefault="005008B0" w:rsidP="005008B0">
      <w:pPr>
        <w:pStyle w:val="ListBullet"/>
      </w:pPr>
      <w:r>
        <w:t>Students receive feedback on their writing.</w:t>
      </w:r>
    </w:p>
    <w:p w14:paraId="13F17F2B" w14:textId="6230AE03" w:rsidR="00EB70CE" w:rsidRDefault="005008B0" w:rsidP="00EB70CE">
      <w:pPr>
        <w:pStyle w:val="ListBullet"/>
      </w:pPr>
      <w:r>
        <w:t>Teacher capacity is enhanced through involvement in the Early Years Literacy Initiative.</w:t>
      </w:r>
    </w:p>
    <w:p w14:paraId="32A84660" w14:textId="569AA38D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47C3BBEE" w14:textId="0D102E07" w:rsidR="00C035A2" w:rsidRDefault="00C035A2" w:rsidP="00C035A2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5D7999">
              <w:t xml:space="preserve"> increase </w:t>
            </w:r>
            <w:r>
              <w:t xml:space="preserve">in </w:t>
            </w:r>
            <w:r w:rsidRPr="005D7999">
              <w:t>the percentage of year 5</w:t>
            </w:r>
            <w:r>
              <w:t xml:space="preserve"> </w:t>
            </w:r>
            <w:r w:rsidRPr="005D7999">
              <w:t xml:space="preserve">students in the top two bands of writing to 28% or more. </w:t>
            </w:r>
          </w:p>
          <w:p w14:paraId="2513CA2B" w14:textId="3964BAE2" w:rsidR="00EB70CE" w:rsidRPr="00D03B0C" w:rsidRDefault="00EB70CE" w:rsidP="00654356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033F8A2C" w14:textId="6491D133" w:rsidR="00EB70CE" w:rsidRPr="00D03B0C" w:rsidRDefault="001C0226" w:rsidP="00654356">
            <w:r>
              <w:t>17%</w:t>
            </w:r>
          </w:p>
        </w:tc>
        <w:tc>
          <w:tcPr>
            <w:tcW w:w="790" w:type="dxa"/>
            <w:shd w:val="clear" w:color="auto" w:fill="auto"/>
          </w:tcPr>
          <w:p w14:paraId="37A47674" w14:textId="3AF245C4" w:rsidR="00EB70CE" w:rsidRPr="00D03B0C" w:rsidRDefault="001C022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B610A06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0185F2FB" w14:textId="77777777" w:rsidR="00C035A2" w:rsidRPr="00837137" w:rsidRDefault="00C035A2" w:rsidP="00C035A2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81622B">
              <w:t xml:space="preserve"> increase </w:t>
            </w:r>
            <w:r>
              <w:t xml:space="preserve">in </w:t>
            </w:r>
            <w:r w:rsidRPr="0081622B">
              <w:t>the percentage of year 3 students in the top bands of writing to 69% or more.</w:t>
            </w:r>
          </w:p>
          <w:p w14:paraId="3EBBF196" w14:textId="2397618C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4B2FDD23" w14:textId="10FE65A4" w:rsidR="00EB70CE" w:rsidRPr="00D03B0C" w:rsidRDefault="001C0226" w:rsidP="00654356">
            <w:r>
              <w:t>48%</w:t>
            </w:r>
          </w:p>
        </w:tc>
        <w:tc>
          <w:tcPr>
            <w:tcW w:w="790" w:type="dxa"/>
            <w:shd w:val="clear" w:color="auto" w:fill="auto"/>
          </w:tcPr>
          <w:p w14:paraId="064352CC" w14:textId="43834E16" w:rsidR="00EB70CE" w:rsidRPr="00D03B0C" w:rsidRDefault="001C022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5FCC0FBC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  <w:tr w:rsidR="00C035A2" w14:paraId="3B4B54A7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53FB6987" w14:textId="77777777" w:rsidR="00C035A2" w:rsidRPr="00837137" w:rsidRDefault="00C035A2" w:rsidP="00C035A2">
            <w:pPr>
              <w:pStyle w:val="ListBullet"/>
              <w:numPr>
                <w:ilvl w:val="0"/>
                <w:numId w:val="0"/>
              </w:numPr>
            </w:pPr>
            <w:r>
              <w:t>An</w:t>
            </w:r>
            <w:r w:rsidRPr="0081622B">
              <w:t xml:space="preserve"> increase </w:t>
            </w:r>
            <w:r>
              <w:t xml:space="preserve">in </w:t>
            </w:r>
            <w:r w:rsidRPr="0081622B">
              <w:t>the Year 3 to Year 5 growth in mean scale scores in Writing to 61 mean scale scores or more.</w:t>
            </w:r>
          </w:p>
          <w:p w14:paraId="19009B78" w14:textId="77777777" w:rsidR="00C035A2" w:rsidRDefault="00C035A2" w:rsidP="00C035A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90" w:type="dxa"/>
            <w:shd w:val="clear" w:color="auto" w:fill="auto"/>
          </w:tcPr>
          <w:p w14:paraId="47590BEE" w14:textId="4A3AD336" w:rsidR="00C035A2" w:rsidRPr="00D03B0C" w:rsidRDefault="001C0226" w:rsidP="00654356">
            <w:r>
              <w:t>58 mean scale score</w:t>
            </w:r>
          </w:p>
        </w:tc>
        <w:tc>
          <w:tcPr>
            <w:tcW w:w="790" w:type="dxa"/>
            <w:shd w:val="clear" w:color="auto" w:fill="auto"/>
          </w:tcPr>
          <w:p w14:paraId="3E2B9249" w14:textId="11C84991" w:rsidR="00C035A2" w:rsidRPr="00D03B0C" w:rsidRDefault="001C0226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897D8C8" w14:textId="77777777" w:rsidR="00C035A2" w:rsidRPr="00D03B0C" w:rsidRDefault="00C035A2" w:rsidP="00654356"/>
        </w:tc>
        <w:tc>
          <w:tcPr>
            <w:tcW w:w="790" w:type="dxa"/>
            <w:shd w:val="clear" w:color="auto" w:fill="auto"/>
          </w:tcPr>
          <w:p w14:paraId="64643776" w14:textId="77777777" w:rsidR="00C035A2" w:rsidRPr="00D03B0C" w:rsidRDefault="00C035A2" w:rsidP="00654356"/>
        </w:tc>
        <w:tc>
          <w:tcPr>
            <w:tcW w:w="790" w:type="dxa"/>
            <w:shd w:val="clear" w:color="auto" w:fill="auto"/>
          </w:tcPr>
          <w:p w14:paraId="73B09CA8" w14:textId="77777777" w:rsidR="00C035A2" w:rsidRPr="00D03B0C" w:rsidRDefault="00C035A2" w:rsidP="00654356"/>
        </w:tc>
        <w:tc>
          <w:tcPr>
            <w:tcW w:w="791" w:type="dxa"/>
            <w:shd w:val="clear" w:color="auto" w:fill="auto"/>
          </w:tcPr>
          <w:p w14:paraId="5976BD5C" w14:textId="77777777" w:rsidR="00C035A2" w:rsidRPr="00D03B0C" w:rsidRDefault="00C035A2" w:rsidP="00654356"/>
        </w:tc>
      </w:tr>
    </w:tbl>
    <w:p w14:paraId="1FB1DDEC" w14:textId="77777777" w:rsidR="00767359" w:rsidRPr="00767359" w:rsidRDefault="00767359" w:rsidP="00767359"/>
    <w:p w14:paraId="277910B0" w14:textId="35A4F480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34CFC7A2" w:rsidR="00EB70CE" w:rsidRPr="00C035A2" w:rsidRDefault="00C035A2" w:rsidP="00C035A2">
            <w:pPr>
              <w:pStyle w:val="ListBullet"/>
              <w:numPr>
                <w:ilvl w:val="0"/>
                <w:numId w:val="0"/>
              </w:numPr>
            </w:pPr>
            <w:r w:rsidRPr="00C035A2">
              <w:t>85% or more of our staff</w:t>
            </w:r>
            <w:r w:rsidR="00D34AEA">
              <w:t xml:space="preserve"> </w:t>
            </w:r>
            <w:r w:rsidRPr="00C035A2">
              <w:t>agree or strongly agree that ‘Teachers give useful feedback’.</w:t>
            </w:r>
          </w:p>
        </w:tc>
        <w:tc>
          <w:tcPr>
            <w:tcW w:w="790" w:type="dxa"/>
            <w:shd w:val="clear" w:color="auto" w:fill="auto"/>
          </w:tcPr>
          <w:p w14:paraId="694253E4" w14:textId="6A430159" w:rsidR="00EB70CE" w:rsidRPr="006D2F6B" w:rsidRDefault="001C0226" w:rsidP="00D34AEA">
            <w:pPr>
              <w:jc w:val="center"/>
            </w:pPr>
            <w:r>
              <w:t>79.0%</w:t>
            </w:r>
          </w:p>
        </w:tc>
        <w:tc>
          <w:tcPr>
            <w:tcW w:w="790" w:type="dxa"/>
            <w:shd w:val="clear" w:color="auto" w:fill="auto"/>
          </w:tcPr>
          <w:p w14:paraId="30994033" w14:textId="24A306B7" w:rsidR="00EB70CE" w:rsidRPr="006D2F6B" w:rsidRDefault="001C0226" w:rsidP="00654356">
            <w:r>
              <w:t>73.3%</w:t>
            </w:r>
          </w:p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</w:tbl>
    <w:p w14:paraId="4814548F" w14:textId="77777777" w:rsidR="00C035A2" w:rsidRDefault="00C035A2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lastRenderedPageBreak/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7DDC188" w14:textId="65A0EEDF" w:rsidR="00EB70CE" w:rsidRDefault="006E60C3" w:rsidP="000C4936">
            <w:pPr>
              <w:pStyle w:val="PlainText"/>
            </w:pPr>
            <w:r>
              <w:t>Th</w:t>
            </w:r>
            <w:r w:rsidR="000C4936" w:rsidRPr="00DE4763">
              <w:t>e school has reprioritised its efforts in 2020. This is reported in the adjusted priority below.</w:t>
            </w:r>
            <w:r w:rsidR="000C4936">
              <w:t xml:space="preserve">   </w:t>
            </w:r>
          </w:p>
        </w:tc>
      </w:tr>
    </w:tbl>
    <w:tbl>
      <w:tblPr>
        <w:tblStyle w:val="TableGrid"/>
        <w:tblpPr w:leftFromText="180" w:rightFromText="180" w:vertAnchor="text" w:horzAnchor="margin" w:tblpY="600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767359" w14:paraId="2D16481B" w14:textId="77777777" w:rsidTr="00767359">
        <w:trPr>
          <w:trHeight w:val="223"/>
        </w:trPr>
        <w:tc>
          <w:tcPr>
            <w:tcW w:w="9027" w:type="dxa"/>
            <w:shd w:val="clear" w:color="auto" w:fill="auto"/>
          </w:tcPr>
          <w:p w14:paraId="08EAA706" w14:textId="77777777" w:rsidR="00767359" w:rsidRPr="00767359" w:rsidRDefault="00767359" w:rsidP="00767359">
            <w:pPr>
              <w:pStyle w:val="BodyText"/>
              <w:rPr>
                <w:bCs/>
              </w:rPr>
            </w:pPr>
            <w:r w:rsidRPr="00DB2F78">
              <w:rPr>
                <w:bCs/>
              </w:rPr>
              <w:t>Se</w:t>
            </w:r>
            <w:r>
              <w:rPr>
                <w:bCs/>
              </w:rPr>
              <w:t>e</w:t>
            </w:r>
            <w:r w:rsidRPr="00DB2F78">
              <w:rPr>
                <w:bCs/>
              </w:rPr>
              <w:t xml:space="preserve"> adjusted priority below</w:t>
            </w:r>
          </w:p>
        </w:tc>
      </w:tr>
    </w:tbl>
    <w:p w14:paraId="16392F0B" w14:textId="5715EF55" w:rsidR="00937D6F" w:rsidRDefault="00767359" w:rsidP="006E60C3">
      <w:pPr>
        <w:pStyle w:val="Heading3"/>
      </w:pPr>
      <w:r>
        <w:t xml:space="preserve"> </w:t>
      </w:r>
      <w:r w:rsidR="00937D6F">
        <w:t>Our achievements for this priority</w:t>
      </w: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pPr w:leftFromText="180" w:rightFromText="180" w:vertAnchor="text" w:horzAnchor="margin" w:tblpY="42"/>
        <w:tblW w:w="902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0C4936" w14:paraId="7C003AAC" w14:textId="77777777" w:rsidTr="000C4936">
        <w:trPr>
          <w:trHeight w:val="116"/>
        </w:trPr>
        <w:tc>
          <w:tcPr>
            <w:tcW w:w="9027" w:type="dxa"/>
            <w:shd w:val="clear" w:color="auto" w:fill="auto"/>
          </w:tcPr>
          <w:p w14:paraId="72993E84" w14:textId="77777777" w:rsidR="000C4936" w:rsidRDefault="000C4936" w:rsidP="000C4936">
            <w:pPr>
              <w:pStyle w:val="ListBullet2"/>
              <w:numPr>
                <w:ilvl w:val="0"/>
                <w:numId w:val="0"/>
              </w:numPr>
            </w:pPr>
            <w:r>
              <w:t>See adjusted priority below</w:t>
            </w:r>
          </w:p>
        </w:tc>
      </w:tr>
    </w:tbl>
    <w:p w14:paraId="42495E29" w14:textId="77777777" w:rsidR="00804225" w:rsidRDefault="00804225" w:rsidP="008B6350">
      <w:pPr>
        <w:pStyle w:val="Heading2"/>
      </w:pPr>
    </w:p>
    <w:p w14:paraId="57BC090D" w14:textId="7A524C63" w:rsidR="008B6350" w:rsidRDefault="008B6350" w:rsidP="008B6350">
      <w:pPr>
        <w:pStyle w:val="Heading2"/>
      </w:pPr>
      <w:r>
        <w:t>Adjusted 2020 Priority</w:t>
      </w:r>
    </w:p>
    <w:p w14:paraId="3F08A6FA" w14:textId="49FAA9F9" w:rsidR="00767359" w:rsidRDefault="00767359" w:rsidP="00767359">
      <w:r>
        <w:t xml:space="preserve">Following significant disruptions experienced in 2020, including COVID and urgent lead remediation, the school prioritised the following action for completion in term 4: </w:t>
      </w:r>
    </w:p>
    <w:p w14:paraId="3057978A" w14:textId="39BE4792" w:rsidR="00767359" w:rsidRDefault="00767359" w:rsidP="00767359">
      <w:pPr>
        <w:pStyle w:val="ListParagraph"/>
        <w:numPr>
          <w:ilvl w:val="0"/>
          <w:numId w:val="28"/>
        </w:numPr>
      </w:pPr>
      <w:r>
        <w:t>To develop a consistent approach to best practice literacy teaching.</w:t>
      </w:r>
    </w:p>
    <w:p w14:paraId="736C8650" w14:textId="77777777" w:rsidR="008B6350" w:rsidRPr="00E061B8" w:rsidRDefault="008B6350" w:rsidP="008B6350">
      <w:pPr>
        <w:pStyle w:val="Heading3"/>
      </w:pPr>
      <w:r w:rsidRPr="00E061B8">
        <w:t xml:space="preserve">What evidence </w:t>
      </w:r>
      <w:r>
        <w:t>was collected to inform impact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B6350" w14:paraId="62E77559" w14:textId="77777777" w:rsidTr="006F12DA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B3EA3C3" w14:textId="77749D02" w:rsidR="006E60C3" w:rsidRDefault="006E60C3" w:rsidP="006E60C3">
            <w:pPr>
              <w:pStyle w:val="PlainText"/>
            </w:pPr>
            <w:r>
              <w:t xml:space="preserve">A range of Literacy data In English and Italian across the school was collected to inform teaching practices </w:t>
            </w:r>
            <w:r w:rsidR="00DE5B2A">
              <w:t>e</w:t>
            </w:r>
            <w:r w:rsidR="00E83649">
              <w:t>.</w:t>
            </w:r>
            <w:r>
              <w:t xml:space="preserve">g. PM Benchmarks, BEE Spelling, Prove </w:t>
            </w:r>
            <w:proofErr w:type="spellStart"/>
            <w:r>
              <w:t>d’Ingresso</w:t>
            </w:r>
            <w:proofErr w:type="spellEnd"/>
            <w:r>
              <w:t xml:space="preserve"> and CEFA A1 – B2.</w:t>
            </w:r>
          </w:p>
          <w:p w14:paraId="46C1FE1E" w14:textId="77777777" w:rsidR="006E60C3" w:rsidRDefault="006E60C3" w:rsidP="00546068">
            <w:pPr>
              <w:pStyle w:val="PlainText"/>
            </w:pPr>
          </w:p>
          <w:p w14:paraId="0EFDFD15" w14:textId="6B38E743" w:rsidR="008B6350" w:rsidRDefault="00546068" w:rsidP="00546068">
            <w:pPr>
              <w:pStyle w:val="PlainText"/>
            </w:pPr>
            <w:r>
              <w:t>S</w:t>
            </w:r>
            <w:r w:rsidR="00CB2A5F">
              <w:t xml:space="preserve">emester 1 and Semester 2 Reading Data </w:t>
            </w:r>
            <w:r w:rsidR="00F26795">
              <w:t>was</w:t>
            </w:r>
            <w:r w:rsidR="00CB2A5F">
              <w:t xml:space="preserve"> discussed and analysed during </w:t>
            </w:r>
            <w:r w:rsidR="00F26795">
              <w:t xml:space="preserve">weekly </w:t>
            </w:r>
            <w:r w:rsidR="00CB2A5F">
              <w:t>PLCs</w:t>
            </w:r>
            <w:r w:rsidR="006E60C3">
              <w:t>.</w:t>
            </w:r>
          </w:p>
          <w:p w14:paraId="37FE2FF3" w14:textId="77777777" w:rsidR="006E60C3" w:rsidRDefault="006E60C3" w:rsidP="00546068">
            <w:pPr>
              <w:pStyle w:val="PlainText"/>
            </w:pPr>
          </w:p>
          <w:p w14:paraId="2CE79291" w14:textId="5D24EECB" w:rsidR="00546068" w:rsidRDefault="00546068" w:rsidP="00546068">
            <w:pPr>
              <w:pStyle w:val="PlainText"/>
            </w:pPr>
            <w:r>
              <w:t xml:space="preserve">Writing </w:t>
            </w:r>
            <w:r w:rsidR="00F26795">
              <w:t>m</w:t>
            </w:r>
            <w:r>
              <w:t>oderation</w:t>
            </w:r>
            <w:r w:rsidR="006E60C3">
              <w:t xml:space="preserve"> </w:t>
            </w:r>
            <w:r w:rsidR="00F26795">
              <w:t xml:space="preserve">occurred </w:t>
            </w:r>
            <w:r w:rsidR="006E60C3">
              <w:t>in Year Level teams</w:t>
            </w:r>
            <w:r w:rsidR="00F26795">
              <w:t xml:space="preserve"> based </w:t>
            </w:r>
            <w:proofErr w:type="gramStart"/>
            <w:r w:rsidR="00F26795">
              <w:t xml:space="preserve">on </w:t>
            </w:r>
            <w:r w:rsidR="006E60C3">
              <w:t xml:space="preserve"> K</w:t>
            </w:r>
            <w:proofErr w:type="gramEnd"/>
            <w:r w:rsidR="006E60C3">
              <w:t>-2 English only</w:t>
            </w:r>
            <w:r w:rsidR="00F26795">
              <w:t xml:space="preserve"> samples</w:t>
            </w:r>
            <w:r w:rsidR="006E60C3">
              <w:t xml:space="preserve"> and </w:t>
            </w:r>
            <w:proofErr w:type="spellStart"/>
            <w:r w:rsidR="00F26795">
              <w:t>Yrs</w:t>
            </w:r>
            <w:proofErr w:type="spellEnd"/>
            <w:r w:rsidR="00F26795">
              <w:t xml:space="preserve"> </w:t>
            </w:r>
            <w:r w:rsidR="006E60C3">
              <w:t>3-6 English and Italian samples.</w:t>
            </w:r>
          </w:p>
          <w:p w14:paraId="36D495BC" w14:textId="77777777" w:rsidR="006E60C3" w:rsidRDefault="006E60C3" w:rsidP="00546068">
            <w:pPr>
              <w:pStyle w:val="PlainText"/>
            </w:pPr>
          </w:p>
          <w:p w14:paraId="2569B23C" w14:textId="3B2F06E4" w:rsidR="00546068" w:rsidRDefault="00546068" w:rsidP="00546068">
            <w:pPr>
              <w:pStyle w:val="PlainText"/>
            </w:pPr>
            <w:r>
              <w:t xml:space="preserve">Student </w:t>
            </w:r>
            <w:r w:rsidR="00F26795">
              <w:t>i</w:t>
            </w:r>
            <w:r>
              <w:t xml:space="preserve">ndividual </w:t>
            </w:r>
            <w:r w:rsidR="00F26795">
              <w:t>r</w:t>
            </w:r>
            <w:r>
              <w:t xml:space="preserve">eading and </w:t>
            </w:r>
            <w:r w:rsidR="00F26795">
              <w:t>w</w:t>
            </w:r>
            <w:r>
              <w:t xml:space="preserve">riting </w:t>
            </w:r>
            <w:r w:rsidR="00F26795">
              <w:t>g</w:t>
            </w:r>
            <w:r>
              <w:t>oals</w:t>
            </w:r>
            <w:r w:rsidR="006E60C3">
              <w:t xml:space="preserve"> using Visible Learning strategies. </w:t>
            </w:r>
          </w:p>
        </w:tc>
      </w:tr>
    </w:tbl>
    <w:p w14:paraId="648DB118" w14:textId="77777777" w:rsidR="008B6350" w:rsidRDefault="008B6350" w:rsidP="008B6350"/>
    <w:p w14:paraId="2ACFD6CA" w14:textId="77777777" w:rsidR="008B6350" w:rsidRPr="00E061B8" w:rsidRDefault="008B6350" w:rsidP="008B6350">
      <w:pPr>
        <w:pStyle w:val="Heading3"/>
      </w:pPr>
      <w:r w:rsidRPr="00E061B8">
        <w:t xml:space="preserve">What </w:t>
      </w:r>
      <w:r>
        <w:t>successes will continue to be included and monitored in future Action Plans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B6350" w14:paraId="1353C143" w14:textId="77777777" w:rsidTr="006F12DA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CB416A8" w14:textId="2E1DCD35" w:rsidR="008B6350" w:rsidRDefault="00A15F55" w:rsidP="005C4F02">
            <w:pPr>
              <w:pStyle w:val="PlainText"/>
            </w:pPr>
            <w:r>
              <w:t xml:space="preserve">Staff participated in Professional Learning in the 10 Essential </w:t>
            </w:r>
            <w:r w:rsidR="001C0226">
              <w:t>L</w:t>
            </w:r>
            <w:r>
              <w:t xml:space="preserve">iteracy Practices – Christine </w:t>
            </w:r>
            <w:proofErr w:type="spellStart"/>
            <w:r>
              <w:t>Topfer</w:t>
            </w:r>
            <w:proofErr w:type="spellEnd"/>
            <w:r w:rsidR="006E60C3">
              <w:t>.</w:t>
            </w:r>
          </w:p>
          <w:p w14:paraId="026FBA89" w14:textId="4E4ACE5A" w:rsidR="00782A22" w:rsidRDefault="00782A22" w:rsidP="005C4F02">
            <w:pPr>
              <w:pStyle w:val="PlainText"/>
            </w:pPr>
            <w:r>
              <w:t>PLCs centred around student achievement data</w:t>
            </w:r>
            <w:r w:rsidR="006E60C3">
              <w:t>.</w:t>
            </w:r>
          </w:p>
        </w:tc>
      </w:tr>
    </w:tbl>
    <w:p w14:paraId="0F29D042" w14:textId="77777777" w:rsidR="008B6350" w:rsidRPr="006F5A6F" w:rsidRDefault="008B6350" w:rsidP="008B6350"/>
    <w:p w14:paraId="52271ED6" w14:textId="77777777" w:rsidR="008B6350" w:rsidRDefault="008B6350" w:rsidP="008B6350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8B6350" w14:paraId="689D9986" w14:textId="77777777" w:rsidTr="006F12DA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2D46E6C" w14:textId="047DBFA7" w:rsidR="00F26795" w:rsidRDefault="00F26795" w:rsidP="00F26795">
            <w:pPr>
              <w:pStyle w:val="ListBullet"/>
              <w:numPr>
                <w:ilvl w:val="0"/>
                <w:numId w:val="0"/>
              </w:numPr>
            </w:pPr>
            <w:r>
              <w:t xml:space="preserve">Participation in the 10 Essential Literacy Practices was suspended due to whole school disruptions and an intentional focus on Visible Learning. It is recommended participation be recommenced next year. </w:t>
            </w:r>
          </w:p>
          <w:p w14:paraId="303540F4" w14:textId="79D53162" w:rsidR="008B6350" w:rsidRDefault="005C4F02" w:rsidP="00F26795">
            <w:pPr>
              <w:pStyle w:val="ListBullet"/>
              <w:numPr>
                <w:ilvl w:val="0"/>
                <w:numId w:val="0"/>
              </w:numPr>
            </w:pPr>
            <w:r>
              <w:t>Continued focus on Early Years literacy to ensure continued growth in PIPS results.</w:t>
            </w:r>
          </w:p>
          <w:p w14:paraId="41D6CDAF" w14:textId="004AD6B3" w:rsidR="00065769" w:rsidRDefault="00065769" w:rsidP="005C4F0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Developing a model to assess writing regularly across both languages to track student growth. </w:t>
            </w:r>
          </w:p>
        </w:tc>
      </w:tr>
    </w:tbl>
    <w:p w14:paraId="0C848164" w14:textId="60EED9B6" w:rsidR="00271528" w:rsidRPr="00415554" w:rsidRDefault="00271528" w:rsidP="00415554">
      <w:pPr>
        <w:rPr>
          <w:b/>
        </w:rPr>
      </w:pPr>
    </w:p>
    <w:sectPr w:rsidR="00271528" w:rsidRPr="00415554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3922" w14:textId="77777777" w:rsidR="00294EEA" w:rsidRDefault="00294EEA" w:rsidP="00CA0BAD">
      <w:pPr>
        <w:spacing w:after="0" w:line="240" w:lineRule="auto"/>
      </w:pPr>
      <w:r>
        <w:separator/>
      </w:r>
    </w:p>
  </w:endnote>
  <w:endnote w:type="continuationSeparator" w:id="0">
    <w:p w14:paraId="7346785A" w14:textId="77777777" w:rsidR="00294EEA" w:rsidRDefault="00294EEA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488005EF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7724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15 March 2021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1AA7" w14:textId="77777777" w:rsidR="00294EEA" w:rsidRDefault="00294EEA" w:rsidP="00CA0BAD">
      <w:pPr>
        <w:spacing w:after="0" w:line="240" w:lineRule="auto"/>
      </w:pPr>
      <w:r>
        <w:separator/>
      </w:r>
    </w:p>
  </w:footnote>
  <w:footnote w:type="continuationSeparator" w:id="0">
    <w:p w14:paraId="3BAF6078" w14:textId="77777777" w:rsidR="00294EEA" w:rsidRDefault="00294EEA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04B"/>
    <w:multiLevelType w:val="hybridMultilevel"/>
    <w:tmpl w:val="26A04C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F24B8"/>
    <w:multiLevelType w:val="hybridMultilevel"/>
    <w:tmpl w:val="E73EC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5F1A"/>
    <w:multiLevelType w:val="hybridMultilevel"/>
    <w:tmpl w:val="E25A2C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5581"/>
    <w:multiLevelType w:val="hybridMultilevel"/>
    <w:tmpl w:val="F5FA1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F6E33"/>
    <w:multiLevelType w:val="hybridMultilevel"/>
    <w:tmpl w:val="775ED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57B8A"/>
    <w:multiLevelType w:val="hybridMultilevel"/>
    <w:tmpl w:val="4ADA0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6DB4"/>
    <w:multiLevelType w:val="hybridMultilevel"/>
    <w:tmpl w:val="44609C3E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E022B3D"/>
    <w:multiLevelType w:val="hybridMultilevel"/>
    <w:tmpl w:val="ACDE3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05BD"/>
    <w:multiLevelType w:val="hybridMultilevel"/>
    <w:tmpl w:val="A85C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E714D"/>
    <w:multiLevelType w:val="hybridMultilevel"/>
    <w:tmpl w:val="529CBE68"/>
    <w:lvl w:ilvl="0" w:tplc="80AE2680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B72D0"/>
    <w:multiLevelType w:val="hybridMultilevel"/>
    <w:tmpl w:val="BD804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73D73"/>
    <w:multiLevelType w:val="hybridMultilevel"/>
    <w:tmpl w:val="0C2AEF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8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8"/>
  </w:num>
  <w:num w:numId="18">
    <w:abstractNumId w:val="16"/>
  </w:num>
  <w:num w:numId="19">
    <w:abstractNumId w:val="16"/>
  </w:num>
  <w:num w:numId="20">
    <w:abstractNumId w:val="19"/>
  </w:num>
  <w:num w:numId="21">
    <w:abstractNumId w:val="27"/>
  </w:num>
  <w:num w:numId="22">
    <w:abstractNumId w:val="10"/>
  </w:num>
  <w:num w:numId="23">
    <w:abstractNumId w:val="16"/>
  </w:num>
  <w:num w:numId="24">
    <w:abstractNumId w:val="16"/>
  </w:num>
  <w:num w:numId="25">
    <w:abstractNumId w:val="13"/>
  </w:num>
  <w:num w:numId="26">
    <w:abstractNumId w:val="25"/>
  </w:num>
  <w:num w:numId="27">
    <w:abstractNumId w:val="20"/>
  </w:num>
  <w:num w:numId="28">
    <w:abstractNumId w:val="17"/>
  </w:num>
  <w:num w:numId="29">
    <w:abstractNumId w:val="24"/>
  </w:num>
  <w:num w:numId="30">
    <w:abstractNumId w:val="12"/>
  </w:num>
  <w:num w:numId="31">
    <w:abstractNumId w:val="14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24CDA"/>
    <w:rsid w:val="00057DAD"/>
    <w:rsid w:val="00065769"/>
    <w:rsid w:val="000C4936"/>
    <w:rsid w:val="000F7E7C"/>
    <w:rsid w:val="00107AE2"/>
    <w:rsid w:val="00115AA9"/>
    <w:rsid w:val="00127C5E"/>
    <w:rsid w:val="00132917"/>
    <w:rsid w:val="0014357B"/>
    <w:rsid w:val="00143F04"/>
    <w:rsid w:val="00144367"/>
    <w:rsid w:val="00160BA1"/>
    <w:rsid w:val="00161E50"/>
    <w:rsid w:val="00163579"/>
    <w:rsid w:val="00183DE5"/>
    <w:rsid w:val="00191215"/>
    <w:rsid w:val="001B26EA"/>
    <w:rsid w:val="001B2E33"/>
    <w:rsid w:val="001C0226"/>
    <w:rsid w:val="001F11CB"/>
    <w:rsid w:val="002145F7"/>
    <w:rsid w:val="0024781C"/>
    <w:rsid w:val="0025344C"/>
    <w:rsid w:val="00266E77"/>
    <w:rsid w:val="00271528"/>
    <w:rsid w:val="00282D2C"/>
    <w:rsid w:val="00286DDF"/>
    <w:rsid w:val="00294EEA"/>
    <w:rsid w:val="002B2CC5"/>
    <w:rsid w:val="002C4688"/>
    <w:rsid w:val="002F2C6F"/>
    <w:rsid w:val="002F4184"/>
    <w:rsid w:val="00300F72"/>
    <w:rsid w:val="00310374"/>
    <w:rsid w:val="00334BBF"/>
    <w:rsid w:val="00342B3F"/>
    <w:rsid w:val="00365890"/>
    <w:rsid w:val="00365A1C"/>
    <w:rsid w:val="00373DC0"/>
    <w:rsid w:val="00377F0F"/>
    <w:rsid w:val="003B5E3D"/>
    <w:rsid w:val="003C2864"/>
    <w:rsid w:val="003C69DC"/>
    <w:rsid w:val="003E1EFB"/>
    <w:rsid w:val="00415554"/>
    <w:rsid w:val="00435AB7"/>
    <w:rsid w:val="00435C6B"/>
    <w:rsid w:val="00436626"/>
    <w:rsid w:val="00461D07"/>
    <w:rsid w:val="004627BE"/>
    <w:rsid w:val="00481BD2"/>
    <w:rsid w:val="00492440"/>
    <w:rsid w:val="004C32E2"/>
    <w:rsid w:val="004D00F4"/>
    <w:rsid w:val="004D5E45"/>
    <w:rsid w:val="005008B0"/>
    <w:rsid w:val="00516C75"/>
    <w:rsid w:val="00520A86"/>
    <w:rsid w:val="00546068"/>
    <w:rsid w:val="00557F65"/>
    <w:rsid w:val="005611F4"/>
    <w:rsid w:val="0057672E"/>
    <w:rsid w:val="00577246"/>
    <w:rsid w:val="0058339C"/>
    <w:rsid w:val="0059350F"/>
    <w:rsid w:val="005A4749"/>
    <w:rsid w:val="005C46C0"/>
    <w:rsid w:val="005C4F02"/>
    <w:rsid w:val="005C7432"/>
    <w:rsid w:val="005E76E4"/>
    <w:rsid w:val="005F3B55"/>
    <w:rsid w:val="00610A38"/>
    <w:rsid w:val="00631663"/>
    <w:rsid w:val="0066643F"/>
    <w:rsid w:val="00674E1D"/>
    <w:rsid w:val="006830C3"/>
    <w:rsid w:val="006A31D6"/>
    <w:rsid w:val="006A5062"/>
    <w:rsid w:val="006B7F4D"/>
    <w:rsid w:val="006D2F6B"/>
    <w:rsid w:val="006D5824"/>
    <w:rsid w:val="006E60C3"/>
    <w:rsid w:val="0070552A"/>
    <w:rsid w:val="007347A7"/>
    <w:rsid w:val="007375B4"/>
    <w:rsid w:val="00752390"/>
    <w:rsid w:val="00767359"/>
    <w:rsid w:val="00782A22"/>
    <w:rsid w:val="007B0189"/>
    <w:rsid w:val="007D407C"/>
    <w:rsid w:val="007F1C92"/>
    <w:rsid w:val="00804225"/>
    <w:rsid w:val="00807297"/>
    <w:rsid w:val="008300DD"/>
    <w:rsid w:val="00837137"/>
    <w:rsid w:val="00843384"/>
    <w:rsid w:val="00846E51"/>
    <w:rsid w:val="008679D5"/>
    <w:rsid w:val="00895BB5"/>
    <w:rsid w:val="00896B58"/>
    <w:rsid w:val="008A01DA"/>
    <w:rsid w:val="008B6350"/>
    <w:rsid w:val="00915ADE"/>
    <w:rsid w:val="00921FB7"/>
    <w:rsid w:val="0093040B"/>
    <w:rsid w:val="00932E67"/>
    <w:rsid w:val="00937D6F"/>
    <w:rsid w:val="009710F4"/>
    <w:rsid w:val="0099524E"/>
    <w:rsid w:val="00997CD0"/>
    <w:rsid w:val="009B454E"/>
    <w:rsid w:val="009B7107"/>
    <w:rsid w:val="009E2D26"/>
    <w:rsid w:val="009F2F91"/>
    <w:rsid w:val="00A112C4"/>
    <w:rsid w:val="00A1525D"/>
    <w:rsid w:val="00A15F55"/>
    <w:rsid w:val="00A8510B"/>
    <w:rsid w:val="00A967A3"/>
    <w:rsid w:val="00AB3505"/>
    <w:rsid w:val="00AD7D38"/>
    <w:rsid w:val="00AE1CAD"/>
    <w:rsid w:val="00AE2FBD"/>
    <w:rsid w:val="00AE3C70"/>
    <w:rsid w:val="00AF0BBA"/>
    <w:rsid w:val="00B06296"/>
    <w:rsid w:val="00B10319"/>
    <w:rsid w:val="00B12942"/>
    <w:rsid w:val="00B23C72"/>
    <w:rsid w:val="00B36AF4"/>
    <w:rsid w:val="00B41802"/>
    <w:rsid w:val="00B53B59"/>
    <w:rsid w:val="00B56D4E"/>
    <w:rsid w:val="00B734D8"/>
    <w:rsid w:val="00BD5416"/>
    <w:rsid w:val="00BD65EC"/>
    <w:rsid w:val="00C035A2"/>
    <w:rsid w:val="00C0648C"/>
    <w:rsid w:val="00C06492"/>
    <w:rsid w:val="00C167E3"/>
    <w:rsid w:val="00C36B48"/>
    <w:rsid w:val="00C63CC4"/>
    <w:rsid w:val="00C63F2C"/>
    <w:rsid w:val="00C77B0A"/>
    <w:rsid w:val="00C80D95"/>
    <w:rsid w:val="00C91C8E"/>
    <w:rsid w:val="00CA0BAD"/>
    <w:rsid w:val="00CA26FB"/>
    <w:rsid w:val="00CB2A5F"/>
    <w:rsid w:val="00CF3F40"/>
    <w:rsid w:val="00D03B0C"/>
    <w:rsid w:val="00D21886"/>
    <w:rsid w:val="00D34AEA"/>
    <w:rsid w:val="00D4537E"/>
    <w:rsid w:val="00D56F59"/>
    <w:rsid w:val="00D66148"/>
    <w:rsid w:val="00D66D66"/>
    <w:rsid w:val="00D731BD"/>
    <w:rsid w:val="00D8631B"/>
    <w:rsid w:val="00DA09ED"/>
    <w:rsid w:val="00DA4480"/>
    <w:rsid w:val="00DB037A"/>
    <w:rsid w:val="00DB2F78"/>
    <w:rsid w:val="00DE43E6"/>
    <w:rsid w:val="00DE4763"/>
    <w:rsid w:val="00DE5B2A"/>
    <w:rsid w:val="00DE75EB"/>
    <w:rsid w:val="00DF0245"/>
    <w:rsid w:val="00DF695B"/>
    <w:rsid w:val="00E061B8"/>
    <w:rsid w:val="00E14A54"/>
    <w:rsid w:val="00E434FA"/>
    <w:rsid w:val="00E83649"/>
    <w:rsid w:val="00EA1B8A"/>
    <w:rsid w:val="00EB70CE"/>
    <w:rsid w:val="00EF2574"/>
    <w:rsid w:val="00F05C79"/>
    <w:rsid w:val="00F26795"/>
    <w:rsid w:val="00F46089"/>
    <w:rsid w:val="00F536D7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character" w:styleId="IntenseEmphasis">
    <w:name w:val="Intense Emphasis"/>
    <w:basedOn w:val="DefaultParagraphFont"/>
    <w:uiPriority w:val="21"/>
    <w:qFormat/>
    <w:rsid w:val="00DE4763"/>
    <w:rPr>
      <w:i/>
      <w:iCs/>
      <w:color w:val="5B9BD5" w:themeColor="accent1"/>
    </w:rPr>
  </w:style>
  <w:style w:type="paragraph" w:customStyle="1" w:styleId="NumberedList">
    <w:name w:val="Numbered List"/>
    <w:basedOn w:val="Normal"/>
    <w:qFormat/>
    <w:rsid w:val="00921FB7"/>
    <w:pPr>
      <w:numPr>
        <w:numId w:val="2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4024C6"/>
    <w:rsid w:val="008371B4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Meyer, Stacey</cp:lastModifiedBy>
  <cp:revision>2</cp:revision>
  <cp:lastPrinted>2021-02-11T23:33:00Z</cp:lastPrinted>
  <dcterms:created xsi:type="dcterms:W3CDTF">2021-03-18T05:50:00Z</dcterms:created>
  <dcterms:modified xsi:type="dcterms:W3CDTF">2021-03-18T05:50:00Z</dcterms:modified>
</cp:coreProperties>
</file>